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3.xml" ContentType="application/vnd.openxmlformats-officedocument.wordprocessingml.footer+xml"/>
  <Override PartName="/word/charts/chart17.xml" ContentType="application/vnd.openxmlformats-officedocument.drawingml.chart+xml"/>
  <Override PartName="/word/theme/themeOverride1.xml" ContentType="application/vnd.openxmlformats-officedocument.themeOverride+xml"/>
  <Override PartName="/word/charts/chart18.xml" ContentType="application/vnd.openxmlformats-officedocument.drawingml.chart+xml"/>
  <Override PartName="/word/theme/themeOverride2.xml" ContentType="application/vnd.openxmlformats-officedocument.themeOverride+xml"/>
  <Override PartName="/word/drawings/drawing5.xml" ContentType="application/vnd.openxmlformats-officedocument.drawingml.chartshapes+xml"/>
  <Override PartName="/word/charts/chart19.xml" ContentType="application/vnd.openxmlformats-officedocument.drawingml.chart+xml"/>
  <Override PartName="/word/drawings/drawing6.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7.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4.xml" ContentType="application/vnd.openxmlformats-officedocument.drawingml.chart+xml"/>
  <Override PartName="/word/charts/chart25.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6.xml" ContentType="application/vnd.openxmlformats-officedocument.drawingml.chart+xml"/>
  <Override PartName="/word/charts/chart27.xml" ContentType="application/vnd.openxmlformats-officedocument.drawingml.chart+xml"/>
  <Override PartName="/word/drawings/drawing8.xml" ContentType="application/vnd.openxmlformats-officedocument.drawingml.chartshapes+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8.xml" ContentType="application/vnd.openxmlformats-officedocument.drawingml.chart+xml"/>
  <Override PartName="/word/charts/chart29.xml" ContentType="application/vnd.openxmlformats-officedocument.drawingml.chart+xml"/>
  <Override PartName="/word/drawings/drawing9.xml" ContentType="application/vnd.openxmlformats-officedocument.drawingml.chartshapes+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0.xml" ContentType="application/vnd.openxmlformats-officedocument.drawingml.chart+xml"/>
  <Override PartName="/word/charts/chart31.xml" ContentType="application/vnd.openxmlformats-officedocument.drawingml.chart+xml"/>
  <Override PartName="/word/drawings/drawing10.xml" ContentType="application/vnd.openxmlformats-officedocument.drawingml.chartshapes+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32.xml" ContentType="application/vnd.openxmlformats-officedocument.drawingml.chart+xml"/>
  <Override PartName="/word/footer4.xml" ContentType="application/vnd.openxmlformats-officedocument.wordprocessingml.footer+xml"/>
  <Override PartName="/word/charts/chart33.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34.xml" ContentType="application/vnd.openxmlformats-officedocument.drawingml.chart+xml"/>
  <Override PartName="/word/charts/chart35.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36.xml" ContentType="application/vnd.openxmlformats-officedocument.drawingml.chart+xml"/>
  <Override PartName="/word/charts/chart37.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42.xml" ContentType="application/vnd.openxmlformats-officedocument.drawingml.chart+xml"/>
  <Override PartName="/word/drawings/drawing11.xml" ContentType="application/vnd.openxmlformats-officedocument.drawingml.chartshapes+xml"/>
  <Override PartName="/word/charts/chart43.xml" ContentType="application/vnd.openxmlformats-officedocument.drawingml.chart+xml"/>
  <Override PartName="/word/charts/chart44.xml" ContentType="application/vnd.openxmlformats-officedocument.drawingml.chart+xml"/>
  <Override PartName="/word/drawings/drawing12.xml" ContentType="application/vnd.openxmlformats-officedocument.drawingml.chartshapes+xml"/>
  <Override PartName="/word/charts/chart45.xml" ContentType="application/vnd.openxmlformats-officedocument.drawingml.chart+xml"/>
  <Override PartName="/word/charts/chart46.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47.xml" ContentType="application/vnd.openxmlformats-officedocument.drawingml.chart+xml"/>
  <Override PartName="/word/drawings/drawing13.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3.xml" ContentType="application/vnd.openxmlformats-officedocument.themeOverride+xml"/>
  <Override PartName="/word/charts/chart54.xml" ContentType="application/vnd.openxmlformats-officedocument.drawingml.chart+xml"/>
  <Override PartName="/word/theme/themeOverride4.xml" ContentType="application/vnd.openxmlformats-officedocument.themeOverride+xml"/>
  <Override PartName="/word/drawings/drawing14.xml" ContentType="application/vnd.openxmlformats-officedocument.drawingml.chartshapes+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5410E" w:rsidRPr="006D71C7" w:rsidRDefault="00385167" w:rsidP="006D71C7">
      <w:pPr>
        <w:spacing w:after="0" w:line="240" w:lineRule="auto"/>
        <w:jc w:val="both"/>
        <w:rPr>
          <w:b/>
          <w:bCs/>
          <w:position w:val="-1"/>
          <w:szCs w:val="24"/>
        </w:rPr>
      </w:pPr>
      <w:bookmarkStart w:id="0" w:name="_GoBack"/>
      <w:bookmarkEnd w:id="0"/>
      <w:r w:rsidRPr="006D71C7">
        <w:rPr>
          <w:b/>
          <w:bCs/>
          <w:noProof/>
          <w:position w:val="-1"/>
          <w:szCs w:val="24"/>
        </w:rPr>
        <w:drawing>
          <wp:anchor distT="0" distB="0" distL="114300" distR="114300" simplePos="0" relativeHeight="251652608" behindDoc="0" locked="0" layoutInCell="1" allowOverlap="1">
            <wp:simplePos x="0" y="0"/>
            <wp:positionH relativeFrom="column">
              <wp:posOffset>-126365</wp:posOffset>
            </wp:positionH>
            <wp:positionV relativeFrom="paragraph">
              <wp:posOffset>-464185</wp:posOffset>
            </wp:positionV>
            <wp:extent cx="5882005" cy="861060"/>
            <wp:effectExtent l="19050" t="0" r="4445" b="0"/>
            <wp:wrapSquare wrapText="bothSides"/>
            <wp:docPr id="59" name="Obraz 2" descr="banner na dokumenty - czarno-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anner na dokumenty - czarno-biały"/>
                    <pic:cNvPicPr>
                      <a:picLocks noChangeAspect="1" noChangeArrowheads="1"/>
                    </pic:cNvPicPr>
                  </pic:nvPicPr>
                  <pic:blipFill>
                    <a:blip r:embed="rId9" cstate="print"/>
                    <a:srcRect/>
                    <a:stretch>
                      <a:fillRect/>
                    </a:stretch>
                  </pic:blipFill>
                  <pic:spPr bwMode="auto">
                    <a:xfrm>
                      <a:off x="0" y="0"/>
                      <a:ext cx="5882005" cy="861060"/>
                    </a:xfrm>
                    <a:prstGeom prst="rect">
                      <a:avLst/>
                    </a:prstGeom>
                    <a:noFill/>
                    <a:ln w="9525">
                      <a:noFill/>
                      <a:miter lim="800000"/>
                      <a:headEnd/>
                      <a:tailEnd/>
                    </a:ln>
                  </pic:spPr>
                </pic:pic>
              </a:graphicData>
            </a:graphic>
          </wp:anchor>
        </w:drawing>
      </w:r>
    </w:p>
    <w:p w:rsidR="00B53DE9" w:rsidRPr="00B53DE9" w:rsidRDefault="0005410E" w:rsidP="00B53DE9">
      <w:pPr>
        <w:pStyle w:val="Nagwek"/>
        <w:tabs>
          <w:tab w:val="clear" w:pos="4536"/>
          <w:tab w:val="clear" w:pos="9072"/>
          <w:tab w:val="left" w:pos="2895"/>
        </w:tabs>
        <w:spacing w:after="0" w:line="240" w:lineRule="auto"/>
        <w:jc w:val="right"/>
        <w:rPr>
          <w:i/>
          <w:noProof/>
          <w:sz w:val="20"/>
          <w:szCs w:val="20"/>
        </w:rPr>
      </w:pPr>
      <w:r w:rsidRPr="00B53DE9">
        <w:rPr>
          <w:i/>
          <w:noProof/>
          <w:sz w:val="20"/>
          <w:szCs w:val="20"/>
        </w:rPr>
        <w:t xml:space="preserve">                                                                                  </w:t>
      </w:r>
      <w:r w:rsidR="00B53DE9" w:rsidRPr="00B53DE9">
        <w:rPr>
          <w:i/>
          <w:noProof/>
          <w:sz w:val="20"/>
          <w:szCs w:val="20"/>
        </w:rPr>
        <w:t xml:space="preserve">Załącznik do Uchwały </w:t>
      </w:r>
      <w:r w:rsidR="007B47B3">
        <w:rPr>
          <w:i/>
          <w:sz w:val="20"/>
          <w:szCs w:val="20"/>
        </w:rPr>
        <w:t>nr/1770/163</w:t>
      </w:r>
      <w:r w:rsidR="00B53DE9" w:rsidRPr="00B53DE9">
        <w:rPr>
          <w:i/>
          <w:sz w:val="20"/>
          <w:szCs w:val="20"/>
        </w:rPr>
        <w:t xml:space="preserve"> /IV</w:t>
      </w:r>
      <w:r w:rsidR="00B53DE9">
        <w:rPr>
          <w:i/>
          <w:sz w:val="20"/>
          <w:szCs w:val="20"/>
        </w:rPr>
        <w:t>/2012 Zarządu Województwa Śląskiego z dnia</w:t>
      </w:r>
      <w:r w:rsidR="007B47B3">
        <w:rPr>
          <w:i/>
          <w:sz w:val="20"/>
          <w:szCs w:val="20"/>
        </w:rPr>
        <w:t xml:space="preserve"> 26 czerwca </w:t>
      </w:r>
      <w:r w:rsidR="00B53DE9">
        <w:rPr>
          <w:i/>
          <w:sz w:val="20"/>
          <w:szCs w:val="20"/>
        </w:rPr>
        <w:t>2012</w:t>
      </w:r>
      <w:r w:rsidR="00B53DE9" w:rsidRPr="00B53DE9">
        <w:rPr>
          <w:i/>
          <w:sz w:val="20"/>
          <w:szCs w:val="20"/>
        </w:rPr>
        <w:t xml:space="preserve">                                                                                      </w:t>
      </w:r>
    </w:p>
    <w:p w:rsidR="00B53DE9" w:rsidRDefault="00B53DE9" w:rsidP="006D71C7">
      <w:pPr>
        <w:pStyle w:val="Nagwek"/>
        <w:tabs>
          <w:tab w:val="clear" w:pos="4536"/>
          <w:tab w:val="clear" w:pos="9072"/>
          <w:tab w:val="left" w:pos="2895"/>
        </w:tabs>
        <w:spacing w:after="0" w:line="240" w:lineRule="auto"/>
        <w:jc w:val="both"/>
        <w:rPr>
          <w:i/>
          <w:noProof/>
          <w:szCs w:val="24"/>
        </w:rPr>
      </w:pPr>
    </w:p>
    <w:p w:rsidR="0005410E" w:rsidRPr="006D71C7" w:rsidRDefault="0005410E" w:rsidP="006D71C7">
      <w:pPr>
        <w:pStyle w:val="Nagwek"/>
        <w:tabs>
          <w:tab w:val="clear" w:pos="4536"/>
          <w:tab w:val="clear" w:pos="9072"/>
          <w:tab w:val="left" w:pos="2895"/>
        </w:tabs>
        <w:spacing w:after="0" w:line="240" w:lineRule="auto"/>
        <w:jc w:val="both"/>
        <w:rPr>
          <w:b/>
          <w:bCs/>
          <w:i/>
          <w:position w:val="-1"/>
          <w:szCs w:val="24"/>
        </w:rPr>
      </w:pPr>
      <w:r w:rsidRPr="006D71C7">
        <w:rPr>
          <w:i/>
          <w:noProof/>
          <w:szCs w:val="24"/>
        </w:rPr>
        <w:t xml:space="preserve">                                            </w:t>
      </w:r>
    </w:p>
    <w:p w:rsidR="0005410E" w:rsidRPr="006D71C7" w:rsidRDefault="00A07B21" w:rsidP="006D71C7">
      <w:pPr>
        <w:spacing w:after="0" w:line="240" w:lineRule="auto"/>
        <w:jc w:val="both"/>
        <w:rPr>
          <w:b/>
          <w:bCs/>
          <w:position w:val="-1"/>
          <w:szCs w:val="24"/>
        </w:rPr>
      </w:pPr>
      <w:r w:rsidRPr="006D71C7">
        <w:rPr>
          <w:noProof/>
        </w:rPr>
        <w:drawing>
          <wp:inline distT="0" distB="0" distL="0" distR="0">
            <wp:extent cx="2530475" cy="1903095"/>
            <wp:effectExtent l="19050" t="0" r="3175" b="0"/>
            <wp:docPr id="37" name="zdj1" descr="http://rpo.slaskie.pl/zalaczniki/2011/08/08/1312806227.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1/08/08/1312806227.jpg">
                      <a:hlinkClick r:id="rId10" tooltip="&quot;&quot;"/>
                    </pic:cNvPr>
                    <pic:cNvPicPr>
                      <a:picLocks noChangeAspect="1" noChangeArrowheads="1"/>
                    </pic:cNvPicPr>
                  </pic:nvPicPr>
                  <pic:blipFill>
                    <a:blip r:embed="rId11" cstate="print"/>
                    <a:srcRect/>
                    <a:stretch>
                      <a:fillRect/>
                    </a:stretch>
                  </pic:blipFill>
                  <pic:spPr bwMode="auto">
                    <a:xfrm>
                      <a:off x="0" y="0"/>
                      <a:ext cx="2530475" cy="1903095"/>
                    </a:xfrm>
                    <a:prstGeom prst="round1Rect">
                      <a:avLst/>
                    </a:prstGeom>
                    <a:ln>
                      <a:noFill/>
                    </a:ln>
                    <a:effectLst>
                      <a:softEdge rad="112500"/>
                    </a:effectLst>
                  </pic:spPr>
                </pic:pic>
              </a:graphicData>
            </a:graphic>
          </wp:inline>
        </w:drawing>
      </w:r>
      <w:r w:rsidRPr="006D71C7">
        <w:t xml:space="preserve"> </w:t>
      </w:r>
      <w:r w:rsidRPr="006D71C7">
        <w:rPr>
          <w:noProof/>
        </w:rPr>
        <w:drawing>
          <wp:inline distT="0" distB="0" distL="0" distR="0">
            <wp:extent cx="2710985" cy="2083981"/>
            <wp:effectExtent l="19050" t="0" r="0" b="0"/>
            <wp:docPr id="38" name="zdj1" descr="http://rpo.slaskie.pl/zalaczniki/2011/04/18/1303111206.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1/04/18/1303111206.jpg">
                      <a:hlinkClick r:id="rId12" tooltip="&quot;&quot;"/>
                    </pic:cNvPr>
                    <pic:cNvPicPr>
                      <a:picLocks noChangeAspect="1" noChangeArrowheads="1"/>
                    </pic:cNvPicPr>
                  </pic:nvPicPr>
                  <pic:blipFill>
                    <a:blip r:embed="rId13" cstate="print"/>
                    <a:srcRect/>
                    <a:stretch>
                      <a:fillRect/>
                    </a:stretch>
                  </pic:blipFill>
                  <pic:spPr bwMode="auto">
                    <a:xfrm>
                      <a:off x="0" y="0"/>
                      <a:ext cx="2711450" cy="2084338"/>
                    </a:xfrm>
                    <a:prstGeom prst="ellipse">
                      <a:avLst/>
                    </a:prstGeom>
                    <a:ln>
                      <a:noFill/>
                    </a:ln>
                    <a:effectLst>
                      <a:softEdge rad="112500"/>
                    </a:effectLst>
                  </pic:spPr>
                </pic:pic>
              </a:graphicData>
            </a:graphic>
          </wp:inline>
        </w:drawing>
      </w:r>
    </w:p>
    <w:p w:rsidR="0005410E" w:rsidRPr="006D71C7" w:rsidRDefault="0005410E" w:rsidP="006D71C7">
      <w:pPr>
        <w:spacing w:after="0" w:line="240" w:lineRule="auto"/>
        <w:jc w:val="both"/>
        <w:rPr>
          <w:b/>
          <w:bCs/>
          <w:position w:val="-1"/>
          <w:szCs w:val="24"/>
        </w:rPr>
      </w:pPr>
    </w:p>
    <w:p w:rsidR="0005410E" w:rsidRPr="006D71C7" w:rsidRDefault="0005410E" w:rsidP="006D71C7">
      <w:pPr>
        <w:pBdr>
          <w:top w:val="single" w:sz="24" w:space="1" w:color="EE8C69" w:themeColor="accent1" w:themeTint="99"/>
          <w:left w:val="single" w:sz="24" w:space="4" w:color="EE8C69" w:themeColor="accent1" w:themeTint="99"/>
          <w:bottom w:val="single" w:sz="24" w:space="1" w:color="EE8C69" w:themeColor="accent1" w:themeTint="99"/>
          <w:right w:val="single" w:sz="24" w:space="4" w:color="EE8C69" w:themeColor="accent1" w:themeTint="99"/>
        </w:pBdr>
        <w:spacing w:after="0" w:line="240" w:lineRule="auto"/>
        <w:jc w:val="both"/>
        <w:rPr>
          <w:b/>
          <w:bCs/>
          <w:position w:val="-1"/>
          <w:szCs w:val="24"/>
        </w:rPr>
      </w:pPr>
    </w:p>
    <w:p w:rsidR="00C43B75" w:rsidRDefault="0005410E" w:rsidP="00C43B75">
      <w:pPr>
        <w:pBdr>
          <w:top w:val="single" w:sz="24" w:space="1" w:color="EE8C69" w:themeColor="accent1" w:themeTint="99"/>
          <w:left w:val="single" w:sz="24" w:space="4" w:color="EE8C69" w:themeColor="accent1" w:themeTint="99"/>
          <w:bottom w:val="single" w:sz="24" w:space="1" w:color="EE8C69" w:themeColor="accent1" w:themeTint="99"/>
          <w:right w:val="single" w:sz="24" w:space="4" w:color="EE8C69" w:themeColor="accent1" w:themeTint="99"/>
        </w:pBdr>
        <w:spacing w:before="120" w:after="120" w:line="240" w:lineRule="auto"/>
        <w:jc w:val="center"/>
        <w:rPr>
          <w:b/>
          <w:bCs/>
          <w:position w:val="-1"/>
          <w:sz w:val="52"/>
          <w:szCs w:val="52"/>
        </w:rPr>
      </w:pPr>
      <w:r w:rsidRPr="006D71C7">
        <w:rPr>
          <w:b/>
          <w:bCs/>
          <w:position w:val="-1"/>
          <w:sz w:val="52"/>
          <w:szCs w:val="52"/>
        </w:rPr>
        <w:t xml:space="preserve">Sprawozdanie roczne z realizacji              </w:t>
      </w:r>
      <w:r w:rsidRPr="006D71C7">
        <w:rPr>
          <w:b/>
          <w:bCs/>
          <w:i/>
          <w:position w:val="-1"/>
          <w:sz w:val="52"/>
          <w:szCs w:val="52"/>
        </w:rPr>
        <w:t>Regionalnego Programu Operacyjnego Województwa Śląskiego na lata 2007-2013</w:t>
      </w:r>
      <w:r w:rsidR="00393D78" w:rsidRPr="006D71C7">
        <w:rPr>
          <w:b/>
          <w:bCs/>
          <w:position w:val="-1"/>
          <w:sz w:val="52"/>
          <w:szCs w:val="52"/>
        </w:rPr>
        <w:t xml:space="preserve"> w roku 2011</w:t>
      </w:r>
    </w:p>
    <w:p w:rsidR="0005410E" w:rsidRPr="006D71C7" w:rsidRDefault="0005410E" w:rsidP="006D71C7">
      <w:pPr>
        <w:spacing w:after="0" w:line="240" w:lineRule="auto"/>
        <w:jc w:val="both"/>
        <w:rPr>
          <w:b/>
          <w:bCs/>
          <w:position w:val="-1"/>
          <w:szCs w:val="24"/>
        </w:rPr>
      </w:pPr>
    </w:p>
    <w:p w:rsidR="0005410E" w:rsidRPr="006D71C7" w:rsidRDefault="00A07B21" w:rsidP="006D71C7">
      <w:pPr>
        <w:spacing w:after="0" w:line="240" w:lineRule="auto"/>
        <w:jc w:val="both"/>
        <w:rPr>
          <w:b/>
          <w:bCs/>
          <w:position w:val="-1"/>
          <w:szCs w:val="24"/>
        </w:rPr>
      </w:pPr>
      <w:r w:rsidRPr="006D71C7">
        <w:rPr>
          <w:noProof/>
        </w:rPr>
        <w:drawing>
          <wp:anchor distT="0" distB="0" distL="114300" distR="114300" simplePos="0" relativeHeight="251764224" behindDoc="1" locked="0" layoutInCell="1" allowOverlap="1">
            <wp:simplePos x="0" y="0"/>
            <wp:positionH relativeFrom="column">
              <wp:posOffset>2925445</wp:posOffset>
            </wp:positionH>
            <wp:positionV relativeFrom="paragraph">
              <wp:posOffset>239395</wp:posOffset>
            </wp:positionV>
            <wp:extent cx="2713355" cy="1775460"/>
            <wp:effectExtent l="19050" t="0" r="0" b="0"/>
            <wp:wrapTight wrapText="bothSides">
              <wp:wrapPolygon edited="0">
                <wp:start x="607" y="0"/>
                <wp:lineTo x="-152" y="1622"/>
                <wp:lineTo x="-152" y="19931"/>
                <wp:lineTo x="303" y="21322"/>
                <wp:lineTo x="607" y="21322"/>
                <wp:lineTo x="20776" y="21322"/>
                <wp:lineTo x="21079" y="21322"/>
                <wp:lineTo x="21534" y="19931"/>
                <wp:lineTo x="21534" y="1622"/>
                <wp:lineTo x="21231" y="232"/>
                <wp:lineTo x="20776" y="0"/>
                <wp:lineTo x="607" y="0"/>
              </wp:wrapPolygon>
            </wp:wrapTight>
            <wp:docPr id="254" name="zdj1" descr="http://rpo.slaskie.pl/zalaczniki/2011/11/02/1320227111.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1/11/02/1320227111.jpg">
                      <a:hlinkClick r:id="rId14" tooltip="&quot;&quot;"/>
                    </pic:cNvPr>
                    <pic:cNvPicPr>
                      <a:picLocks noChangeAspect="1" noChangeArrowheads="1"/>
                    </pic:cNvPicPr>
                  </pic:nvPicPr>
                  <pic:blipFill>
                    <a:blip r:embed="rId15" cstate="print"/>
                    <a:srcRect/>
                    <a:stretch>
                      <a:fillRect/>
                    </a:stretch>
                  </pic:blipFill>
                  <pic:spPr bwMode="auto">
                    <a:xfrm>
                      <a:off x="0" y="0"/>
                      <a:ext cx="2713355" cy="1775460"/>
                    </a:xfrm>
                    <a:prstGeom prst="rect">
                      <a:avLst/>
                    </a:prstGeom>
                    <a:ln>
                      <a:noFill/>
                    </a:ln>
                    <a:effectLst>
                      <a:softEdge rad="112500"/>
                    </a:effectLst>
                  </pic:spPr>
                </pic:pic>
              </a:graphicData>
            </a:graphic>
          </wp:anchor>
        </w:drawing>
      </w:r>
      <w:r w:rsidRPr="006D71C7">
        <w:rPr>
          <w:noProof/>
        </w:rPr>
        <w:drawing>
          <wp:inline distT="0" distB="0" distL="0" distR="0">
            <wp:extent cx="3144982" cy="2009554"/>
            <wp:effectExtent l="19050" t="0" r="0" b="0"/>
            <wp:docPr id="237" name="zdj1" descr="http://rpo.slaskie.pl/zalaczniki/2012/02/03/1328277981.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2/02/03/1328277981.jpg">
                      <a:hlinkClick r:id="rId16" tooltip="&quot;&quot;"/>
                    </pic:cNvPr>
                    <pic:cNvPicPr>
                      <a:picLocks noChangeAspect="1" noChangeArrowheads="1"/>
                    </pic:cNvPicPr>
                  </pic:nvPicPr>
                  <pic:blipFill>
                    <a:blip r:embed="rId17" cstate="print"/>
                    <a:srcRect/>
                    <a:stretch>
                      <a:fillRect/>
                    </a:stretch>
                  </pic:blipFill>
                  <pic:spPr bwMode="auto">
                    <a:xfrm>
                      <a:off x="0" y="0"/>
                      <a:ext cx="3145199" cy="2009693"/>
                    </a:xfrm>
                    <a:prstGeom prst="ellipse">
                      <a:avLst/>
                    </a:prstGeom>
                    <a:ln>
                      <a:noFill/>
                    </a:ln>
                    <a:effectLst>
                      <a:softEdge rad="112500"/>
                    </a:effectLst>
                  </pic:spPr>
                </pic:pic>
              </a:graphicData>
            </a:graphic>
          </wp:inline>
        </w:drawing>
      </w:r>
    </w:p>
    <w:p w:rsidR="0005410E" w:rsidRPr="006D71C7" w:rsidRDefault="0005410E" w:rsidP="006D71C7">
      <w:pPr>
        <w:spacing w:after="0" w:line="240" w:lineRule="auto"/>
        <w:jc w:val="both"/>
        <w:rPr>
          <w:b/>
          <w:bCs/>
          <w:position w:val="-1"/>
          <w:szCs w:val="24"/>
        </w:rPr>
      </w:pPr>
    </w:p>
    <w:p w:rsidR="0005410E" w:rsidRPr="006D71C7" w:rsidRDefault="0005410E" w:rsidP="006D71C7">
      <w:pPr>
        <w:spacing w:after="0" w:line="240" w:lineRule="auto"/>
        <w:jc w:val="both"/>
        <w:rPr>
          <w:b/>
          <w:bCs/>
          <w:position w:val="-1"/>
          <w:szCs w:val="24"/>
        </w:rPr>
      </w:pPr>
    </w:p>
    <w:p w:rsidR="0005410E" w:rsidRPr="006D71C7" w:rsidRDefault="0005410E" w:rsidP="006D71C7">
      <w:pPr>
        <w:spacing w:after="0" w:line="240" w:lineRule="auto"/>
        <w:jc w:val="both"/>
        <w:rPr>
          <w:b/>
          <w:bCs/>
          <w:position w:val="-1"/>
          <w:szCs w:val="24"/>
        </w:rPr>
      </w:pPr>
    </w:p>
    <w:p w:rsidR="0005410E" w:rsidRPr="006D71C7" w:rsidRDefault="0005410E" w:rsidP="006D71C7">
      <w:pPr>
        <w:spacing w:after="0" w:line="240" w:lineRule="auto"/>
        <w:jc w:val="both"/>
        <w:rPr>
          <w:b/>
          <w:bCs/>
          <w:position w:val="-1"/>
          <w:szCs w:val="24"/>
        </w:rPr>
      </w:pPr>
    </w:p>
    <w:p w:rsidR="0005410E" w:rsidRPr="006D71C7" w:rsidRDefault="0005410E" w:rsidP="006D71C7">
      <w:pPr>
        <w:spacing w:after="0" w:line="240" w:lineRule="auto"/>
        <w:jc w:val="both"/>
        <w:rPr>
          <w:b/>
          <w:bCs/>
          <w:position w:val="-1"/>
          <w:szCs w:val="24"/>
        </w:rPr>
      </w:pPr>
    </w:p>
    <w:p w:rsidR="00550E75" w:rsidRPr="006D71C7" w:rsidRDefault="0005410E" w:rsidP="00F31A3D">
      <w:pPr>
        <w:spacing w:after="0" w:line="240" w:lineRule="auto"/>
        <w:jc w:val="center"/>
        <w:rPr>
          <w:b/>
          <w:bCs/>
          <w:position w:val="-1"/>
          <w:szCs w:val="24"/>
        </w:rPr>
      </w:pPr>
      <w:r w:rsidRPr="006D71C7">
        <w:rPr>
          <w:b/>
          <w:bCs/>
          <w:position w:val="-1"/>
          <w:szCs w:val="24"/>
        </w:rPr>
        <w:t>Katowice</w:t>
      </w:r>
      <w:r w:rsidR="006667B3">
        <w:rPr>
          <w:b/>
          <w:bCs/>
          <w:position w:val="-1"/>
          <w:szCs w:val="24"/>
        </w:rPr>
        <w:t>,</w:t>
      </w:r>
      <w:r w:rsidR="00B53DE9">
        <w:rPr>
          <w:b/>
          <w:bCs/>
          <w:position w:val="-1"/>
          <w:szCs w:val="24"/>
        </w:rPr>
        <w:t xml:space="preserve"> </w:t>
      </w:r>
      <w:r w:rsidR="006667B3">
        <w:rPr>
          <w:b/>
          <w:bCs/>
          <w:position w:val="-1"/>
          <w:szCs w:val="24"/>
        </w:rPr>
        <w:t>26</w:t>
      </w:r>
      <w:r w:rsidR="00B53DE9">
        <w:rPr>
          <w:b/>
          <w:bCs/>
          <w:position w:val="-1"/>
          <w:szCs w:val="24"/>
        </w:rPr>
        <w:t xml:space="preserve"> </w:t>
      </w:r>
      <w:r w:rsidR="00DA56FE">
        <w:rPr>
          <w:b/>
          <w:bCs/>
          <w:position w:val="-1"/>
          <w:szCs w:val="24"/>
        </w:rPr>
        <w:t>czerwca</w:t>
      </w:r>
      <w:r w:rsidR="00BB169B" w:rsidRPr="006D71C7">
        <w:rPr>
          <w:b/>
          <w:bCs/>
          <w:position w:val="-1"/>
          <w:szCs w:val="24"/>
        </w:rPr>
        <w:t xml:space="preserve"> </w:t>
      </w:r>
      <w:r w:rsidR="00393D78" w:rsidRPr="006D71C7">
        <w:rPr>
          <w:b/>
          <w:bCs/>
          <w:position w:val="-1"/>
          <w:szCs w:val="24"/>
        </w:rPr>
        <w:t>2012</w:t>
      </w:r>
      <w:r w:rsidR="00550E75" w:rsidRPr="006D71C7">
        <w:rPr>
          <w:b/>
          <w:bCs/>
          <w:position w:val="-1"/>
          <w:szCs w:val="24"/>
        </w:rPr>
        <w:t xml:space="preserve"> rok</w:t>
      </w:r>
    </w:p>
    <w:p w:rsidR="000304D8" w:rsidRPr="00DA56FE" w:rsidRDefault="00763B83" w:rsidP="00DA56FE">
      <w:pPr>
        <w:pStyle w:val="Nagwek1"/>
        <w:numPr>
          <w:ilvl w:val="0"/>
          <w:numId w:val="0"/>
        </w:numPr>
        <w:ind w:left="432" w:hanging="432"/>
        <w:jc w:val="both"/>
        <w:rPr>
          <w:i/>
        </w:rPr>
      </w:pPr>
      <w:bookmarkStart w:id="1" w:name="_Toc327259201"/>
      <w:r w:rsidRPr="006D71C7">
        <w:rPr>
          <w:i/>
        </w:rPr>
        <w:lastRenderedPageBreak/>
        <w:t>Spis treści</w:t>
      </w:r>
      <w:bookmarkEnd w:id="1"/>
    </w:p>
    <w:p w:rsidR="00DA56FE" w:rsidRPr="00DA56FE" w:rsidRDefault="008F7228">
      <w:pPr>
        <w:pStyle w:val="Spistreci1"/>
        <w:rPr>
          <w:rFonts w:ascii="Times New Roman" w:eastAsiaTheme="minorEastAsia" w:hAnsi="Times New Roman"/>
          <w:b w:val="0"/>
          <w:bCs w:val="0"/>
          <w:iCs w:val="0"/>
          <w:noProof/>
          <w:sz w:val="20"/>
          <w:szCs w:val="20"/>
        </w:rPr>
      </w:pPr>
      <w:r w:rsidRPr="006D71C7">
        <w:fldChar w:fldCharType="begin"/>
      </w:r>
      <w:r w:rsidR="007338BD" w:rsidRPr="006D71C7">
        <w:instrText xml:space="preserve"> TOC \o "1-3" \h \z \u </w:instrText>
      </w:r>
      <w:r w:rsidRPr="006D71C7">
        <w:fldChar w:fldCharType="separate"/>
      </w:r>
      <w:hyperlink w:anchor="_Toc327259201" w:history="1">
        <w:r w:rsidR="00DA56FE" w:rsidRPr="00DA56FE">
          <w:rPr>
            <w:rStyle w:val="Hipercze"/>
            <w:rFonts w:ascii="Times New Roman" w:hAnsi="Times New Roman"/>
            <w:noProof/>
            <w:sz w:val="20"/>
            <w:szCs w:val="20"/>
          </w:rPr>
          <w:t>Spis treści</w:t>
        </w:r>
        <w:r w:rsidR="00DA56FE" w:rsidRPr="00DA56FE">
          <w:rPr>
            <w:rFonts w:ascii="Times New Roman" w:hAnsi="Times New Roman"/>
            <w:noProof/>
            <w:webHidden/>
            <w:sz w:val="20"/>
            <w:szCs w:val="20"/>
          </w:rPr>
          <w:tab/>
        </w:r>
        <w:r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_Toc327259201 \h </w:instrText>
        </w:r>
        <w:r w:rsidRPr="00DA56FE">
          <w:rPr>
            <w:rFonts w:ascii="Times New Roman" w:hAnsi="Times New Roman"/>
            <w:noProof/>
            <w:webHidden/>
            <w:sz w:val="20"/>
            <w:szCs w:val="20"/>
          </w:rPr>
        </w:r>
        <w:r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2</w:t>
        </w:r>
        <w:r w:rsidRPr="00DA56FE">
          <w:rPr>
            <w:rFonts w:ascii="Times New Roman" w:hAnsi="Times New Roman"/>
            <w:noProof/>
            <w:webHidden/>
            <w:sz w:val="20"/>
            <w:szCs w:val="20"/>
          </w:rPr>
          <w:fldChar w:fldCharType="end"/>
        </w:r>
      </w:hyperlink>
    </w:p>
    <w:p w:rsidR="00DA56FE" w:rsidRPr="00DA56FE" w:rsidRDefault="0046793D">
      <w:pPr>
        <w:pStyle w:val="Spistreci1"/>
        <w:rPr>
          <w:rFonts w:ascii="Times New Roman" w:eastAsiaTheme="minorEastAsia" w:hAnsi="Times New Roman"/>
          <w:b w:val="0"/>
          <w:bCs w:val="0"/>
          <w:iCs w:val="0"/>
          <w:noProof/>
          <w:sz w:val="20"/>
          <w:szCs w:val="20"/>
        </w:rPr>
      </w:pPr>
      <w:hyperlink w:anchor="_Toc327259202" w:history="1">
        <w:r w:rsidR="00DA56FE" w:rsidRPr="00DA56FE">
          <w:rPr>
            <w:rStyle w:val="Hipercze"/>
            <w:rFonts w:ascii="Times New Roman" w:hAnsi="Times New Roman"/>
            <w:noProof/>
            <w:sz w:val="20"/>
            <w:szCs w:val="20"/>
          </w:rPr>
          <w:t>Załączniki</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_Toc327259202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5</w:t>
        </w:r>
        <w:r w:rsidR="008F7228" w:rsidRPr="00DA56FE">
          <w:rPr>
            <w:rFonts w:ascii="Times New Roman" w:hAnsi="Times New Roman"/>
            <w:noProof/>
            <w:webHidden/>
            <w:sz w:val="20"/>
            <w:szCs w:val="20"/>
          </w:rPr>
          <w:fldChar w:fldCharType="end"/>
        </w:r>
      </w:hyperlink>
    </w:p>
    <w:p w:rsidR="00DA56FE" w:rsidRPr="00DA56FE" w:rsidRDefault="0046793D">
      <w:pPr>
        <w:pStyle w:val="Spistreci1"/>
        <w:rPr>
          <w:rFonts w:ascii="Times New Roman" w:eastAsiaTheme="minorEastAsia" w:hAnsi="Times New Roman"/>
          <w:b w:val="0"/>
          <w:bCs w:val="0"/>
          <w:iCs w:val="0"/>
          <w:noProof/>
          <w:sz w:val="20"/>
          <w:szCs w:val="20"/>
        </w:rPr>
      </w:pPr>
      <w:hyperlink w:anchor="_Toc327259203" w:history="1">
        <w:r w:rsidR="00DA56FE" w:rsidRPr="00DA56FE">
          <w:rPr>
            <w:rStyle w:val="Hipercze"/>
            <w:rFonts w:ascii="Times New Roman" w:hAnsi="Times New Roman"/>
            <w:noProof/>
            <w:sz w:val="20"/>
            <w:szCs w:val="20"/>
          </w:rPr>
          <w:t>Wykaz skrótów</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_Toc327259203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6</w:t>
        </w:r>
        <w:r w:rsidR="008F7228" w:rsidRPr="00DA56FE">
          <w:rPr>
            <w:rFonts w:ascii="Times New Roman" w:hAnsi="Times New Roman"/>
            <w:noProof/>
            <w:webHidden/>
            <w:sz w:val="20"/>
            <w:szCs w:val="20"/>
          </w:rPr>
          <w:fldChar w:fldCharType="end"/>
        </w:r>
      </w:hyperlink>
    </w:p>
    <w:p w:rsidR="00DA56FE" w:rsidRPr="00DA56FE" w:rsidRDefault="0046793D" w:rsidP="00DA56FE">
      <w:pPr>
        <w:pStyle w:val="Spistreci1"/>
        <w:tabs>
          <w:tab w:val="left" w:pos="284"/>
        </w:tabs>
        <w:rPr>
          <w:rFonts w:ascii="Times New Roman" w:eastAsiaTheme="minorEastAsia" w:hAnsi="Times New Roman"/>
          <w:b w:val="0"/>
          <w:bCs w:val="0"/>
          <w:iCs w:val="0"/>
          <w:noProof/>
          <w:sz w:val="20"/>
          <w:szCs w:val="20"/>
        </w:rPr>
      </w:pPr>
      <w:hyperlink w:anchor="_Toc327259204" w:history="1">
        <w:r w:rsidR="00DA56FE" w:rsidRPr="00DA56FE">
          <w:rPr>
            <w:rStyle w:val="Hipercze"/>
            <w:rFonts w:ascii="Times New Roman" w:hAnsi="Times New Roman"/>
            <w:noProof/>
            <w:sz w:val="20"/>
            <w:szCs w:val="20"/>
          </w:rPr>
          <w:t>1.</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INFORMACJE WSTĘPNE</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_Toc327259204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9</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480"/>
        </w:tabs>
        <w:rPr>
          <w:rFonts w:ascii="Times New Roman" w:eastAsiaTheme="minorEastAsia" w:hAnsi="Times New Roman"/>
          <w:b w:val="0"/>
          <w:bCs w:val="0"/>
          <w:iCs w:val="0"/>
          <w:noProof/>
          <w:sz w:val="20"/>
          <w:szCs w:val="20"/>
        </w:rPr>
      </w:pPr>
      <w:hyperlink w:anchor="_Toc327259205" w:history="1">
        <w:r w:rsidR="00DA56FE" w:rsidRPr="00DA56FE">
          <w:rPr>
            <w:rStyle w:val="Hipercze"/>
            <w:rFonts w:ascii="Times New Roman" w:hAnsi="Times New Roman"/>
            <w:noProof/>
            <w:sz w:val="20"/>
            <w:szCs w:val="20"/>
          </w:rPr>
          <w:t>2.</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3"/>
            <w:sz w:val="20"/>
            <w:szCs w:val="20"/>
          </w:rPr>
          <w:t>PRZEGLĄD REALIZACJI RPO WSL</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_Toc327259205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10</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06" w:history="1">
        <w:r w:rsidR="00DA56FE" w:rsidRPr="00DA56FE">
          <w:rPr>
            <w:rStyle w:val="Hipercze"/>
            <w:rFonts w:ascii="Times New Roman" w:hAnsi="Times New Roman"/>
            <w:noProof/>
            <w:sz w:val="20"/>
            <w:szCs w:val="20"/>
          </w:rPr>
          <w:t>2.1.</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REALIZACJA I ANALIZA POSTĘPÓW</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_Toc327259206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960"/>
        </w:tabs>
        <w:rPr>
          <w:rFonts w:ascii="Times New Roman" w:eastAsiaTheme="minorEastAsia" w:hAnsi="Times New Roman"/>
          <w:b w:val="0"/>
          <w:bCs w:val="0"/>
          <w:iCs w:val="0"/>
          <w:noProof/>
          <w:sz w:val="20"/>
          <w:szCs w:val="20"/>
        </w:rPr>
      </w:pPr>
      <w:hyperlink w:anchor="_Toc327259207" w:history="1">
        <w:r w:rsidR="00DA56FE" w:rsidRPr="00DA56FE">
          <w:rPr>
            <w:rStyle w:val="Hipercze"/>
            <w:rFonts w:ascii="Times New Roman" w:hAnsi="Times New Roman"/>
            <w:noProof/>
            <w:sz w:val="20"/>
            <w:szCs w:val="20"/>
          </w:rPr>
          <w:t>2.1.1.</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INFORMACJE NA TEMAT POSTĘPÓW RZECZOWYCH RPO WSL</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_Toc327259207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960"/>
        </w:tabs>
        <w:rPr>
          <w:rFonts w:ascii="Times New Roman" w:eastAsiaTheme="minorEastAsia" w:hAnsi="Times New Roman"/>
          <w:b w:val="0"/>
          <w:bCs w:val="0"/>
          <w:iCs w:val="0"/>
          <w:noProof/>
          <w:sz w:val="20"/>
          <w:szCs w:val="20"/>
        </w:rPr>
      </w:pPr>
      <w:hyperlink w:anchor="_Toc327259208" w:history="1">
        <w:r w:rsidR="00DA56FE" w:rsidRPr="00DA56FE">
          <w:rPr>
            <w:rStyle w:val="Hipercze"/>
            <w:rFonts w:ascii="Times New Roman" w:hAnsi="Times New Roman"/>
            <w:noProof/>
            <w:sz w:val="20"/>
            <w:szCs w:val="20"/>
          </w:rPr>
          <w:t>2.1.2.</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INFORMACJE FINANSOWE</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_Toc327259208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960"/>
        </w:tabs>
        <w:rPr>
          <w:rFonts w:ascii="Times New Roman" w:eastAsiaTheme="minorEastAsia" w:hAnsi="Times New Roman"/>
          <w:b w:val="0"/>
          <w:bCs w:val="0"/>
          <w:iCs w:val="0"/>
          <w:noProof/>
          <w:sz w:val="20"/>
          <w:szCs w:val="20"/>
        </w:rPr>
      </w:pPr>
      <w:hyperlink w:anchor="_Toc327259209" w:history="1">
        <w:r w:rsidR="00DA56FE" w:rsidRPr="00DA56FE">
          <w:rPr>
            <w:rStyle w:val="Hipercze"/>
            <w:rFonts w:ascii="Times New Roman" w:hAnsi="Times New Roman"/>
            <w:noProof/>
            <w:sz w:val="20"/>
            <w:szCs w:val="20"/>
          </w:rPr>
          <w:t>2.1.3.</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INFORMACJE NT. PODZIAŁU WYKORZYSTANIA FUNDUSZY WG KATEGORII INTERWENCJI</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_Toc327259209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960"/>
        </w:tabs>
        <w:rPr>
          <w:rFonts w:ascii="Times New Roman" w:eastAsiaTheme="minorEastAsia" w:hAnsi="Times New Roman"/>
          <w:b w:val="0"/>
          <w:bCs w:val="0"/>
          <w:iCs w:val="0"/>
          <w:noProof/>
          <w:sz w:val="20"/>
          <w:szCs w:val="20"/>
        </w:rPr>
      </w:pPr>
      <w:hyperlink w:anchor="_Toc327259210" w:history="1">
        <w:r w:rsidR="00DA56FE" w:rsidRPr="00DA56FE">
          <w:rPr>
            <w:rStyle w:val="Hipercze"/>
            <w:rFonts w:ascii="Times New Roman" w:hAnsi="Times New Roman"/>
            <w:noProof/>
            <w:sz w:val="20"/>
            <w:szCs w:val="20"/>
          </w:rPr>
          <w:t>2.1.4.</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3"/>
            <w:sz w:val="20"/>
            <w:szCs w:val="20"/>
          </w:rPr>
          <w:t>POMOC W PODZIALE NA GRUPY DOCELOWE</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_Toc327259210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960"/>
        </w:tabs>
        <w:rPr>
          <w:rFonts w:ascii="Times New Roman" w:eastAsiaTheme="minorEastAsia" w:hAnsi="Times New Roman"/>
          <w:b w:val="0"/>
          <w:bCs w:val="0"/>
          <w:iCs w:val="0"/>
          <w:noProof/>
          <w:sz w:val="20"/>
          <w:szCs w:val="20"/>
        </w:rPr>
      </w:pPr>
      <w:hyperlink w:anchor="_Toc327259211" w:history="1">
        <w:r w:rsidR="00DA56FE" w:rsidRPr="00DA56FE">
          <w:rPr>
            <w:rStyle w:val="Hipercze"/>
            <w:rFonts w:ascii="Times New Roman" w:hAnsi="Times New Roman"/>
            <w:noProof/>
            <w:spacing w:val="-3"/>
            <w:sz w:val="20"/>
            <w:szCs w:val="20"/>
          </w:rPr>
          <w:t>2.1.5.</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3"/>
            <w:sz w:val="20"/>
            <w:szCs w:val="20"/>
          </w:rPr>
          <w:t>POMOC ZWRÓCONA LUB PONOWNIE WYKORZYSTANA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_Toc327259211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960"/>
        </w:tabs>
        <w:rPr>
          <w:rFonts w:ascii="Times New Roman" w:eastAsiaTheme="minorEastAsia" w:hAnsi="Times New Roman"/>
          <w:b w:val="0"/>
          <w:bCs w:val="0"/>
          <w:iCs w:val="0"/>
          <w:noProof/>
          <w:sz w:val="20"/>
          <w:szCs w:val="20"/>
        </w:rPr>
      </w:pPr>
      <w:hyperlink w:anchor="_Toc327259212" w:history="1">
        <w:r w:rsidR="00DA56FE" w:rsidRPr="00DA56FE">
          <w:rPr>
            <w:rStyle w:val="Hipercze"/>
            <w:rFonts w:ascii="Times New Roman" w:hAnsi="Times New Roman"/>
            <w:noProof/>
            <w:sz w:val="20"/>
            <w:szCs w:val="20"/>
          </w:rPr>
          <w:t>2.1.6.</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ANALIZA JAKOŚCIOWA RPO WSL</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_Toc327259212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1200"/>
        </w:tabs>
        <w:rPr>
          <w:rFonts w:ascii="Times New Roman" w:eastAsiaTheme="minorEastAsia" w:hAnsi="Times New Roman"/>
          <w:b w:val="0"/>
          <w:bCs w:val="0"/>
          <w:iCs w:val="0"/>
          <w:noProof/>
          <w:sz w:val="20"/>
          <w:szCs w:val="20"/>
        </w:rPr>
      </w:pPr>
      <w:hyperlink w:anchor="_Toc327259213" w:history="1">
        <w:r w:rsidR="00DA56FE" w:rsidRPr="00DA56FE">
          <w:rPr>
            <w:rStyle w:val="Hipercze"/>
            <w:rFonts w:ascii="Times New Roman" w:hAnsi="Times New Roman"/>
            <w:noProof/>
            <w:sz w:val="20"/>
            <w:szCs w:val="20"/>
          </w:rPr>
          <w:t>2.1.6.1.</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SYSTEM REALIZACJI RPO WSL</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_Toc327259213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1200"/>
        </w:tabs>
        <w:rPr>
          <w:rFonts w:ascii="Times New Roman" w:eastAsiaTheme="minorEastAsia" w:hAnsi="Times New Roman"/>
          <w:b w:val="0"/>
          <w:bCs w:val="0"/>
          <w:iCs w:val="0"/>
          <w:noProof/>
          <w:sz w:val="20"/>
          <w:szCs w:val="20"/>
        </w:rPr>
      </w:pPr>
      <w:hyperlink w:anchor="_Toc327259214" w:history="1">
        <w:r w:rsidR="00DA56FE" w:rsidRPr="00DA56FE">
          <w:rPr>
            <w:rStyle w:val="Hipercze"/>
            <w:rFonts w:ascii="Times New Roman" w:hAnsi="Times New Roman"/>
            <w:noProof/>
            <w:sz w:val="20"/>
            <w:szCs w:val="20"/>
          </w:rPr>
          <w:t>2.1.6.2.</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POSTP FINANSOWY I RZECZOWY</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_Toc327259214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20</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1200"/>
        </w:tabs>
        <w:rPr>
          <w:rFonts w:ascii="Times New Roman" w:eastAsiaTheme="minorEastAsia" w:hAnsi="Times New Roman"/>
          <w:b w:val="0"/>
          <w:bCs w:val="0"/>
          <w:iCs w:val="0"/>
          <w:noProof/>
          <w:sz w:val="20"/>
          <w:szCs w:val="20"/>
        </w:rPr>
      </w:pPr>
      <w:hyperlink w:anchor="_Toc327259215" w:history="1">
        <w:r w:rsidR="00DA56FE" w:rsidRPr="00DA56FE">
          <w:rPr>
            <w:rStyle w:val="Hipercze"/>
            <w:rFonts w:ascii="Times New Roman" w:hAnsi="Times New Roman"/>
            <w:noProof/>
            <w:sz w:val="20"/>
            <w:szCs w:val="20"/>
            <w:lang w:eastAsia="ar-SA"/>
          </w:rPr>
          <w:t>2.1.6.3.</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lang w:eastAsia="ar-SA"/>
          </w:rPr>
          <w:t>REKOMENDACJE KE</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_Toc327259215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40</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1200"/>
        </w:tabs>
        <w:rPr>
          <w:rFonts w:ascii="Times New Roman" w:eastAsiaTheme="minorEastAsia" w:hAnsi="Times New Roman"/>
          <w:b w:val="0"/>
          <w:bCs w:val="0"/>
          <w:iCs w:val="0"/>
          <w:noProof/>
          <w:sz w:val="20"/>
          <w:szCs w:val="20"/>
        </w:rPr>
      </w:pPr>
      <w:hyperlink w:anchor="_Toc327259216" w:history="1">
        <w:r w:rsidR="00DA56FE" w:rsidRPr="00DA56FE">
          <w:rPr>
            <w:rStyle w:val="Hipercze"/>
            <w:rFonts w:ascii="Times New Roman" w:hAnsi="Times New Roman"/>
            <w:noProof/>
            <w:sz w:val="20"/>
            <w:szCs w:val="20"/>
            <w:lang w:eastAsia="ar-SA"/>
          </w:rPr>
          <w:t>2.1.6.4.</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lang w:eastAsia="ar-SA"/>
          </w:rPr>
          <w:t>REKOMENDACJE IZ I INNYCH INSTYTUCJI</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_Toc327259216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40</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1200"/>
        </w:tabs>
        <w:rPr>
          <w:rFonts w:ascii="Times New Roman" w:eastAsiaTheme="minorEastAsia" w:hAnsi="Times New Roman"/>
          <w:b w:val="0"/>
          <w:bCs w:val="0"/>
          <w:iCs w:val="0"/>
          <w:noProof/>
          <w:sz w:val="20"/>
          <w:szCs w:val="20"/>
        </w:rPr>
      </w:pPr>
      <w:hyperlink w:anchor="_Toc327259217" w:history="1">
        <w:r w:rsidR="00DA56FE" w:rsidRPr="00DA56FE">
          <w:rPr>
            <w:rStyle w:val="Hipercze"/>
            <w:rFonts w:ascii="Times New Roman" w:hAnsi="Times New Roman"/>
            <w:noProof/>
            <w:sz w:val="20"/>
            <w:szCs w:val="20"/>
            <w:lang w:eastAsia="ar-SA"/>
          </w:rPr>
          <w:t>2.1.6.5.</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lang w:eastAsia="ar-SA"/>
          </w:rPr>
          <w:t>INSTRUMENTY INŻYNIERII FINANSOWEJ</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_Toc327259217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41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1200"/>
        </w:tabs>
        <w:rPr>
          <w:rFonts w:ascii="Times New Roman" w:eastAsiaTheme="minorEastAsia" w:hAnsi="Times New Roman"/>
          <w:b w:val="0"/>
          <w:bCs w:val="0"/>
          <w:iCs w:val="0"/>
          <w:noProof/>
          <w:sz w:val="20"/>
          <w:szCs w:val="20"/>
        </w:rPr>
      </w:pPr>
      <w:hyperlink w:anchor="_Toc327259218" w:history="1">
        <w:r w:rsidR="00DA56FE" w:rsidRPr="00DA56FE">
          <w:rPr>
            <w:rStyle w:val="Hipercze"/>
            <w:rFonts w:ascii="Times New Roman" w:hAnsi="Times New Roman"/>
            <w:noProof/>
            <w:sz w:val="20"/>
            <w:szCs w:val="20"/>
            <w:lang w:eastAsia="ar-SA"/>
          </w:rPr>
          <w:t>2.1.6.6.</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lang w:eastAsia="ar-SA"/>
          </w:rPr>
          <w:t>REALIZACJA ZAŁOŻEŃ STRATEGII EU 2020</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_Toc327259218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44</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1200"/>
        </w:tabs>
        <w:rPr>
          <w:rFonts w:ascii="Times New Roman" w:eastAsiaTheme="minorEastAsia" w:hAnsi="Times New Roman"/>
          <w:b w:val="0"/>
          <w:bCs w:val="0"/>
          <w:iCs w:val="0"/>
          <w:noProof/>
          <w:sz w:val="20"/>
          <w:szCs w:val="20"/>
        </w:rPr>
      </w:pPr>
      <w:hyperlink w:anchor="_Toc327259220" w:history="1">
        <w:r w:rsidR="00DA56FE" w:rsidRPr="00DA56FE">
          <w:rPr>
            <w:rStyle w:val="Hipercze"/>
            <w:rFonts w:ascii="Times New Roman" w:hAnsi="Times New Roman"/>
            <w:noProof/>
            <w:sz w:val="20"/>
            <w:szCs w:val="20"/>
          </w:rPr>
          <w:t>2.1.6.7.</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STRATEGIA UE DLA REGIONU MORZA BAŁTYCKIEGO</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_Toc327259220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47</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21" w:history="1">
        <w:r w:rsidR="00DA56FE" w:rsidRPr="00DA56FE">
          <w:rPr>
            <w:rStyle w:val="Hipercze"/>
            <w:rFonts w:ascii="Times New Roman" w:hAnsi="Times New Roman"/>
            <w:noProof/>
            <w:sz w:val="20"/>
            <w:szCs w:val="20"/>
          </w:rPr>
          <w:t>2.2</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INFORMACJA NA TEMAT ZGODNOŚCI Z PRZEPISAMI WSPÓŁNOTOWYMI</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_Toc327259221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49</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22" w:history="1">
        <w:r w:rsidR="00DA56FE" w:rsidRPr="00DA56FE">
          <w:rPr>
            <w:rStyle w:val="Hipercze"/>
            <w:rFonts w:ascii="Times New Roman" w:hAnsi="Times New Roman"/>
            <w:noProof/>
            <w:sz w:val="20"/>
            <w:szCs w:val="20"/>
          </w:rPr>
          <w:t>2.2.1</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ZASADA RÓWNOŚCI SZANS</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_Toc327259222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49</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23" w:history="1">
        <w:r w:rsidR="00DA56FE" w:rsidRPr="00DA56FE">
          <w:rPr>
            <w:rStyle w:val="Hipercze"/>
            <w:rFonts w:ascii="Times New Roman" w:hAnsi="Times New Roman"/>
            <w:noProof/>
            <w:sz w:val="20"/>
            <w:szCs w:val="20"/>
          </w:rPr>
          <w:t>2.2.2</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ZASADA PARTNERSTWA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_Toc327259223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51</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24" w:history="1">
        <w:r w:rsidR="00DA56FE" w:rsidRPr="00DA56FE">
          <w:rPr>
            <w:rStyle w:val="Hipercze"/>
            <w:rFonts w:ascii="Times New Roman" w:hAnsi="Times New Roman"/>
            <w:noProof/>
            <w:spacing w:val="1"/>
            <w:sz w:val="20"/>
            <w:szCs w:val="20"/>
          </w:rPr>
          <w:t>2.3</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1"/>
            <w:sz w:val="20"/>
            <w:szCs w:val="20"/>
          </w:rPr>
          <w:t>NAPOTKANE ZNACZĄCE PROBLEMY ORAZ PODJĘTE ŚRODKI ZARADCZE</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_Toc327259224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53</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25" w:history="1">
        <w:r w:rsidR="00DA56FE" w:rsidRPr="00DA56FE">
          <w:rPr>
            <w:rStyle w:val="Hipercze"/>
            <w:rFonts w:ascii="Times New Roman" w:hAnsi="Times New Roman"/>
            <w:noProof/>
            <w:spacing w:val="1"/>
            <w:sz w:val="20"/>
            <w:szCs w:val="20"/>
          </w:rPr>
          <w:t>2.4</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1"/>
            <w:sz w:val="20"/>
            <w:szCs w:val="20"/>
          </w:rPr>
          <w:t>ZMIANY W KONTEKŚCIE REALIZACJI RPO WSL</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_Toc327259225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55</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26" w:history="1">
        <w:r w:rsidR="00DA56FE" w:rsidRPr="00DA56FE">
          <w:rPr>
            <w:rStyle w:val="Hipercze"/>
            <w:rFonts w:ascii="Times New Roman" w:hAnsi="Times New Roman"/>
            <w:noProof/>
            <w:sz w:val="20"/>
            <w:szCs w:val="20"/>
          </w:rPr>
          <w:t>2.5</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1"/>
            <w:sz w:val="20"/>
            <w:szCs w:val="20"/>
          </w:rPr>
          <w:t>ZASADNICZE MODYFIKACJE W ROZUMIENIU ART. 57 ROZPORZĄDZENIA NR 10/83/2006</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_Toc327259226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59</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27" w:history="1">
        <w:r w:rsidR="00DA56FE" w:rsidRPr="00DA56FE">
          <w:rPr>
            <w:rStyle w:val="Hipercze"/>
            <w:rFonts w:ascii="Times New Roman" w:hAnsi="Times New Roman"/>
            <w:noProof/>
            <w:spacing w:val="-2"/>
            <w:sz w:val="20"/>
            <w:szCs w:val="20"/>
          </w:rPr>
          <w:t>2.6</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2"/>
            <w:sz w:val="20"/>
            <w:szCs w:val="20"/>
          </w:rPr>
          <w:t>KOMPLEMENTARNOŚĆ POMOCY Z INNYMI INSTRUMENTAMI WSPARCIA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_Toc327259227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59</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40" w:history="1">
        <w:r w:rsidR="00DA56FE" w:rsidRPr="00DA56FE">
          <w:rPr>
            <w:rStyle w:val="Hipercze"/>
            <w:rFonts w:ascii="Times New Roman" w:hAnsi="Times New Roman"/>
            <w:noProof/>
            <w:sz w:val="20"/>
            <w:szCs w:val="20"/>
          </w:rPr>
          <w:t>2.7</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MONITOROWANIE I OCENA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_Toc327259240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68</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41" w:history="1">
        <w:r w:rsidR="00DA56FE" w:rsidRPr="00DA56FE">
          <w:rPr>
            <w:rStyle w:val="Hipercze"/>
            <w:rFonts w:ascii="Times New Roman" w:hAnsi="Times New Roman"/>
            <w:noProof/>
            <w:spacing w:val="-2"/>
            <w:sz w:val="20"/>
            <w:szCs w:val="20"/>
          </w:rPr>
          <w:t>2.8</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2"/>
            <w:sz w:val="20"/>
            <w:szCs w:val="20"/>
          </w:rPr>
          <w:t>KRAJOWA REZERWA WYKONANIA POMOCY</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_Toc327259241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76</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480"/>
        </w:tabs>
        <w:rPr>
          <w:rFonts w:ascii="Times New Roman" w:eastAsiaTheme="minorEastAsia" w:hAnsi="Times New Roman"/>
          <w:b w:val="0"/>
          <w:bCs w:val="0"/>
          <w:iCs w:val="0"/>
          <w:noProof/>
          <w:sz w:val="20"/>
          <w:szCs w:val="20"/>
        </w:rPr>
      </w:pPr>
      <w:hyperlink w:anchor="_Toc327259242" w:history="1">
        <w:r w:rsidR="00DA56FE" w:rsidRPr="00DA56FE">
          <w:rPr>
            <w:rStyle w:val="Hipercze"/>
            <w:rFonts w:ascii="Times New Roman" w:hAnsi="Times New Roman"/>
            <w:noProof/>
            <w:sz w:val="20"/>
            <w:szCs w:val="20"/>
          </w:rPr>
          <w:t>3</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3"/>
            <w:sz w:val="20"/>
            <w:szCs w:val="20"/>
          </w:rPr>
          <w:t>REALIZACJA W PODZIALE NA PRIORYTETY, POSTĘP WDRAŻANIA PROGRAMU WG PRIORYTETÓW/OSI</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_Toc327259242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77</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50" w:history="1">
        <w:r w:rsidR="00DA56FE" w:rsidRPr="00DA56FE">
          <w:rPr>
            <w:rStyle w:val="Hipercze"/>
            <w:rFonts w:ascii="Times New Roman" w:hAnsi="Times New Roman"/>
            <w:noProof/>
            <w:sz w:val="20"/>
            <w:szCs w:val="20"/>
          </w:rPr>
          <w:t>3.2</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PRIORYTET II SPOŁECZEŃSTWO INFORMACYJNE</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_Toc327259250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89</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56" w:history="1">
        <w:r w:rsidR="00DA56FE" w:rsidRPr="00DA56FE">
          <w:rPr>
            <w:rStyle w:val="Hipercze"/>
            <w:rFonts w:ascii="Times New Roman" w:hAnsi="Times New Roman"/>
            <w:noProof/>
            <w:sz w:val="20"/>
            <w:szCs w:val="20"/>
          </w:rPr>
          <w:t>3.3</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PRIORYTET III TURYSTYKA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_Toc327259256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99</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62" w:history="1">
        <w:r w:rsidR="00DA56FE" w:rsidRPr="00DA56FE">
          <w:rPr>
            <w:rStyle w:val="Hipercze"/>
            <w:rFonts w:ascii="Times New Roman" w:hAnsi="Times New Roman"/>
            <w:noProof/>
            <w:sz w:val="20"/>
            <w:szCs w:val="20"/>
          </w:rPr>
          <w:t>3.4</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Priorytet IV – KULTURA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_Toc327259262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108</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68" w:history="1">
        <w:r w:rsidR="00DA56FE" w:rsidRPr="00DA56FE">
          <w:rPr>
            <w:rStyle w:val="Hipercze"/>
            <w:rFonts w:ascii="Times New Roman" w:hAnsi="Times New Roman"/>
            <w:noProof/>
            <w:sz w:val="20"/>
            <w:szCs w:val="20"/>
          </w:rPr>
          <w:t>3.5</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PRIORYTET V –ŚRODOWISKO</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_Toc327259268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115</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73" w:history="1">
        <w:r w:rsidR="00DA56FE" w:rsidRPr="00DA56FE">
          <w:rPr>
            <w:rStyle w:val="Hipercze"/>
            <w:rFonts w:ascii="Times New Roman" w:hAnsi="Times New Roman"/>
            <w:noProof/>
            <w:sz w:val="20"/>
            <w:szCs w:val="20"/>
          </w:rPr>
          <w:t>3.6</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PRIORYTET VI – ZRÓWNOWAŻONY ROZWÓJ MIAST</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_Toc327259273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80" w:history="1">
        <w:r w:rsidR="00DA56FE" w:rsidRPr="00DA56FE">
          <w:rPr>
            <w:rStyle w:val="Hipercze"/>
            <w:rFonts w:ascii="Times New Roman" w:hAnsi="Times New Roman"/>
            <w:noProof/>
            <w:sz w:val="20"/>
            <w:szCs w:val="20"/>
          </w:rPr>
          <w:t>3.7</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PRIORYTET VII – TRANSPORT</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_Toc327259280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86" w:history="1">
        <w:r w:rsidR="00DA56FE" w:rsidRPr="00DA56FE">
          <w:rPr>
            <w:rStyle w:val="Hipercze"/>
            <w:rFonts w:ascii="Times New Roman" w:hAnsi="Times New Roman"/>
            <w:noProof/>
            <w:sz w:val="20"/>
            <w:szCs w:val="20"/>
          </w:rPr>
          <w:t>3.8</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PRIORYTET VIII – INFRASTRUKTURA EDUKACYJNA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_Toc327259286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293" w:history="1">
        <w:r w:rsidR="00DA56FE" w:rsidRPr="00DA56FE">
          <w:rPr>
            <w:rStyle w:val="Hipercze"/>
            <w:rFonts w:ascii="Times New Roman" w:hAnsi="Times New Roman"/>
            <w:noProof/>
            <w:sz w:val="20"/>
            <w:szCs w:val="20"/>
          </w:rPr>
          <w:t>3.9</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PRIORYTET IX- ZDROWIE I REKREACJA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_Toc327259293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720"/>
        </w:tabs>
        <w:rPr>
          <w:rFonts w:ascii="Times New Roman" w:eastAsiaTheme="minorEastAsia" w:hAnsi="Times New Roman"/>
          <w:b w:val="0"/>
          <w:bCs w:val="0"/>
          <w:iCs w:val="0"/>
          <w:noProof/>
          <w:sz w:val="20"/>
          <w:szCs w:val="20"/>
        </w:rPr>
      </w:pPr>
      <w:hyperlink w:anchor="_Toc327259300" w:history="1">
        <w:r w:rsidR="00DA56FE" w:rsidRPr="00DA56FE">
          <w:rPr>
            <w:rStyle w:val="Hipercze"/>
            <w:rFonts w:ascii="Times New Roman" w:hAnsi="Times New Roman"/>
            <w:noProof/>
            <w:sz w:val="20"/>
            <w:szCs w:val="20"/>
          </w:rPr>
          <w:t>3.10</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z w:val="20"/>
            <w:szCs w:val="20"/>
          </w:rPr>
          <w:t>Priorytet X – POMOC TECHNICZNA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_Toc327259300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480"/>
        </w:tabs>
        <w:rPr>
          <w:rFonts w:ascii="Times New Roman" w:eastAsiaTheme="minorEastAsia" w:hAnsi="Times New Roman"/>
          <w:b w:val="0"/>
          <w:bCs w:val="0"/>
          <w:iCs w:val="0"/>
          <w:noProof/>
          <w:sz w:val="20"/>
          <w:szCs w:val="20"/>
        </w:rPr>
      </w:pPr>
      <w:hyperlink w:anchor="_Toc327259306" w:history="1">
        <w:r w:rsidR="00DA56FE" w:rsidRPr="00DA56FE">
          <w:rPr>
            <w:rStyle w:val="Hipercze"/>
            <w:rFonts w:ascii="Times New Roman" w:hAnsi="Times New Roman"/>
            <w:noProof/>
            <w:sz w:val="20"/>
            <w:szCs w:val="20"/>
          </w:rPr>
          <w:t>4</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3"/>
            <w:sz w:val="20"/>
            <w:szCs w:val="20"/>
          </w:rPr>
          <w:t xml:space="preserve">PROGRAMY WSPÓŁFINANSOWANE Z </w:t>
        </w:r>
        <w:r w:rsidR="00DA56FE" w:rsidRPr="00DA56FE">
          <w:rPr>
            <w:rStyle w:val="Hipercze"/>
            <w:rFonts w:ascii="Times New Roman" w:hAnsi="Times New Roman"/>
            <w:noProof/>
            <w:spacing w:val="1"/>
            <w:sz w:val="20"/>
            <w:szCs w:val="20"/>
          </w:rPr>
          <w:t>E</w:t>
        </w:r>
        <w:r w:rsidR="00DA56FE" w:rsidRPr="00DA56FE">
          <w:rPr>
            <w:rStyle w:val="Hipercze"/>
            <w:rFonts w:ascii="Times New Roman" w:hAnsi="Times New Roman"/>
            <w:noProof/>
            <w:spacing w:val="-3"/>
            <w:sz w:val="20"/>
            <w:szCs w:val="20"/>
          </w:rPr>
          <w:t>F</w:t>
        </w:r>
        <w:r w:rsidR="00DA56FE" w:rsidRPr="00DA56FE">
          <w:rPr>
            <w:rStyle w:val="Hipercze"/>
            <w:rFonts w:ascii="Times New Roman" w:hAnsi="Times New Roman"/>
            <w:noProof/>
            <w:sz w:val="20"/>
            <w:szCs w:val="20"/>
          </w:rPr>
          <w:t>S</w:t>
        </w:r>
        <w:r w:rsidR="00DA56FE" w:rsidRPr="00DA56FE">
          <w:rPr>
            <w:rStyle w:val="Hipercze"/>
            <w:rFonts w:ascii="Times New Roman" w:hAnsi="Times New Roman"/>
            <w:noProof/>
            <w:spacing w:val="1"/>
            <w:sz w:val="20"/>
            <w:szCs w:val="20"/>
          </w:rPr>
          <w:t xml:space="preserve"> </w:t>
        </w:r>
        <w:r w:rsidR="00DA56FE" w:rsidRPr="00DA56FE">
          <w:rPr>
            <w:rStyle w:val="Hipercze"/>
            <w:rFonts w:ascii="Times New Roman" w:hAnsi="Times New Roman"/>
            <w:noProof/>
            <w:sz w:val="20"/>
            <w:szCs w:val="20"/>
          </w:rPr>
          <w:t>– SPÓJNOŚĆ I KONCENTRACJA WSPARCIA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_Toc327259306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480"/>
        </w:tabs>
        <w:rPr>
          <w:rFonts w:ascii="Times New Roman" w:eastAsiaTheme="minorEastAsia" w:hAnsi="Times New Roman"/>
          <w:b w:val="0"/>
          <w:bCs w:val="0"/>
          <w:iCs w:val="0"/>
          <w:noProof/>
          <w:sz w:val="20"/>
          <w:szCs w:val="20"/>
        </w:rPr>
      </w:pPr>
      <w:hyperlink w:anchor="_Toc327259307" w:history="1">
        <w:r w:rsidR="00DA56FE" w:rsidRPr="00DA56FE">
          <w:rPr>
            <w:rStyle w:val="Hipercze"/>
            <w:rFonts w:ascii="Times New Roman" w:hAnsi="Times New Roman"/>
            <w:noProof/>
            <w:sz w:val="20"/>
            <w:szCs w:val="20"/>
          </w:rPr>
          <w:t>5</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3"/>
            <w:sz w:val="20"/>
            <w:szCs w:val="20"/>
          </w:rPr>
          <w:t>EFRR</w:t>
        </w:r>
        <w:r w:rsidR="00DA56FE" w:rsidRPr="00DA56FE">
          <w:rPr>
            <w:rStyle w:val="Hipercze"/>
            <w:rFonts w:ascii="Times New Roman" w:hAnsi="Times New Roman"/>
            <w:noProof/>
            <w:spacing w:val="3"/>
            <w:sz w:val="20"/>
            <w:szCs w:val="20"/>
          </w:rPr>
          <w:t>/</w:t>
        </w:r>
        <w:r w:rsidR="00DA56FE" w:rsidRPr="00DA56FE">
          <w:rPr>
            <w:rStyle w:val="Hipercze"/>
            <w:rFonts w:ascii="Times New Roman" w:hAnsi="Times New Roman"/>
            <w:noProof/>
            <w:spacing w:val="-3"/>
            <w:sz w:val="20"/>
            <w:szCs w:val="20"/>
          </w:rPr>
          <w:t>F</w:t>
        </w:r>
        <w:r w:rsidR="00DA56FE" w:rsidRPr="00DA56FE">
          <w:rPr>
            <w:rStyle w:val="Hipercze"/>
            <w:rFonts w:ascii="Times New Roman" w:hAnsi="Times New Roman"/>
            <w:noProof/>
            <w:sz w:val="20"/>
            <w:szCs w:val="20"/>
          </w:rPr>
          <w:t>S – DUŻE PROJEKTY</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_Toc327259307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480"/>
        </w:tabs>
        <w:rPr>
          <w:rFonts w:ascii="Times New Roman" w:eastAsiaTheme="minorEastAsia" w:hAnsi="Times New Roman"/>
          <w:b w:val="0"/>
          <w:bCs w:val="0"/>
          <w:iCs w:val="0"/>
          <w:noProof/>
          <w:sz w:val="20"/>
          <w:szCs w:val="20"/>
        </w:rPr>
      </w:pPr>
      <w:hyperlink w:anchor="_Toc327259324" w:history="1">
        <w:r w:rsidR="00DA56FE" w:rsidRPr="00DA56FE">
          <w:rPr>
            <w:rStyle w:val="Hipercze"/>
            <w:rFonts w:ascii="Times New Roman" w:hAnsi="Times New Roman"/>
            <w:noProof/>
            <w:spacing w:val="-3"/>
            <w:sz w:val="20"/>
            <w:szCs w:val="20"/>
          </w:rPr>
          <w:t>6</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3"/>
            <w:sz w:val="20"/>
            <w:szCs w:val="20"/>
          </w:rPr>
          <w:t>POMOC TECHNICZNA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_Toc327259324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tabs>
          <w:tab w:val="left" w:pos="480"/>
        </w:tabs>
        <w:rPr>
          <w:rFonts w:ascii="Times New Roman" w:eastAsiaTheme="minorEastAsia" w:hAnsi="Times New Roman"/>
          <w:b w:val="0"/>
          <w:bCs w:val="0"/>
          <w:iCs w:val="0"/>
          <w:noProof/>
          <w:sz w:val="20"/>
          <w:szCs w:val="20"/>
        </w:rPr>
      </w:pPr>
      <w:hyperlink w:anchor="_Toc327259325" w:history="1">
        <w:r w:rsidR="00DA56FE" w:rsidRPr="00DA56FE">
          <w:rPr>
            <w:rStyle w:val="Hipercze"/>
            <w:rFonts w:ascii="Times New Roman" w:hAnsi="Times New Roman"/>
            <w:noProof/>
            <w:sz w:val="20"/>
            <w:szCs w:val="20"/>
          </w:rPr>
          <w:t>7</w:t>
        </w:r>
        <w:r w:rsidR="00DA56FE" w:rsidRPr="00DA56FE">
          <w:rPr>
            <w:rFonts w:ascii="Times New Roman" w:eastAsiaTheme="minorEastAsia" w:hAnsi="Times New Roman"/>
            <w:b w:val="0"/>
            <w:bCs w:val="0"/>
            <w:iCs w:val="0"/>
            <w:noProof/>
            <w:sz w:val="20"/>
            <w:szCs w:val="20"/>
          </w:rPr>
          <w:tab/>
        </w:r>
        <w:r w:rsidR="00DA56FE" w:rsidRPr="00DA56FE">
          <w:rPr>
            <w:rStyle w:val="Hipercze"/>
            <w:rFonts w:ascii="Times New Roman" w:hAnsi="Times New Roman"/>
            <w:noProof/>
            <w:spacing w:val="-3"/>
            <w:sz w:val="20"/>
            <w:szCs w:val="20"/>
          </w:rPr>
          <w:t>PROMOCJA I INFORMACJA</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_Toc327259325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rPr>
          <w:rFonts w:ascii="Times New Roman" w:eastAsiaTheme="minorEastAsia" w:hAnsi="Times New Roman"/>
          <w:b w:val="0"/>
          <w:bCs w:val="0"/>
          <w:iCs w:val="0"/>
          <w:noProof/>
          <w:sz w:val="20"/>
          <w:szCs w:val="20"/>
        </w:rPr>
      </w:pPr>
      <w:hyperlink w:anchor="_Toc327259326" w:history="1">
        <w:r w:rsidR="00DA56FE" w:rsidRPr="00DA56FE">
          <w:rPr>
            <w:rStyle w:val="Hipercze"/>
            <w:rFonts w:ascii="Times New Roman" w:hAnsi="Times New Roman"/>
            <w:noProof/>
            <w:sz w:val="20"/>
            <w:szCs w:val="20"/>
          </w:rPr>
          <w:t>PODSUMOWANIE</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_Toc327259326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DA56FE" w:rsidRPr="00DA56FE" w:rsidRDefault="0046793D">
      <w:pPr>
        <w:pStyle w:val="Spistreci1"/>
        <w:rPr>
          <w:rFonts w:ascii="Times New Roman" w:eastAsiaTheme="minorEastAsia" w:hAnsi="Times New Roman"/>
          <w:b w:val="0"/>
          <w:bCs w:val="0"/>
          <w:iCs w:val="0"/>
          <w:noProof/>
          <w:sz w:val="20"/>
          <w:szCs w:val="20"/>
        </w:rPr>
      </w:pPr>
      <w:hyperlink w:anchor="_Toc327259327" w:history="1">
        <w:r w:rsidR="00DA56FE" w:rsidRPr="00DA56FE">
          <w:rPr>
            <w:rStyle w:val="Hipercze"/>
            <w:rFonts w:ascii="Times New Roman" w:hAnsi="Times New Roman"/>
            <w:noProof/>
            <w:sz w:val="20"/>
            <w:szCs w:val="20"/>
            <w:lang w:val="en-GB"/>
          </w:rPr>
          <w:t>STRESZCZENIE</w:t>
        </w:r>
        <w:r w:rsidR="00DA56FE" w:rsidRPr="00DA56FE">
          <w:rPr>
            <w:rFonts w:ascii="Times New Roman" w:hAnsi="Times New Roman"/>
            <w:noProof/>
            <w:webHidden/>
            <w:sz w:val="20"/>
            <w:szCs w:val="20"/>
          </w:rPr>
          <w:tab/>
        </w:r>
        <w:r w:rsidR="008F7228" w:rsidRPr="00DA56FE">
          <w:rPr>
            <w:rFonts w:ascii="Times New Roman" w:hAnsi="Times New Roman"/>
            <w:noProof/>
            <w:webHidden/>
            <w:sz w:val="20"/>
            <w:szCs w:val="20"/>
          </w:rPr>
          <w:fldChar w:fldCharType="begin"/>
        </w:r>
        <w:r w:rsidR="00DA56FE" w:rsidRPr="00DA56FE">
          <w:rPr>
            <w:rFonts w:ascii="Times New Roman" w:hAnsi="Times New Roman"/>
            <w:noProof/>
            <w:webHidden/>
            <w:sz w:val="20"/>
            <w:szCs w:val="20"/>
          </w:rPr>
          <w:instrText xml:space="preserve"> PAGEREF _Toc327259327 \h </w:instrText>
        </w:r>
        <w:r w:rsidR="008F7228" w:rsidRPr="00DA56FE">
          <w:rPr>
            <w:rFonts w:ascii="Times New Roman" w:hAnsi="Times New Roman"/>
            <w:noProof/>
            <w:webHidden/>
            <w:sz w:val="20"/>
            <w:szCs w:val="20"/>
          </w:rPr>
        </w:r>
        <w:r w:rsidR="008F7228" w:rsidRPr="00DA56FE">
          <w:rPr>
            <w:rFonts w:ascii="Times New Roman" w:hAnsi="Times New Roman"/>
            <w:noProof/>
            <w:webHidden/>
            <w:sz w:val="20"/>
            <w:szCs w:val="20"/>
          </w:rPr>
          <w:fldChar w:fldCharType="separate"/>
        </w:r>
        <w:r w:rsidR="006667B3">
          <w:rPr>
            <w:rFonts w:ascii="Times New Roman" w:hAnsi="Times New Roman"/>
            <w:noProof/>
            <w:webHidden/>
            <w:sz w:val="20"/>
            <w:szCs w:val="20"/>
          </w:rPr>
          <w:t>116</w:t>
        </w:r>
        <w:r w:rsidR="008F7228" w:rsidRPr="00DA56FE">
          <w:rPr>
            <w:rFonts w:ascii="Times New Roman" w:hAnsi="Times New Roman"/>
            <w:noProof/>
            <w:webHidden/>
            <w:sz w:val="20"/>
            <w:szCs w:val="20"/>
          </w:rPr>
          <w:fldChar w:fldCharType="end"/>
        </w:r>
      </w:hyperlink>
    </w:p>
    <w:p w:rsidR="00BB169B" w:rsidRPr="006D71C7" w:rsidRDefault="008F7228" w:rsidP="006D71C7">
      <w:pPr>
        <w:jc w:val="both"/>
      </w:pPr>
      <w:r w:rsidRPr="006D71C7">
        <w:rPr>
          <w:sz w:val="20"/>
          <w:szCs w:val="20"/>
        </w:rPr>
        <w:fldChar w:fldCharType="end"/>
      </w:r>
    </w:p>
    <w:p w:rsidR="00F97F45" w:rsidRPr="006D71C7" w:rsidRDefault="007338BD" w:rsidP="006D71C7">
      <w:pPr>
        <w:jc w:val="both"/>
        <w:rPr>
          <w:b/>
          <w:i/>
          <w:szCs w:val="24"/>
        </w:rPr>
      </w:pPr>
      <w:r w:rsidRPr="006D71C7">
        <w:rPr>
          <w:b/>
          <w:i/>
          <w:szCs w:val="24"/>
        </w:rPr>
        <w:t>Wykaz rysunk</w:t>
      </w:r>
      <w:r w:rsidRPr="006D71C7">
        <w:rPr>
          <w:rFonts w:hint="eastAsia"/>
          <w:b/>
          <w:i/>
          <w:szCs w:val="24"/>
        </w:rPr>
        <w:t>ó</w:t>
      </w:r>
      <w:r w:rsidRPr="006D71C7">
        <w:rPr>
          <w:b/>
          <w:i/>
          <w:szCs w:val="24"/>
        </w:rPr>
        <w:t>w i</w:t>
      </w:r>
      <w:r w:rsidR="00BB169B" w:rsidRPr="006D71C7">
        <w:rPr>
          <w:b/>
          <w:i/>
          <w:szCs w:val="24"/>
        </w:rPr>
        <w:t xml:space="preserve"> tabel</w:t>
      </w:r>
    </w:p>
    <w:p w:rsidR="00EF48C2" w:rsidRDefault="008F7228">
      <w:pPr>
        <w:pStyle w:val="Spisilustracji"/>
        <w:tabs>
          <w:tab w:val="right" w:leader="dot" w:pos="9062"/>
        </w:tabs>
        <w:rPr>
          <w:rFonts w:eastAsiaTheme="minorEastAsia" w:cstheme="minorBidi"/>
          <w:i w:val="0"/>
          <w:iCs w:val="0"/>
          <w:noProof/>
          <w:sz w:val="22"/>
          <w:szCs w:val="22"/>
        </w:rPr>
      </w:pPr>
      <w:r w:rsidRPr="006D71C7">
        <w:rPr>
          <w:b/>
        </w:rPr>
        <w:fldChar w:fldCharType="begin"/>
      </w:r>
      <w:r w:rsidR="00015623" w:rsidRPr="006D71C7">
        <w:rPr>
          <w:b/>
        </w:rPr>
        <w:instrText xml:space="preserve"> TOC \h \z \c "Tabela" </w:instrText>
      </w:r>
      <w:r w:rsidRPr="006D71C7">
        <w:rPr>
          <w:b/>
        </w:rPr>
        <w:fldChar w:fldCharType="separate"/>
      </w:r>
      <w:hyperlink w:anchor="_Toc326046354" w:history="1">
        <w:r w:rsidR="00EF48C2" w:rsidRPr="00343462">
          <w:rPr>
            <w:rStyle w:val="Hipercze"/>
            <w:noProof/>
          </w:rPr>
          <w:t>Tabela 1 Najważniejsze zmiany w URPO wprowadzone w okresie sprawozdawczym</w:t>
        </w:r>
        <w:r w:rsidR="00EF48C2">
          <w:rPr>
            <w:noProof/>
            <w:webHidden/>
          </w:rPr>
          <w:tab/>
        </w:r>
        <w:r>
          <w:rPr>
            <w:noProof/>
            <w:webHidden/>
          </w:rPr>
          <w:fldChar w:fldCharType="begin"/>
        </w:r>
        <w:r w:rsidR="00EF48C2">
          <w:rPr>
            <w:noProof/>
            <w:webHidden/>
          </w:rPr>
          <w:instrText xml:space="preserve"> PAGEREF _Toc326046354 \h </w:instrText>
        </w:r>
        <w:r>
          <w:rPr>
            <w:noProof/>
            <w:webHidden/>
          </w:rPr>
        </w:r>
        <w:r>
          <w:rPr>
            <w:noProof/>
            <w:webHidden/>
          </w:rPr>
          <w:fldChar w:fldCharType="separate"/>
        </w:r>
        <w:r w:rsidR="006667B3">
          <w:rPr>
            <w:noProof/>
            <w:webHidden/>
          </w:rPr>
          <w:t>13</w:t>
        </w:r>
        <w:r>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55" w:history="1">
        <w:r w:rsidR="00EF48C2" w:rsidRPr="00343462">
          <w:rPr>
            <w:rStyle w:val="Hipercze"/>
            <w:noProof/>
          </w:rPr>
          <w:t>Tabela 2 Najważniejsze zmiany w Podręczniku Procedur Wdrażania RPO WSL wprowadzone w okresie sprawozdawczym</w:t>
        </w:r>
        <w:r w:rsidR="00EF48C2">
          <w:rPr>
            <w:noProof/>
            <w:webHidden/>
          </w:rPr>
          <w:tab/>
        </w:r>
        <w:r w:rsidR="008F7228">
          <w:rPr>
            <w:noProof/>
            <w:webHidden/>
          </w:rPr>
          <w:fldChar w:fldCharType="begin"/>
        </w:r>
        <w:r w:rsidR="00EF48C2">
          <w:rPr>
            <w:noProof/>
            <w:webHidden/>
          </w:rPr>
          <w:instrText xml:space="preserve"> PAGEREF _Toc326046355 \h </w:instrText>
        </w:r>
        <w:r w:rsidR="008F7228">
          <w:rPr>
            <w:noProof/>
            <w:webHidden/>
          </w:rPr>
        </w:r>
        <w:r w:rsidR="008F7228">
          <w:rPr>
            <w:noProof/>
            <w:webHidden/>
          </w:rPr>
          <w:fldChar w:fldCharType="separate"/>
        </w:r>
        <w:r w:rsidR="006667B3">
          <w:rPr>
            <w:noProof/>
            <w:webHidden/>
          </w:rPr>
          <w:t>17</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56" w:history="1">
        <w:r w:rsidR="00EF48C2" w:rsidRPr="00343462">
          <w:rPr>
            <w:rStyle w:val="Hipercze"/>
            <w:noProof/>
          </w:rPr>
          <w:t>Tabela 3 Szczegółowe informacje dot. aktualizowanych wytycznych w okresie sprawozdawczym</w:t>
        </w:r>
        <w:r w:rsidR="00EF48C2">
          <w:rPr>
            <w:noProof/>
            <w:webHidden/>
          </w:rPr>
          <w:tab/>
        </w:r>
        <w:r w:rsidR="008F7228">
          <w:rPr>
            <w:noProof/>
            <w:webHidden/>
          </w:rPr>
          <w:fldChar w:fldCharType="begin"/>
        </w:r>
        <w:r w:rsidR="00EF48C2">
          <w:rPr>
            <w:noProof/>
            <w:webHidden/>
          </w:rPr>
          <w:instrText xml:space="preserve"> PAGEREF _Toc326046356 \h </w:instrText>
        </w:r>
        <w:r w:rsidR="008F7228">
          <w:rPr>
            <w:noProof/>
            <w:webHidden/>
          </w:rPr>
        </w:r>
        <w:r w:rsidR="008F7228">
          <w:rPr>
            <w:noProof/>
            <w:webHidden/>
          </w:rPr>
          <w:fldChar w:fldCharType="separate"/>
        </w:r>
        <w:r w:rsidR="006667B3">
          <w:rPr>
            <w:noProof/>
            <w:webHidden/>
          </w:rPr>
          <w:t>18</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57" w:history="1">
        <w:r w:rsidR="00EF48C2" w:rsidRPr="00343462">
          <w:rPr>
            <w:rStyle w:val="Hipercze"/>
            <w:noProof/>
          </w:rPr>
          <w:t>Tabela 4 Postęp wdrażania projektów kluczowych realizowanych w ramach RPO WSL w podziale na priorytety (w mln EUR)</w:t>
        </w:r>
        <w:r w:rsidR="00EF48C2">
          <w:rPr>
            <w:noProof/>
            <w:webHidden/>
          </w:rPr>
          <w:tab/>
        </w:r>
        <w:r w:rsidR="008F7228">
          <w:rPr>
            <w:noProof/>
            <w:webHidden/>
          </w:rPr>
          <w:fldChar w:fldCharType="begin"/>
        </w:r>
        <w:r w:rsidR="00EF48C2">
          <w:rPr>
            <w:noProof/>
            <w:webHidden/>
          </w:rPr>
          <w:instrText xml:space="preserve"> PAGEREF _Toc326046357 \h </w:instrText>
        </w:r>
        <w:r w:rsidR="008F7228">
          <w:rPr>
            <w:noProof/>
            <w:webHidden/>
          </w:rPr>
        </w:r>
        <w:r w:rsidR="008F7228">
          <w:rPr>
            <w:noProof/>
            <w:webHidden/>
          </w:rPr>
          <w:fldChar w:fldCharType="separate"/>
        </w:r>
        <w:r w:rsidR="006667B3">
          <w:rPr>
            <w:noProof/>
            <w:webHidden/>
          </w:rPr>
          <w:t>28</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58" w:history="1">
        <w:r w:rsidR="00EF48C2" w:rsidRPr="00343462">
          <w:rPr>
            <w:rStyle w:val="Hipercze"/>
            <w:noProof/>
          </w:rPr>
          <w:t>Tabela 5 Efekty z realizacji projektów w ramach PRS</w:t>
        </w:r>
        <w:r w:rsidR="00EF48C2">
          <w:rPr>
            <w:noProof/>
            <w:webHidden/>
          </w:rPr>
          <w:tab/>
        </w:r>
        <w:r w:rsidR="008F7228">
          <w:rPr>
            <w:noProof/>
            <w:webHidden/>
          </w:rPr>
          <w:fldChar w:fldCharType="begin"/>
        </w:r>
        <w:r w:rsidR="00EF48C2">
          <w:rPr>
            <w:noProof/>
            <w:webHidden/>
          </w:rPr>
          <w:instrText xml:space="preserve"> PAGEREF _Toc326046358 \h </w:instrText>
        </w:r>
        <w:r w:rsidR="008F7228">
          <w:rPr>
            <w:noProof/>
            <w:webHidden/>
          </w:rPr>
        </w:r>
        <w:r w:rsidR="008F7228">
          <w:rPr>
            <w:noProof/>
            <w:webHidden/>
          </w:rPr>
          <w:fldChar w:fldCharType="separate"/>
        </w:r>
        <w:r w:rsidR="006667B3">
          <w:rPr>
            <w:noProof/>
            <w:webHidden/>
          </w:rPr>
          <w:t>31</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59" w:history="1">
        <w:r w:rsidR="00EF48C2" w:rsidRPr="00343462">
          <w:rPr>
            <w:rStyle w:val="Hipercze"/>
            <w:noProof/>
          </w:rPr>
          <w:t>Tabela 6 Zestawienie naborów w ramach RPO WSL w podziale na instytucje i okres</w:t>
        </w:r>
        <w:r w:rsidR="00EF48C2">
          <w:rPr>
            <w:noProof/>
            <w:webHidden/>
          </w:rPr>
          <w:tab/>
        </w:r>
        <w:r w:rsidR="008F7228">
          <w:rPr>
            <w:noProof/>
            <w:webHidden/>
          </w:rPr>
          <w:fldChar w:fldCharType="begin"/>
        </w:r>
        <w:r w:rsidR="00EF48C2">
          <w:rPr>
            <w:noProof/>
            <w:webHidden/>
          </w:rPr>
          <w:instrText xml:space="preserve"> PAGEREF _Toc326046359 \h </w:instrText>
        </w:r>
        <w:r w:rsidR="008F7228">
          <w:rPr>
            <w:noProof/>
            <w:webHidden/>
          </w:rPr>
        </w:r>
        <w:r w:rsidR="008F7228">
          <w:rPr>
            <w:noProof/>
            <w:webHidden/>
          </w:rPr>
          <w:fldChar w:fldCharType="separate"/>
        </w:r>
        <w:r w:rsidR="006667B3">
          <w:rPr>
            <w:noProof/>
            <w:webHidden/>
          </w:rPr>
          <w:t>31</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0" w:history="1">
        <w:r w:rsidR="00EF48C2" w:rsidRPr="00343462">
          <w:rPr>
            <w:rStyle w:val="Hipercze"/>
            <w:noProof/>
          </w:rPr>
          <w:t>Tabela 7 Zestawienie zakontraktowanych środków w podziale na obszary przestrzenne od uruchomienia Programu w mln EUR</w:t>
        </w:r>
        <w:r w:rsidR="00EF48C2">
          <w:rPr>
            <w:noProof/>
            <w:webHidden/>
          </w:rPr>
          <w:tab/>
        </w:r>
        <w:r w:rsidR="008F7228">
          <w:rPr>
            <w:noProof/>
            <w:webHidden/>
          </w:rPr>
          <w:fldChar w:fldCharType="begin"/>
        </w:r>
        <w:r w:rsidR="00EF48C2">
          <w:rPr>
            <w:noProof/>
            <w:webHidden/>
          </w:rPr>
          <w:instrText xml:space="preserve"> PAGEREF _Toc326046360 \h </w:instrText>
        </w:r>
        <w:r w:rsidR="008F7228">
          <w:rPr>
            <w:noProof/>
            <w:webHidden/>
          </w:rPr>
        </w:r>
        <w:r w:rsidR="008F7228">
          <w:rPr>
            <w:noProof/>
            <w:webHidden/>
          </w:rPr>
          <w:fldChar w:fldCharType="separate"/>
        </w:r>
        <w:r w:rsidR="006667B3">
          <w:rPr>
            <w:noProof/>
            <w:webHidden/>
          </w:rPr>
          <w:t>32</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1" w:history="1">
        <w:r w:rsidR="00EF48C2" w:rsidRPr="00343462">
          <w:rPr>
            <w:rStyle w:val="Hipercze"/>
            <w:noProof/>
          </w:rPr>
          <w:t>Tabela 9 Posiedzenia Rady Inwestycyjnej w 2011 roku</w:t>
        </w:r>
        <w:r w:rsidR="00EF48C2">
          <w:rPr>
            <w:noProof/>
            <w:webHidden/>
          </w:rPr>
          <w:tab/>
        </w:r>
        <w:r w:rsidR="008F7228">
          <w:rPr>
            <w:noProof/>
            <w:webHidden/>
          </w:rPr>
          <w:fldChar w:fldCharType="begin"/>
        </w:r>
        <w:r w:rsidR="00EF48C2">
          <w:rPr>
            <w:noProof/>
            <w:webHidden/>
          </w:rPr>
          <w:instrText xml:space="preserve"> PAGEREF _Toc326046361 \h </w:instrText>
        </w:r>
        <w:r w:rsidR="008F7228">
          <w:rPr>
            <w:noProof/>
            <w:webHidden/>
          </w:rPr>
        </w:r>
        <w:r w:rsidR="008F7228">
          <w:rPr>
            <w:noProof/>
            <w:webHidden/>
          </w:rPr>
          <w:fldChar w:fldCharType="separate"/>
        </w:r>
        <w:r w:rsidR="006667B3">
          <w:rPr>
            <w:noProof/>
            <w:webHidden/>
          </w:rPr>
          <w:t>41</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2" w:history="1">
        <w:r w:rsidR="00EF48C2" w:rsidRPr="00343462">
          <w:rPr>
            <w:rStyle w:val="Hipercze"/>
            <w:noProof/>
          </w:rPr>
          <w:t>Tabela 10 Zestawienie udzielonych poręczeń wypłaconych pożyczek</w:t>
        </w:r>
        <w:r w:rsidR="00EF48C2">
          <w:rPr>
            <w:noProof/>
            <w:webHidden/>
          </w:rPr>
          <w:tab/>
        </w:r>
        <w:r w:rsidR="008F7228">
          <w:rPr>
            <w:noProof/>
            <w:webHidden/>
          </w:rPr>
          <w:fldChar w:fldCharType="begin"/>
        </w:r>
        <w:r w:rsidR="00EF48C2">
          <w:rPr>
            <w:noProof/>
            <w:webHidden/>
          </w:rPr>
          <w:instrText xml:space="preserve"> PAGEREF _Toc326046362 \h </w:instrText>
        </w:r>
        <w:r w:rsidR="008F7228">
          <w:rPr>
            <w:noProof/>
            <w:webHidden/>
          </w:rPr>
        </w:r>
        <w:r w:rsidR="008F7228">
          <w:rPr>
            <w:noProof/>
            <w:webHidden/>
          </w:rPr>
          <w:fldChar w:fldCharType="separate"/>
        </w:r>
        <w:r w:rsidR="006667B3">
          <w:rPr>
            <w:noProof/>
            <w:webHidden/>
          </w:rPr>
          <w:t>43</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3" w:history="1">
        <w:r w:rsidR="00EF48C2" w:rsidRPr="00343462">
          <w:rPr>
            <w:rStyle w:val="Hipercze"/>
            <w:noProof/>
          </w:rPr>
          <w:t xml:space="preserve">Tabela 11 </w:t>
        </w:r>
        <w:r w:rsidR="00EF48C2" w:rsidRPr="00343462">
          <w:rPr>
            <w:rStyle w:val="Hipercze"/>
            <w:rFonts w:eastAsia="Calibri"/>
            <w:noProof/>
          </w:rPr>
          <w:t>Poziom kontraktacji i płatności dla umów wpisujących się w inicjatywy flagowe Strategii Europa 2020</w:t>
        </w:r>
        <w:r w:rsidR="00EF48C2">
          <w:rPr>
            <w:noProof/>
            <w:webHidden/>
          </w:rPr>
          <w:tab/>
        </w:r>
        <w:r w:rsidR="008F7228">
          <w:rPr>
            <w:noProof/>
            <w:webHidden/>
          </w:rPr>
          <w:fldChar w:fldCharType="begin"/>
        </w:r>
        <w:r w:rsidR="00EF48C2">
          <w:rPr>
            <w:noProof/>
            <w:webHidden/>
          </w:rPr>
          <w:instrText xml:space="preserve"> PAGEREF _Toc326046363 \h </w:instrText>
        </w:r>
        <w:r w:rsidR="008F7228">
          <w:rPr>
            <w:noProof/>
            <w:webHidden/>
          </w:rPr>
        </w:r>
        <w:r w:rsidR="008F7228">
          <w:rPr>
            <w:noProof/>
            <w:webHidden/>
          </w:rPr>
          <w:fldChar w:fldCharType="separate"/>
        </w:r>
        <w:r w:rsidR="006667B3">
          <w:rPr>
            <w:noProof/>
            <w:webHidden/>
          </w:rPr>
          <w:t>45</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4" w:history="1">
        <w:r w:rsidR="00EF48C2" w:rsidRPr="00343462">
          <w:rPr>
            <w:rStyle w:val="Hipercze"/>
            <w:noProof/>
          </w:rPr>
          <w:t>Tabela 12 Odniesienie osi priorytetowych RPO WSL do Strategii UE dla Regionu Morza Bałtyckiego</w:t>
        </w:r>
        <w:r w:rsidR="00EF48C2">
          <w:rPr>
            <w:noProof/>
            <w:webHidden/>
          </w:rPr>
          <w:tab/>
        </w:r>
        <w:r w:rsidR="008F7228">
          <w:rPr>
            <w:noProof/>
            <w:webHidden/>
          </w:rPr>
          <w:fldChar w:fldCharType="begin"/>
        </w:r>
        <w:r w:rsidR="00EF48C2">
          <w:rPr>
            <w:noProof/>
            <w:webHidden/>
          </w:rPr>
          <w:instrText xml:space="preserve"> PAGEREF _Toc326046364 \h </w:instrText>
        </w:r>
        <w:r w:rsidR="008F7228">
          <w:rPr>
            <w:noProof/>
            <w:webHidden/>
          </w:rPr>
        </w:r>
        <w:r w:rsidR="008F7228">
          <w:rPr>
            <w:noProof/>
            <w:webHidden/>
          </w:rPr>
          <w:fldChar w:fldCharType="separate"/>
        </w:r>
        <w:r w:rsidR="006667B3">
          <w:rPr>
            <w:noProof/>
            <w:webHidden/>
          </w:rPr>
          <w:t>48</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5" w:history="1">
        <w:r w:rsidR="00EF48C2" w:rsidRPr="00343462">
          <w:rPr>
            <w:rStyle w:val="Hipercze"/>
            <w:noProof/>
          </w:rPr>
          <w:t>Tabela 13 Harmonogram posiedzeń Komitetu Monitorującego RPO WSL w 2011r.</w:t>
        </w:r>
        <w:r w:rsidR="00EF48C2">
          <w:rPr>
            <w:noProof/>
            <w:webHidden/>
          </w:rPr>
          <w:tab/>
        </w:r>
        <w:r w:rsidR="008F7228">
          <w:rPr>
            <w:noProof/>
            <w:webHidden/>
          </w:rPr>
          <w:fldChar w:fldCharType="begin"/>
        </w:r>
        <w:r w:rsidR="00EF48C2">
          <w:rPr>
            <w:noProof/>
            <w:webHidden/>
          </w:rPr>
          <w:instrText xml:space="preserve"> PAGEREF _Toc326046365 \h </w:instrText>
        </w:r>
        <w:r w:rsidR="008F7228">
          <w:rPr>
            <w:noProof/>
            <w:webHidden/>
          </w:rPr>
        </w:r>
        <w:r w:rsidR="008F7228">
          <w:rPr>
            <w:noProof/>
            <w:webHidden/>
          </w:rPr>
          <w:fldChar w:fldCharType="separate"/>
        </w:r>
        <w:r w:rsidR="006667B3">
          <w:rPr>
            <w:noProof/>
            <w:webHidden/>
          </w:rPr>
          <w:t>69</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6" w:history="1">
        <w:r w:rsidR="00EF48C2" w:rsidRPr="00343462">
          <w:rPr>
            <w:rStyle w:val="Hipercze"/>
            <w:noProof/>
          </w:rPr>
          <w:t>Tabela 14 Postęp realizacji priorytetu I w podziale na działania</w:t>
        </w:r>
        <w:r w:rsidR="00EF48C2">
          <w:rPr>
            <w:noProof/>
            <w:webHidden/>
          </w:rPr>
          <w:tab/>
        </w:r>
        <w:r w:rsidR="008F7228">
          <w:rPr>
            <w:noProof/>
            <w:webHidden/>
          </w:rPr>
          <w:fldChar w:fldCharType="begin"/>
        </w:r>
        <w:r w:rsidR="00EF48C2">
          <w:rPr>
            <w:noProof/>
            <w:webHidden/>
          </w:rPr>
          <w:instrText xml:space="preserve"> PAGEREF _Toc326046366 \h </w:instrText>
        </w:r>
        <w:r w:rsidR="008F7228">
          <w:rPr>
            <w:noProof/>
            <w:webHidden/>
          </w:rPr>
        </w:r>
        <w:r w:rsidR="008F7228">
          <w:rPr>
            <w:noProof/>
            <w:webHidden/>
          </w:rPr>
          <w:fldChar w:fldCharType="separate"/>
        </w:r>
        <w:r w:rsidR="006667B3">
          <w:rPr>
            <w:noProof/>
            <w:webHidden/>
          </w:rPr>
          <w:t>80</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7" w:history="1">
        <w:r w:rsidR="00EF48C2" w:rsidRPr="00343462">
          <w:rPr>
            <w:rStyle w:val="Hipercze"/>
            <w:noProof/>
          </w:rPr>
          <w:t>Tabela 15 Zbiorcze zestawienie naborów w ramach priorytetu I</w:t>
        </w:r>
        <w:r w:rsidR="00EF48C2">
          <w:rPr>
            <w:noProof/>
            <w:webHidden/>
          </w:rPr>
          <w:tab/>
        </w:r>
        <w:r w:rsidR="008F7228">
          <w:rPr>
            <w:noProof/>
            <w:webHidden/>
          </w:rPr>
          <w:fldChar w:fldCharType="begin"/>
        </w:r>
        <w:r w:rsidR="00EF48C2">
          <w:rPr>
            <w:noProof/>
            <w:webHidden/>
          </w:rPr>
          <w:instrText xml:space="preserve"> PAGEREF _Toc326046367 \h </w:instrText>
        </w:r>
        <w:r w:rsidR="008F7228">
          <w:rPr>
            <w:noProof/>
            <w:webHidden/>
          </w:rPr>
        </w:r>
        <w:r w:rsidR="008F7228">
          <w:rPr>
            <w:noProof/>
            <w:webHidden/>
          </w:rPr>
          <w:fldChar w:fldCharType="separate"/>
        </w:r>
        <w:r w:rsidR="006667B3">
          <w:rPr>
            <w:noProof/>
            <w:webHidden/>
          </w:rPr>
          <w:t>81</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8" w:history="1">
        <w:r w:rsidR="00EF48C2" w:rsidRPr="00343462">
          <w:rPr>
            <w:rStyle w:val="Hipercze"/>
            <w:noProof/>
          </w:rPr>
          <w:t>Tabela 16 Rozkład projektów w ramach priorytetu I w podziale na obszary (wartość w mln EUR i liczba)</w:t>
        </w:r>
        <w:r w:rsidR="00EF48C2">
          <w:rPr>
            <w:noProof/>
            <w:webHidden/>
          </w:rPr>
          <w:tab/>
        </w:r>
        <w:r w:rsidR="008F7228">
          <w:rPr>
            <w:noProof/>
            <w:webHidden/>
          </w:rPr>
          <w:fldChar w:fldCharType="begin"/>
        </w:r>
        <w:r w:rsidR="00EF48C2">
          <w:rPr>
            <w:noProof/>
            <w:webHidden/>
          </w:rPr>
          <w:instrText xml:space="preserve"> PAGEREF _Toc326046368 \h </w:instrText>
        </w:r>
        <w:r w:rsidR="008F7228">
          <w:rPr>
            <w:noProof/>
            <w:webHidden/>
          </w:rPr>
        </w:r>
        <w:r w:rsidR="008F7228">
          <w:rPr>
            <w:noProof/>
            <w:webHidden/>
          </w:rPr>
          <w:fldChar w:fldCharType="separate"/>
        </w:r>
        <w:r w:rsidR="006667B3">
          <w:rPr>
            <w:noProof/>
            <w:webHidden/>
          </w:rPr>
          <w:t>82</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69" w:history="1">
        <w:r w:rsidR="00EF48C2" w:rsidRPr="00343462">
          <w:rPr>
            <w:rStyle w:val="Hipercze"/>
            <w:noProof/>
          </w:rPr>
          <w:t>Tabela 17 Postęp realizacji priorytetu II w podziale na działania od uruchomienia Programu</w:t>
        </w:r>
        <w:r w:rsidR="00EF48C2">
          <w:rPr>
            <w:noProof/>
            <w:webHidden/>
          </w:rPr>
          <w:tab/>
        </w:r>
        <w:r w:rsidR="008F7228">
          <w:rPr>
            <w:noProof/>
            <w:webHidden/>
          </w:rPr>
          <w:fldChar w:fldCharType="begin"/>
        </w:r>
        <w:r w:rsidR="00EF48C2">
          <w:rPr>
            <w:noProof/>
            <w:webHidden/>
          </w:rPr>
          <w:instrText xml:space="preserve"> PAGEREF _Toc326046369 \h </w:instrText>
        </w:r>
        <w:r w:rsidR="008F7228">
          <w:rPr>
            <w:noProof/>
            <w:webHidden/>
          </w:rPr>
        </w:r>
        <w:r w:rsidR="008F7228">
          <w:rPr>
            <w:noProof/>
            <w:webHidden/>
          </w:rPr>
          <w:fldChar w:fldCharType="separate"/>
        </w:r>
        <w:r w:rsidR="006667B3">
          <w:rPr>
            <w:noProof/>
            <w:webHidden/>
          </w:rPr>
          <w:t>91</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0" w:history="1">
        <w:r w:rsidR="00EF48C2" w:rsidRPr="00343462">
          <w:rPr>
            <w:rStyle w:val="Hipercze"/>
            <w:noProof/>
          </w:rPr>
          <w:t>Tabela 18 Zbiorcze zestawienie naborów w ramach priorytetu II</w:t>
        </w:r>
        <w:r w:rsidR="00EF48C2">
          <w:rPr>
            <w:noProof/>
            <w:webHidden/>
          </w:rPr>
          <w:tab/>
        </w:r>
        <w:r w:rsidR="008F7228">
          <w:rPr>
            <w:noProof/>
            <w:webHidden/>
          </w:rPr>
          <w:fldChar w:fldCharType="begin"/>
        </w:r>
        <w:r w:rsidR="00EF48C2">
          <w:rPr>
            <w:noProof/>
            <w:webHidden/>
          </w:rPr>
          <w:instrText xml:space="preserve"> PAGEREF _Toc326046370 \h </w:instrText>
        </w:r>
        <w:r w:rsidR="008F7228">
          <w:rPr>
            <w:noProof/>
            <w:webHidden/>
          </w:rPr>
        </w:r>
        <w:r w:rsidR="008F7228">
          <w:rPr>
            <w:noProof/>
            <w:webHidden/>
          </w:rPr>
          <w:fldChar w:fldCharType="separate"/>
        </w:r>
        <w:r w:rsidR="006667B3">
          <w:rPr>
            <w:noProof/>
            <w:webHidden/>
          </w:rPr>
          <w:t>92</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1" w:history="1">
        <w:r w:rsidR="00EF48C2" w:rsidRPr="00343462">
          <w:rPr>
            <w:rStyle w:val="Hipercze"/>
            <w:noProof/>
          </w:rPr>
          <w:t>Tabela 19 Rozkład projektów w podziale na obszary (wartość w mln EUR i liczba)</w:t>
        </w:r>
        <w:r w:rsidR="00EF48C2">
          <w:rPr>
            <w:noProof/>
            <w:webHidden/>
          </w:rPr>
          <w:tab/>
        </w:r>
        <w:r w:rsidR="008F7228">
          <w:rPr>
            <w:noProof/>
            <w:webHidden/>
          </w:rPr>
          <w:fldChar w:fldCharType="begin"/>
        </w:r>
        <w:r w:rsidR="00EF48C2">
          <w:rPr>
            <w:noProof/>
            <w:webHidden/>
          </w:rPr>
          <w:instrText xml:space="preserve"> PAGEREF _Toc326046371 \h </w:instrText>
        </w:r>
        <w:r w:rsidR="008F7228">
          <w:rPr>
            <w:noProof/>
            <w:webHidden/>
          </w:rPr>
        </w:r>
        <w:r w:rsidR="008F7228">
          <w:rPr>
            <w:noProof/>
            <w:webHidden/>
          </w:rPr>
          <w:fldChar w:fldCharType="separate"/>
        </w:r>
        <w:r w:rsidR="006667B3">
          <w:rPr>
            <w:noProof/>
            <w:webHidden/>
          </w:rPr>
          <w:t>93</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2" w:history="1">
        <w:r w:rsidR="00EF48C2" w:rsidRPr="00343462">
          <w:rPr>
            <w:rStyle w:val="Hipercze"/>
            <w:noProof/>
          </w:rPr>
          <w:t>Tabela 20 Postęp realizacji priorytetu III w podziale na działania od uruchomienia Programu</w:t>
        </w:r>
        <w:r w:rsidR="00EF48C2">
          <w:rPr>
            <w:noProof/>
            <w:webHidden/>
          </w:rPr>
          <w:tab/>
        </w:r>
        <w:r w:rsidR="008F7228">
          <w:rPr>
            <w:noProof/>
            <w:webHidden/>
          </w:rPr>
          <w:fldChar w:fldCharType="begin"/>
        </w:r>
        <w:r w:rsidR="00EF48C2">
          <w:rPr>
            <w:noProof/>
            <w:webHidden/>
          </w:rPr>
          <w:instrText xml:space="preserve"> PAGEREF _Toc326046372 \h </w:instrText>
        </w:r>
        <w:r w:rsidR="008F7228">
          <w:rPr>
            <w:noProof/>
            <w:webHidden/>
          </w:rPr>
        </w:r>
        <w:r w:rsidR="008F7228">
          <w:rPr>
            <w:noProof/>
            <w:webHidden/>
          </w:rPr>
          <w:fldChar w:fldCharType="separate"/>
        </w:r>
        <w:r w:rsidR="006667B3">
          <w:rPr>
            <w:noProof/>
            <w:webHidden/>
          </w:rPr>
          <w:t>101</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3" w:history="1">
        <w:r w:rsidR="00EF48C2" w:rsidRPr="00343462">
          <w:rPr>
            <w:rStyle w:val="Hipercze"/>
            <w:noProof/>
          </w:rPr>
          <w:t>Tabela 21 Zestawienie naborów w ramach priorytetu III</w:t>
        </w:r>
        <w:r w:rsidR="00EF48C2">
          <w:rPr>
            <w:noProof/>
            <w:webHidden/>
          </w:rPr>
          <w:tab/>
        </w:r>
        <w:r w:rsidR="008F7228">
          <w:rPr>
            <w:noProof/>
            <w:webHidden/>
          </w:rPr>
          <w:fldChar w:fldCharType="begin"/>
        </w:r>
        <w:r w:rsidR="00EF48C2">
          <w:rPr>
            <w:noProof/>
            <w:webHidden/>
          </w:rPr>
          <w:instrText xml:space="preserve"> PAGEREF _Toc326046373 \h </w:instrText>
        </w:r>
        <w:r w:rsidR="008F7228">
          <w:rPr>
            <w:noProof/>
            <w:webHidden/>
          </w:rPr>
        </w:r>
        <w:r w:rsidR="008F7228">
          <w:rPr>
            <w:noProof/>
            <w:webHidden/>
          </w:rPr>
          <w:fldChar w:fldCharType="separate"/>
        </w:r>
        <w:r w:rsidR="006667B3">
          <w:rPr>
            <w:noProof/>
            <w:webHidden/>
          </w:rPr>
          <w:t>102</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4" w:history="1">
        <w:r w:rsidR="00EF48C2" w:rsidRPr="00343462">
          <w:rPr>
            <w:rStyle w:val="Hipercze"/>
            <w:noProof/>
          </w:rPr>
          <w:t>Tabela 22 Rozkład projektów w podziale na obszary</w:t>
        </w:r>
        <w:r w:rsidR="00EF48C2">
          <w:rPr>
            <w:noProof/>
            <w:webHidden/>
          </w:rPr>
          <w:tab/>
        </w:r>
        <w:r w:rsidR="008F7228">
          <w:rPr>
            <w:noProof/>
            <w:webHidden/>
          </w:rPr>
          <w:fldChar w:fldCharType="begin"/>
        </w:r>
        <w:r w:rsidR="00EF48C2">
          <w:rPr>
            <w:noProof/>
            <w:webHidden/>
          </w:rPr>
          <w:instrText xml:space="preserve"> PAGEREF _Toc326046374 \h </w:instrText>
        </w:r>
        <w:r w:rsidR="008F7228">
          <w:rPr>
            <w:noProof/>
            <w:webHidden/>
          </w:rPr>
        </w:r>
        <w:r w:rsidR="008F7228">
          <w:rPr>
            <w:noProof/>
            <w:webHidden/>
          </w:rPr>
          <w:fldChar w:fldCharType="separate"/>
        </w:r>
        <w:r w:rsidR="006667B3">
          <w:rPr>
            <w:noProof/>
            <w:webHidden/>
          </w:rPr>
          <w:t>103</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5" w:history="1">
        <w:r w:rsidR="00EF48C2" w:rsidRPr="00343462">
          <w:rPr>
            <w:rStyle w:val="Hipercze"/>
            <w:noProof/>
          </w:rPr>
          <w:t>Tabela 23 Postęp realizacji priorytetu IV w podziale na działania</w:t>
        </w:r>
        <w:r w:rsidR="00EF48C2">
          <w:rPr>
            <w:noProof/>
            <w:webHidden/>
          </w:rPr>
          <w:tab/>
        </w:r>
        <w:r w:rsidR="008F7228">
          <w:rPr>
            <w:noProof/>
            <w:webHidden/>
          </w:rPr>
          <w:fldChar w:fldCharType="begin"/>
        </w:r>
        <w:r w:rsidR="00EF48C2">
          <w:rPr>
            <w:noProof/>
            <w:webHidden/>
          </w:rPr>
          <w:instrText xml:space="preserve"> PAGEREF _Toc326046375 \h </w:instrText>
        </w:r>
        <w:r w:rsidR="008F7228">
          <w:rPr>
            <w:noProof/>
            <w:webHidden/>
          </w:rPr>
        </w:r>
        <w:r w:rsidR="008F7228">
          <w:rPr>
            <w:noProof/>
            <w:webHidden/>
          </w:rPr>
          <w:fldChar w:fldCharType="separate"/>
        </w:r>
        <w:r w:rsidR="006667B3">
          <w:rPr>
            <w:noProof/>
            <w:webHidden/>
          </w:rPr>
          <w:t>110</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6" w:history="1">
        <w:r w:rsidR="00EF48C2" w:rsidRPr="00343462">
          <w:rPr>
            <w:rStyle w:val="Hipercze"/>
            <w:noProof/>
          </w:rPr>
          <w:t>Tabela 24 Rozkład projektów realizowanych w ramach priorytetu IV w podziale na obszary w mln EUR</w:t>
        </w:r>
        <w:r w:rsidR="00EF48C2">
          <w:rPr>
            <w:noProof/>
            <w:webHidden/>
          </w:rPr>
          <w:tab/>
        </w:r>
        <w:r w:rsidR="008F7228">
          <w:rPr>
            <w:noProof/>
            <w:webHidden/>
          </w:rPr>
          <w:fldChar w:fldCharType="begin"/>
        </w:r>
        <w:r w:rsidR="00EF48C2">
          <w:rPr>
            <w:noProof/>
            <w:webHidden/>
          </w:rPr>
          <w:instrText xml:space="preserve"> PAGEREF _Toc326046376 \h </w:instrText>
        </w:r>
        <w:r w:rsidR="008F7228">
          <w:rPr>
            <w:noProof/>
            <w:webHidden/>
          </w:rPr>
        </w:r>
        <w:r w:rsidR="008F7228">
          <w:rPr>
            <w:noProof/>
            <w:webHidden/>
          </w:rPr>
          <w:fldChar w:fldCharType="separate"/>
        </w:r>
        <w:r w:rsidR="006667B3">
          <w:rPr>
            <w:noProof/>
            <w:webHidden/>
          </w:rPr>
          <w:t>112</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7" w:history="1">
        <w:r w:rsidR="00EF48C2" w:rsidRPr="00343462">
          <w:rPr>
            <w:rStyle w:val="Hipercze"/>
            <w:noProof/>
          </w:rPr>
          <w:t>Tabela 25 Realizacja działań w ramach priorytetu V</w:t>
        </w:r>
        <w:r w:rsidR="00EF48C2">
          <w:rPr>
            <w:noProof/>
            <w:webHidden/>
          </w:rPr>
          <w:tab/>
        </w:r>
        <w:r w:rsidR="008F7228">
          <w:rPr>
            <w:noProof/>
            <w:webHidden/>
          </w:rPr>
          <w:fldChar w:fldCharType="begin"/>
        </w:r>
        <w:r w:rsidR="00EF48C2">
          <w:rPr>
            <w:noProof/>
            <w:webHidden/>
          </w:rPr>
          <w:instrText xml:space="preserve"> PAGEREF _Toc326046377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8" w:history="1">
        <w:r w:rsidR="00EF48C2" w:rsidRPr="00343462">
          <w:rPr>
            <w:rStyle w:val="Hipercze"/>
            <w:noProof/>
          </w:rPr>
          <w:t>Tabela 26 Zestawienie naborów w ramach priorytetu V</w:t>
        </w:r>
        <w:r w:rsidR="00EF48C2">
          <w:rPr>
            <w:noProof/>
            <w:webHidden/>
          </w:rPr>
          <w:tab/>
        </w:r>
        <w:r w:rsidR="008F7228">
          <w:rPr>
            <w:noProof/>
            <w:webHidden/>
          </w:rPr>
          <w:fldChar w:fldCharType="begin"/>
        </w:r>
        <w:r w:rsidR="00EF48C2">
          <w:rPr>
            <w:noProof/>
            <w:webHidden/>
          </w:rPr>
          <w:instrText xml:space="preserve"> PAGEREF _Toc326046378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79" w:history="1">
        <w:r w:rsidR="00EF48C2" w:rsidRPr="00343462">
          <w:rPr>
            <w:rStyle w:val="Hipercze"/>
            <w:noProof/>
          </w:rPr>
          <w:t>Tabela 27 Rozkład projektów w podziale na obszary (wartość w mln EUR i liczba)</w:t>
        </w:r>
        <w:r w:rsidR="00EF48C2">
          <w:rPr>
            <w:noProof/>
            <w:webHidden/>
          </w:rPr>
          <w:tab/>
        </w:r>
        <w:r w:rsidR="008F7228">
          <w:rPr>
            <w:noProof/>
            <w:webHidden/>
          </w:rPr>
          <w:fldChar w:fldCharType="begin"/>
        </w:r>
        <w:r w:rsidR="00EF48C2">
          <w:rPr>
            <w:noProof/>
            <w:webHidden/>
          </w:rPr>
          <w:instrText xml:space="preserve"> PAGEREF _Toc326046379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0" w:history="1">
        <w:r w:rsidR="00EF48C2" w:rsidRPr="00343462">
          <w:rPr>
            <w:rStyle w:val="Hipercze"/>
            <w:noProof/>
          </w:rPr>
          <w:t>Tabela 28 Postęp realizacji priorytetu VI w podziale na działania</w:t>
        </w:r>
        <w:r w:rsidR="00EF48C2">
          <w:rPr>
            <w:noProof/>
            <w:webHidden/>
          </w:rPr>
          <w:tab/>
        </w:r>
        <w:r w:rsidR="008F7228">
          <w:rPr>
            <w:noProof/>
            <w:webHidden/>
          </w:rPr>
          <w:fldChar w:fldCharType="begin"/>
        </w:r>
        <w:r w:rsidR="00EF48C2">
          <w:rPr>
            <w:noProof/>
            <w:webHidden/>
          </w:rPr>
          <w:instrText xml:space="preserve"> PAGEREF _Toc326046380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1" w:history="1">
        <w:r w:rsidR="00EF48C2" w:rsidRPr="00343462">
          <w:rPr>
            <w:rStyle w:val="Hipercze"/>
            <w:noProof/>
          </w:rPr>
          <w:t>Tabela 29 Rozkład projektów realizowanych w ramach priorytetu VI w podziale na obszar (wartość w mln EUR i liczba)</w:t>
        </w:r>
        <w:r w:rsidR="00EF48C2">
          <w:rPr>
            <w:noProof/>
            <w:webHidden/>
          </w:rPr>
          <w:tab/>
        </w:r>
        <w:r w:rsidR="008F7228">
          <w:rPr>
            <w:noProof/>
            <w:webHidden/>
          </w:rPr>
          <w:fldChar w:fldCharType="begin"/>
        </w:r>
        <w:r w:rsidR="00EF48C2">
          <w:rPr>
            <w:noProof/>
            <w:webHidden/>
          </w:rPr>
          <w:instrText xml:space="preserve"> PAGEREF _Toc326046381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2" w:history="1">
        <w:r w:rsidR="00EF48C2" w:rsidRPr="00343462">
          <w:rPr>
            <w:rStyle w:val="Hipercze"/>
            <w:noProof/>
          </w:rPr>
          <w:t>Tabela 30 Postęp realizacji priorytetu VII w podziale na działania</w:t>
        </w:r>
        <w:r w:rsidR="00EF48C2">
          <w:rPr>
            <w:noProof/>
            <w:webHidden/>
          </w:rPr>
          <w:tab/>
        </w:r>
        <w:r w:rsidR="008F7228">
          <w:rPr>
            <w:noProof/>
            <w:webHidden/>
          </w:rPr>
          <w:fldChar w:fldCharType="begin"/>
        </w:r>
        <w:r w:rsidR="00EF48C2">
          <w:rPr>
            <w:noProof/>
            <w:webHidden/>
          </w:rPr>
          <w:instrText xml:space="preserve"> PAGEREF _Toc326046382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3" w:history="1">
        <w:r w:rsidR="00EF48C2" w:rsidRPr="00343462">
          <w:rPr>
            <w:rStyle w:val="Hipercze"/>
            <w:noProof/>
          </w:rPr>
          <w:t>Tabela 31 Zbiorcze zestawienie naborów w ramach priorytetu VII</w:t>
        </w:r>
        <w:r w:rsidR="00EF48C2">
          <w:rPr>
            <w:noProof/>
            <w:webHidden/>
          </w:rPr>
          <w:tab/>
        </w:r>
        <w:r w:rsidR="008F7228">
          <w:rPr>
            <w:noProof/>
            <w:webHidden/>
          </w:rPr>
          <w:fldChar w:fldCharType="begin"/>
        </w:r>
        <w:r w:rsidR="00EF48C2">
          <w:rPr>
            <w:noProof/>
            <w:webHidden/>
          </w:rPr>
          <w:instrText xml:space="preserve"> PAGEREF _Toc326046383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4" w:history="1">
        <w:r w:rsidR="00EF48C2" w:rsidRPr="00343462">
          <w:rPr>
            <w:rStyle w:val="Hipercze"/>
            <w:noProof/>
          </w:rPr>
          <w:t>Tabela 32 Rozkład projektów realizowanych w ramach Priorytetu VII w podziale na obszar (wartość w mln EUR i liczba)</w:t>
        </w:r>
        <w:r w:rsidR="00EF48C2">
          <w:rPr>
            <w:noProof/>
            <w:webHidden/>
          </w:rPr>
          <w:tab/>
        </w:r>
        <w:r w:rsidR="008F7228">
          <w:rPr>
            <w:noProof/>
            <w:webHidden/>
          </w:rPr>
          <w:fldChar w:fldCharType="begin"/>
        </w:r>
        <w:r w:rsidR="00EF48C2">
          <w:rPr>
            <w:noProof/>
            <w:webHidden/>
          </w:rPr>
          <w:instrText xml:space="preserve"> PAGEREF _Toc326046384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5" w:history="1">
        <w:r w:rsidR="00EF48C2" w:rsidRPr="00343462">
          <w:rPr>
            <w:rStyle w:val="Hipercze"/>
            <w:noProof/>
          </w:rPr>
          <w:t>Tabela 33 Postęp realizacji priorytetu VIII w podziale na działania</w:t>
        </w:r>
        <w:r w:rsidR="00EF48C2">
          <w:rPr>
            <w:noProof/>
            <w:webHidden/>
          </w:rPr>
          <w:tab/>
        </w:r>
        <w:r w:rsidR="008F7228">
          <w:rPr>
            <w:noProof/>
            <w:webHidden/>
          </w:rPr>
          <w:fldChar w:fldCharType="begin"/>
        </w:r>
        <w:r w:rsidR="00EF48C2">
          <w:rPr>
            <w:noProof/>
            <w:webHidden/>
          </w:rPr>
          <w:instrText xml:space="preserve"> PAGEREF _Toc326046385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6" w:history="1">
        <w:r w:rsidR="00EF48C2" w:rsidRPr="00343462">
          <w:rPr>
            <w:rStyle w:val="Hipercze"/>
            <w:noProof/>
          </w:rPr>
          <w:t>Tabela 34 Poziom kontraktacji i płatności w podziale na ścieżki wyboru projektów</w:t>
        </w:r>
        <w:r w:rsidR="00EF48C2">
          <w:rPr>
            <w:noProof/>
            <w:webHidden/>
          </w:rPr>
          <w:tab/>
        </w:r>
        <w:r w:rsidR="008F7228">
          <w:rPr>
            <w:noProof/>
            <w:webHidden/>
          </w:rPr>
          <w:fldChar w:fldCharType="begin"/>
        </w:r>
        <w:r w:rsidR="00EF48C2">
          <w:rPr>
            <w:noProof/>
            <w:webHidden/>
          </w:rPr>
          <w:instrText xml:space="preserve"> PAGEREF _Toc326046386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7" w:history="1">
        <w:r w:rsidR="00EF48C2" w:rsidRPr="00343462">
          <w:rPr>
            <w:rStyle w:val="Hipercze"/>
            <w:noProof/>
          </w:rPr>
          <w:t>Tabela 35 Rozkład projektów realizowanych w ramach Priorytetu VIII w podziale na obszar (wartość w mln EUR i liczba)</w:t>
        </w:r>
        <w:r w:rsidR="00EF48C2">
          <w:rPr>
            <w:noProof/>
            <w:webHidden/>
          </w:rPr>
          <w:tab/>
        </w:r>
        <w:r w:rsidR="008F7228">
          <w:rPr>
            <w:noProof/>
            <w:webHidden/>
          </w:rPr>
          <w:fldChar w:fldCharType="begin"/>
        </w:r>
        <w:r w:rsidR="00EF48C2">
          <w:rPr>
            <w:noProof/>
            <w:webHidden/>
          </w:rPr>
          <w:instrText xml:space="preserve"> PAGEREF _Toc326046387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8" w:history="1">
        <w:r w:rsidR="00EF48C2" w:rsidRPr="00343462">
          <w:rPr>
            <w:rStyle w:val="Hipercze"/>
            <w:noProof/>
          </w:rPr>
          <w:t>Tabela 36 Postęp realizacji priorytetu IX w podziale na działania</w:t>
        </w:r>
        <w:r w:rsidR="00EF48C2">
          <w:rPr>
            <w:noProof/>
            <w:webHidden/>
          </w:rPr>
          <w:tab/>
        </w:r>
        <w:r w:rsidR="008F7228">
          <w:rPr>
            <w:noProof/>
            <w:webHidden/>
          </w:rPr>
          <w:fldChar w:fldCharType="begin"/>
        </w:r>
        <w:r w:rsidR="00EF48C2">
          <w:rPr>
            <w:noProof/>
            <w:webHidden/>
          </w:rPr>
          <w:instrText xml:space="preserve"> PAGEREF _Toc326046388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89" w:history="1">
        <w:r w:rsidR="00EF48C2" w:rsidRPr="00343462">
          <w:rPr>
            <w:rStyle w:val="Hipercze"/>
            <w:noProof/>
          </w:rPr>
          <w:t>Tabela 37 Rozkład projektów realizowanych w ramach priorytetu IX w podziale na obszar (wartość w mln EUR i liczba)</w:t>
        </w:r>
        <w:r w:rsidR="00EF48C2">
          <w:rPr>
            <w:noProof/>
            <w:webHidden/>
          </w:rPr>
          <w:tab/>
        </w:r>
        <w:r w:rsidR="008F7228">
          <w:rPr>
            <w:noProof/>
            <w:webHidden/>
          </w:rPr>
          <w:fldChar w:fldCharType="begin"/>
        </w:r>
        <w:r w:rsidR="00EF48C2">
          <w:rPr>
            <w:noProof/>
            <w:webHidden/>
          </w:rPr>
          <w:instrText xml:space="preserve"> PAGEREF _Toc326046389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F48C2" w:rsidRDefault="0046793D">
      <w:pPr>
        <w:pStyle w:val="Spisilustracji"/>
        <w:tabs>
          <w:tab w:val="right" w:leader="dot" w:pos="9062"/>
        </w:tabs>
        <w:rPr>
          <w:rFonts w:eastAsiaTheme="minorEastAsia" w:cstheme="minorBidi"/>
          <w:i w:val="0"/>
          <w:iCs w:val="0"/>
          <w:noProof/>
          <w:sz w:val="22"/>
          <w:szCs w:val="22"/>
        </w:rPr>
      </w:pPr>
      <w:hyperlink w:anchor="_Toc326046390" w:history="1">
        <w:r w:rsidR="00EF48C2" w:rsidRPr="00343462">
          <w:rPr>
            <w:rStyle w:val="Hipercze"/>
            <w:noProof/>
          </w:rPr>
          <w:t>Tabela 38 Liczba i wartość wszystkich projektów / planów działań w ramach programu dofinansowanych ze środków pomocy technicznej według głównych typów (projekty objęte decyzjami/ umowami o dofinansowanie)</w:t>
        </w:r>
        <w:r w:rsidR="00EF48C2">
          <w:rPr>
            <w:noProof/>
            <w:webHidden/>
          </w:rPr>
          <w:tab/>
        </w:r>
        <w:r w:rsidR="008F7228">
          <w:rPr>
            <w:noProof/>
            <w:webHidden/>
          </w:rPr>
          <w:fldChar w:fldCharType="begin"/>
        </w:r>
        <w:r w:rsidR="00EF48C2">
          <w:rPr>
            <w:noProof/>
            <w:webHidden/>
          </w:rPr>
          <w:instrText xml:space="preserve"> PAGEREF _Toc326046390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0304D8" w:rsidRPr="006D71C7" w:rsidRDefault="008F7228" w:rsidP="006D71C7">
      <w:pPr>
        <w:jc w:val="both"/>
      </w:pPr>
      <w:r w:rsidRPr="006D71C7">
        <w:rPr>
          <w:rFonts w:asciiTheme="minorHAnsi" w:hAnsiTheme="minorHAnsi"/>
          <w:b/>
          <w:i/>
          <w:iCs/>
          <w:sz w:val="20"/>
          <w:szCs w:val="20"/>
        </w:rPr>
        <w:fldChar w:fldCharType="end"/>
      </w:r>
    </w:p>
    <w:bookmarkStart w:id="2" w:name="_Toc262031841"/>
    <w:bookmarkStart w:id="3" w:name="_Toc292789225"/>
    <w:bookmarkStart w:id="4" w:name="_Toc292793515"/>
    <w:p w:rsidR="009F37F1" w:rsidRDefault="008F7228">
      <w:pPr>
        <w:pStyle w:val="Spisilustracji"/>
        <w:tabs>
          <w:tab w:val="right" w:leader="underscore" w:pos="9062"/>
        </w:tabs>
        <w:rPr>
          <w:rFonts w:eastAsiaTheme="minorEastAsia" w:cstheme="minorBidi"/>
          <w:i w:val="0"/>
          <w:iCs w:val="0"/>
          <w:noProof/>
          <w:sz w:val="22"/>
          <w:szCs w:val="22"/>
        </w:rPr>
      </w:pPr>
      <w:r w:rsidRPr="006D71C7">
        <w:fldChar w:fldCharType="begin"/>
      </w:r>
      <w:r w:rsidR="00015623" w:rsidRPr="006D71C7">
        <w:instrText xml:space="preserve"> TOC \h \z \c "Rysunek" </w:instrText>
      </w:r>
      <w:r w:rsidRPr="006D71C7">
        <w:fldChar w:fldCharType="separate"/>
      </w:r>
      <w:hyperlink w:anchor="_Toc326055319" w:history="1">
        <w:r w:rsidR="009F37F1" w:rsidRPr="006A697E">
          <w:rPr>
            <w:rStyle w:val="Hipercze"/>
            <w:noProof/>
          </w:rPr>
          <w:t>Rysunek 1 Podział środków RPO WSL na priorytety obszary wsparcia</w:t>
        </w:r>
        <w:r w:rsidR="009F37F1">
          <w:rPr>
            <w:noProof/>
            <w:webHidden/>
          </w:rPr>
          <w:tab/>
        </w:r>
        <w:r>
          <w:rPr>
            <w:noProof/>
            <w:webHidden/>
          </w:rPr>
          <w:fldChar w:fldCharType="begin"/>
        </w:r>
        <w:r w:rsidR="009F37F1">
          <w:rPr>
            <w:noProof/>
            <w:webHidden/>
          </w:rPr>
          <w:instrText xml:space="preserve"> PAGEREF _Toc326055319 \h </w:instrText>
        </w:r>
        <w:r>
          <w:rPr>
            <w:noProof/>
            <w:webHidden/>
          </w:rPr>
        </w:r>
        <w:r>
          <w:rPr>
            <w:noProof/>
            <w:webHidden/>
          </w:rPr>
          <w:fldChar w:fldCharType="separate"/>
        </w:r>
        <w:r w:rsidR="006667B3">
          <w:rPr>
            <w:noProof/>
            <w:webHidden/>
          </w:rPr>
          <w:t>10</w:t>
        </w:r>
        <w:r>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0" w:history="1">
        <w:r w:rsidR="009F37F1" w:rsidRPr="006A697E">
          <w:rPr>
            <w:rStyle w:val="Hipercze"/>
            <w:noProof/>
          </w:rPr>
          <w:t>Rysunek 2 Dokumenty programowe oraz dokumenty dot. wdrażania  i zarządzania RPO WSL</w:t>
        </w:r>
        <w:r w:rsidR="009F37F1">
          <w:rPr>
            <w:noProof/>
            <w:webHidden/>
          </w:rPr>
          <w:tab/>
        </w:r>
        <w:r w:rsidR="008F7228">
          <w:rPr>
            <w:noProof/>
            <w:webHidden/>
          </w:rPr>
          <w:fldChar w:fldCharType="begin"/>
        </w:r>
        <w:r w:rsidR="009F37F1">
          <w:rPr>
            <w:noProof/>
            <w:webHidden/>
          </w:rPr>
          <w:instrText xml:space="preserve"> PAGEREF _Toc326055320 \h </w:instrText>
        </w:r>
        <w:r w:rsidR="008F7228">
          <w:rPr>
            <w:noProof/>
            <w:webHidden/>
          </w:rPr>
        </w:r>
        <w:r w:rsidR="008F7228">
          <w:rPr>
            <w:noProof/>
            <w:webHidden/>
          </w:rPr>
          <w:fldChar w:fldCharType="separate"/>
        </w:r>
        <w:r w:rsidR="006667B3">
          <w:rPr>
            <w:noProof/>
            <w:webHidden/>
          </w:rPr>
          <w:t>12</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1" w:history="1">
        <w:r w:rsidR="009F37F1" w:rsidRPr="006A697E">
          <w:rPr>
            <w:rStyle w:val="Hipercze"/>
            <w:noProof/>
          </w:rPr>
          <w:t>Rysunek 3Postęp realizacji RPO WSL w okresie sprawozdawczym i od uruchomienia Programu</w:t>
        </w:r>
        <w:r w:rsidR="009F37F1">
          <w:rPr>
            <w:noProof/>
            <w:webHidden/>
          </w:rPr>
          <w:tab/>
        </w:r>
        <w:r w:rsidR="008F7228">
          <w:rPr>
            <w:noProof/>
            <w:webHidden/>
          </w:rPr>
          <w:fldChar w:fldCharType="begin"/>
        </w:r>
        <w:r w:rsidR="009F37F1">
          <w:rPr>
            <w:noProof/>
            <w:webHidden/>
          </w:rPr>
          <w:instrText xml:space="preserve"> PAGEREF _Toc326055321 \h </w:instrText>
        </w:r>
        <w:r w:rsidR="008F7228">
          <w:rPr>
            <w:noProof/>
            <w:webHidden/>
          </w:rPr>
        </w:r>
        <w:r w:rsidR="008F7228">
          <w:rPr>
            <w:noProof/>
            <w:webHidden/>
          </w:rPr>
          <w:fldChar w:fldCharType="separate"/>
        </w:r>
        <w:r w:rsidR="006667B3">
          <w:rPr>
            <w:noProof/>
            <w:webHidden/>
          </w:rPr>
          <w:t>21</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2" w:history="1">
        <w:r w:rsidR="009F37F1" w:rsidRPr="006A697E">
          <w:rPr>
            <w:rStyle w:val="Hipercze"/>
            <w:noProof/>
          </w:rPr>
          <w:t>Rysunek 4 Postęp realizacji RPO WSL w podziale na osie priorytetowe</w:t>
        </w:r>
        <w:r w:rsidR="009F37F1">
          <w:rPr>
            <w:noProof/>
            <w:webHidden/>
          </w:rPr>
          <w:tab/>
        </w:r>
        <w:r w:rsidR="008F7228">
          <w:rPr>
            <w:noProof/>
            <w:webHidden/>
          </w:rPr>
          <w:fldChar w:fldCharType="begin"/>
        </w:r>
        <w:r w:rsidR="009F37F1">
          <w:rPr>
            <w:noProof/>
            <w:webHidden/>
          </w:rPr>
          <w:instrText xml:space="preserve"> PAGEREF _Toc326055322 \h </w:instrText>
        </w:r>
        <w:r w:rsidR="008F7228">
          <w:rPr>
            <w:noProof/>
            <w:webHidden/>
          </w:rPr>
        </w:r>
        <w:r w:rsidR="008F7228">
          <w:rPr>
            <w:noProof/>
            <w:webHidden/>
          </w:rPr>
          <w:fldChar w:fldCharType="separate"/>
        </w:r>
        <w:r w:rsidR="006667B3">
          <w:rPr>
            <w:noProof/>
            <w:webHidden/>
          </w:rPr>
          <w:t>22</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3" w:history="1">
        <w:r w:rsidR="009F37F1" w:rsidRPr="006A697E">
          <w:rPr>
            <w:rStyle w:val="Hipercze"/>
            <w:noProof/>
          </w:rPr>
          <w:t>Rysunek 5 Postęp realizacji RPO WSL w podziale na kwartały</w:t>
        </w:r>
        <w:r w:rsidR="009F37F1">
          <w:rPr>
            <w:noProof/>
            <w:webHidden/>
          </w:rPr>
          <w:tab/>
        </w:r>
        <w:r w:rsidR="008F7228">
          <w:rPr>
            <w:noProof/>
            <w:webHidden/>
          </w:rPr>
          <w:fldChar w:fldCharType="begin"/>
        </w:r>
        <w:r w:rsidR="009F37F1">
          <w:rPr>
            <w:noProof/>
            <w:webHidden/>
          </w:rPr>
          <w:instrText xml:space="preserve"> PAGEREF _Toc326055323 \h </w:instrText>
        </w:r>
        <w:r w:rsidR="008F7228">
          <w:rPr>
            <w:noProof/>
            <w:webHidden/>
          </w:rPr>
        </w:r>
        <w:r w:rsidR="008F7228">
          <w:rPr>
            <w:noProof/>
            <w:webHidden/>
          </w:rPr>
          <w:fldChar w:fldCharType="separate"/>
        </w:r>
        <w:r w:rsidR="006667B3">
          <w:rPr>
            <w:noProof/>
            <w:webHidden/>
          </w:rPr>
          <w:t>23</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4" w:history="1">
        <w:r w:rsidR="009F37F1" w:rsidRPr="006A697E">
          <w:rPr>
            <w:rStyle w:val="Hipercze"/>
            <w:noProof/>
          </w:rPr>
          <w:t>Rysunek 6 Postęp realizacji RPO WSL w podziale na projekty na różnych etapach rozwoju</w:t>
        </w:r>
        <w:r w:rsidR="009F37F1">
          <w:rPr>
            <w:noProof/>
            <w:webHidden/>
          </w:rPr>
          <w:tab/>
        </w:r>
        <w:r w:rsidR="008F7228">
          <w:rPr>
            <w:noProof/>
            <w:webHidden/>
          </w:rPr>
          <w:fldChar w:fldCharType="begin"/>
        </w:r>
        <w:r w:rsidR="009F37F1">
          <w:rPr>
            <w:noProof/>
            <w:webHidden/>
          </w:rPr>
          <w:instrText xml:space="preserve"> PAGEREF _Toc326055324 \h </w:instrText>
        </w:r>
        <w:r w:rsidR="008F7228">
          <w:rPr>
            <w:noProof/>
            <w:webHidden/>
          </w:rPr>
        </w:r>
        <w:r w:rsidR="008F7228">
          <w:rPr>
            <w:noProof/>
            <w:webHidden/>
          </w:rPr>
          <w:fldChar w:fldCharType="separate"/>
        </w:r>
        <w:r w:rsidR="006667B3">
          <w:rPr>
            <w:noProof/>
            <w:webHidden/>
          </w:rPr>
          <w:t>24</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5" w:history="1">
        <w:r w:rsidR="009F37F1" w:rsidRPr="006A697E">
          <w:rPr>
            <w:rStyle w:val="Hipercze"/>
            <w:noProof/>
          </w:rPr>
          <w:t>Rysunek 7 Realizacja RPO WSL w podziale na lata</w:t>
        </w:r>
        <w:r w:rsidR="009F37F1">
          <w:rPr>
            <w:noProof/>
            <w:webHidden/>
          </w:rPr>
          <w:tab/>
        </w:r>
        <w:r w:rsidR="008F7228">
          <w:rPr>
            <w:noProof/>
            <w:webHidden/>
          </w:rPr>
          <w:fldChar w:fldCharType="begin"/>
        </w:r>
        <w:r w:rsidR="009F37F1">
          <w:rPr>
            <w:noProof/>
            <w:webHidden/>
          </w:rPr>
          <w:instrText xml:space="preserve"> PAGEREF _Toc326055325 \h </w:instrText>
        </w:r>
        <w:r w:rsidR="008F7228">
          <w:rPr>
            <w:noProof/>
            <w:webHidden/>
          </w:rPr>
        </w:r>
        <w:r w:rsidR="008F7228">
          <w:rPr>
            <w:noProof/>
            <w:webHidden/>
          </w:rPr>
          <w:fldChar w:fldCharType="separate"/>
        </w:r>
        <w:r w:rsidR="006667B3">
          <w:rPr>
            <w:noProof/>
            <w:webHidden/>
          </w:rPr>
          <w:t>25</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6" w:history="1">
        <w:r w:rsidR="009F37F1" w:rsidRPr="006A697E">
          <w:rPr>
            <w:rStyle w:val="Hipercze"/>
            <w:noProof/>
          </w:rPr>
          <w:t>Rysunek 8 Postęp realizacji RPO WSL w podziale na ścieżki wyboru projektów</w:t>
        </w:r>
        <w:r w:rsidR="009F37F1">
          <w:rPr>
            <w:noProof/>
            <w:webHidden/>
          </w:rPr>
          <w:tab/>
        </w:r>
        <w:r w:rsidR="008F7228">
          <w:rPr>
            <w:noProof/>
            <w:webHidden/>
          </w:rPr>
          <w:fldChar w:fldCharType="begin"/>
        </w:r>
        <w:r w:rsidR="009F37F1">
          <w:rPr>
            <w:noProof/>
            <w:webHidden/>
          </w:rPr>
          <w:instrText xml:space="preserve"> PAGEREF _Toc326055326 \h </w:instrText>
        </w:r>
        <w:r w:rsidR="008F7228">
          <w:rPr>
            <w:noProof/>
            <w:webHidden/>
          </w:rPr>
        </w:r>
        <w:r w:rsidR="008F7228">
          <w:rPr>
            <w:noProof/>
            <w:webHidden/>
          </w:rPr>
          <w:fldChar w:fldCharType="separate"/>
        </w:r>
        <w:r w:rsidR="006667B3">
          <w:rPr>
            <w:noProof/>
            <w:webHidden/>
          </w:rPr>
          <w:t>26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7" w:history="1">
        <w:r w:rsidR="009F37F1" w:rsidRPr="006A697E">
          <w:rPr>
            <w:rStyle w:val="Hipercze"/>
            <w:noProof/>
          </w:rPr>
          <w:t>Rysunek 9 Postęp wdrażania projektów kluczowych realizowanych w ramach RPO WSL</w:t>
        </w:r>
        <w:r w:rsidR="009F37F1">
          <w:rPr>
            <w:noProof/>
            <w:webHidden/>
          </w:rPr>
          <w:tab/>
        </w:r>
        <w:r w:rsidR="008F7228">
          <w:rPr>
            <w:noProof/>
            <w:webHidden/>
          </w:rPr>
          <w:fldChar w:fldCharType="begin"/>
        </w:r>
        <w:r w:rsidR="009F37F1">
          <w:rPr>
            <w:noProof/>
            <w:webHidden/>
          </w:rPr>
          <w:instrText xml:space="preserve"> PAGEREF _Toc326055327 \h </w:instrText>
        </w:r>
        <w:r w:rsidR="008F7228">
          <w:rPr>
            <w:noProof/>
            <w:webHidden/>
          </w:rPr>
        </w:r>
        <w:r w:rsidR="008F7228">
          <w:rPr>
            <w:noProof/>
            <w:webHidden/>
          </w:rPr>
          <w:fldChar w:fldCharType="separate"/>
        </w:r>
        <w:r w:rsidR="006667B3">
          <w:rPr>
            <w:noProof/>
            <w:webHidden/>
          </w:rPr>
          <w:t>28</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8" w:history="1">
        <w:r w:rsidR="009F37F1" w:rsidRPr="006A697E">
          <w:rPr>
            <w:rStyle w:val="Hipercze"/>
            <w:noProof/>
          </w:rPr>
          <w:t>Rysunek 10 Postęp finansowy wdrażania PRS</w:t>
        </w:r>
        <w:r w:rsidR="009F37F1">
          <w:rPr>
            <w:noProof/>
            <w:webHidden/>
          </w:rPr>
          <w:tab/>
        </w:r>
        <w:r w:rsidR="008F7228">
          <w:rPr>
            <w:noProof/>
            <w:webHidden/>
          </w:rPr>
          <w:fldChar w:fldCharType="begin"/>
        </w:r>
        <w:r w:rsidR="009F37F1">
          <w:rPr>
            <w:noProof/>
            <w:webHidden/>
          </w:rPr>
          <w:instrText xml:space="preserve"> PAGEREF _Toc326055328 \h </w:instrText>
        </w:r>
        <w:r w:rsidR="008F7228">
          <w:rPr>
            <w:noProof/>
            <w:webHidden/>
          </w:rPr>
        </w:r>
        <w:r w:rsidR="008F7228">
          <w:rPr>
            <w:noProof/>
            <w:webHidden/>
          </w:rPr>
          <w:fldChar w:fldCharType="separate"/>
        </w:r>
        <w:r w:rsidR="006667B3">
          <w:rPr>
            <w:noProof/>
            <w:webHidden/>
          </w:rPr>
          <w:t>29</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29" w:history="1">
        <w:r w:rsidR="009F37F1" w:rsidRPr="006A697E">
          <w:rPr>
            <w:rStyle w:val="Hipercze"/>
            <w:noProof/>
          </w:rPr>
          <w:t>Rysunek 11 Postęp realizacji PRS</w:t>
        </w:r>
        <w:r w:rsidR="009F37F1">
          <w:rPr>
            <w:noProof/>
            <w:webHidden/>
          </w:rPr>
          <w:tab/>
        </w:r>
        <w:r w:rsidR="008F7228">
          <w:rPr>
            <w:noProof/>
            <w:webHidden/>
          </w:rPr>
          <w:fldChar w:fldCharType="begin"/>
        </w:r>
        <w:r w:rsidR="009F37F1">
          <w:rPr>
            <w:noProof/>
            <w:webHidden/>
          </w:rPr>
          <w:instrText xml:space="preserve"> PAGEREF _Toc326055329 \h </w:instrText>
        </w:r>
        <w:r w:rsidR="008F7228">
          <w:rPr>
            <w:noProof/>
            <w:webHidden/>
          </w:rPr>
        </w:r>
        <w:r w:rsidR="008F7228">
          <w:rPr>
            <w:noProof/>
            <w:webHidden/>
          </w:rPr>
          <w:fldChar w:fldCharType="separate"/>
        </w:r>
        <w:r w:rsidR="006667B3">
          <w:rPr>
            <w:noProof/>
            <w:webHidden/>
          </w:rPr>
          <w:t>30</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0" w:history="1">
        <w:r w:rsidR="009F37F1" w:rsidRPr="006A697E">
          <w:rPr>
            <w:rStyle w:val="Hipercze"/>
            <w:noProof/>
          </w:rPr>
          <w:t>Rysunek 12 Zestawienie zakontraktowanych środków w podziale na obszary tematyczne od uruchomienia Programu</w:t>
        </w:r>
        <w:r w:rsidR="009F37F1">
          <w:rPr>
            <w:noProof/>
            <w:webHidden/>
          </w:rPr>
          <w:tab/>
        </w:r>
        <w:r w:rsidR="008F7228">
          <w:rPr>
            <w:noProof/>
            <w:webHidden/>
          </w:rPr>
          <w:fldChar w:fldCharType="begin"/>
        </w:r>
        <w:r w:rsidR="009F37F1">
          <w:rPr>
            <w:noProof/>
            <w:webHidden/>
          </w:rPr>
          <w:instrText xml:space="preserve"> PAGEREF _Toc326055330 \h </w:instrText>
        </w:r>
        <w:r w:rsidR="008F7228">
          <w:rPr>
            <w:noProof/>
            <w:webHidden/>
          </w:rPr>
        </w:r>
        <w:r w:rsidR="008F7228">
          <w:rPr>
            <w:noProof/>
            <w:webHidden/>
          </w:rPr>
          <w:fldChar w:fldCharType="separate"/>
        </w:r>
        <w:r w:rsidR="006667B3">
          <w:rPr>
            <w:noProof/>
            <w:webHidden/>
          </w:rPr>
          <w:t>33</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1" w:history="1">
        <w:r w:rsidR="00C43B75" w:rsidRPr="00C43B75">
          <w:rPr>
            <w:rStyle w:val="Hipercze"/>
            <w:noProof/>
          </w:rPr>
          <w:t xml:space="preserve">Rysunek 13 </w:t>
        </w:r>
        <w:r w:rsidR="009F37F1" w:rsidRPr="006A697E">
          <w:rPr>
            <w:rStyle w:val="Hipercze"/>
            <w:noProof/>
          </w:rPr>
          <w:t>Rozkład projektów realizowanych w ramach RPO WSL w podziale na wsparte obszary</w:t>
        </w:r>
        <w:r w:rsidR="009F37F1" w:rsidRPr="006A697E">
          <w:rPr>
            <w:rStyle w:val="Hipercze"/>
            <w:noProof/>
            <w:lang w:eastAsia="ar-SA"/>
          </w:rPr>
          <w:t xml:space="preserve"> tematyczne i </w:t>
        </w:r>
        <w:r w:rsidR="009F37F1" w:rsidRPr="006A697E">
          <w:rPr>
            <w:rStyle w:val="Hipercze"/>
            <w:bCs/>
            <w:noProof/>
            <w:lang w:eastAsia="ar-SA"/>
          </w:rPr>
          <w:t>przestrzenne</w:t>
        </w:r>
        <w:r w:rsidR="009F37F1">
          <w:rPr>
            <w:noProof/>
            <w:webHidden/>
          </w:rPr>
          <w:tab/>
        </w:r>
        <w:r w:rsidR="008F7228">
          <w:rPr>
            <w:noProof/>
            <w:webHidden/>
          </w:rPr>
          <w:fldChar w:fldCharType="begin"/>
        </w:r>
        <w:r w:rsidR="009F37F1">
          <w:rPr>
            <w:noProof/>
            <w:webHidden/>
          </w:rPr>
          <w:instrText xml:space="preserve"> PAGEREF _Toc326055331 \h </w:instrText>
        </w:r>
        <w:r w:rsidR="008F7228">
          <w:rPr>
            <w:noProof/>
            <w:webHidden/>
          </w:rPr>
        </w:r>
        <w:r w:rsidR="008F7228">
          <w:rPr>
            <w:noProof/>
            <w:webHidden/>
          </w:rPr>
          <w:fldChar w:fldCharType="separate"/>
        </w:r>
        <w:r w:rsidR="006667B3">
          <w:rPr>
            <w:noProof/>
            <w:webHidden/>
          </w:rPr>
          <w:t>34</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2" w:history="1">
        <w:r w:rsidR="009F37F1" w:rsidRPr="006A697E">
          <w:rPr>
            <w:rStyle w:val="Hipercze"/>
            <w:noProof/>
          </w:rPr>
          <w:t>Rysunek 14 Zestawienie poszczególnych typów beneficjentów w środkach zakontraktowanych (EFRR) od uruchomienia Program</w:t>
        </w:r>
        <w:r w:rsidR="009F37F1">
          <w:rPr>
            <w:noProof/>
            <w:webHidden/>
          </w:rPr>
          <w:tab/>
        </w:r>
        <w:r w:rsidR="008F7228">
          <w:rPr>
            <w:noProof/>
            <w:webHidden/>
          </w:rPr>
          <w:fldChar w:fldCharType="begin"/>
        </w:r>
        <w:r w:rsidR="009F37F1">
          <w:rPr>
            <w:noProof/>
            <w:webHidden/>
          </w:rPr>
          <w:instrText xml:space="preserve"> PAGEREF _Toc326055332 \h </w:instrText>
        </w:r>
        <w:r w:rsidR="008F7228">
          <w:rPr>
            <w:noProof/>
            <w:webHidden/>
          </w:rPr>
        </w:r>
        <w:r w:rsidR="008F7228">
          <w:rPr>
            <w:noProof/>
            <w:webHidden/>
          </w:rPr>
          <w:fldChar w:fldCharType="separate"/>
        </w:r>
        <w:r w:rsidR="006667B3">
          <w:rPr>
            <w:noProof/>
            <w:webHidden/>
          </w:rPr>
          <w:t>35</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3" w:history="1">
        <w:r w:rsidR="009F37F1" w:rsidRPr="006A697E">
          <w:rPr>
            <w:rStyle w:val="Hipercze"/>
            <w:noProof/>
          </w:rPr>
          <w:t>Rysunek 15 Realizacja projektów w podziale na powiaty województwa śląskiego</w:t>
        </w:r>
        <w:r w:rsidR="009F37F1">
          <w:rPr>
            <w:noProof/>
            <w:webHidden/>
          </w:rPr>
          <w:tab/>
        </w:r>
        <w:r w:rsidR="008F7228">
          <w:rPr>
            <w:noProof/>
            <w:webHidden/>
          </w:rPr>
          <w:fldChar w:fldCharType="begin"/>
        </w:r>
        <w:r w:rsidR="009F37F1">
          <w:rPr>
            <w:noProof/>
            <w:webHidden/>
          </w:rPr>
          <w:instrText xml:space="preserve"> PAGEREF _Toc326055333 \h </w:instrText>
        </w:r>
        <w:r w:rsidR="008F7228">
          <w:rPr>
            <w:noProof/>
            <w:webHidden/>
          </w:rPr>
        </w:r>
        <w:r w:rsidR="008F7228">
          <w:rPr>
            <w:noProof/>
            <w:webHidden/>
          </w:rPr>
          <w:fldChar w:fldCharType="separate"/>
        </w:r>
        <w:r w:rsidR="006667B3">
          <w:rPr>
            <w:noProof/>
            <w:webHidden/>
          </w:rPr>
          <w:t>36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4" w:history="1">
        <w:r w:rsidR="009F37F1" w:rsidRPr="006A697E">
          <w:rPr>
            <w:rStyle w:val="Hipercze"/>
            <w:noProof/>
          </w:rPr>
          <w:t>Rysunek 16 Ilościowa struktura wypłaconych pożyczek wg. wielkości przedsiębiorstwa</w:t>
        </w:r>
        <w:r w:rsidR="009F37F1">
          <w:rPr>
            <w:noProof/>
            <w:webHidden/>
          </w:rPr>
          <w:tab/>
        </w:r>
        <w:r w:rsidR="008F7228">
          <w:rPr>
            <w:noProof/>
            <w:webHidden/>
          </w:rPr>
          <w:fldChar w:fldCharType="begin"/>
        </w:r>
        <w:r w:rsidR="009F37F1">
          <w:rPr>
            <w:noProof/>
            <w:webHidden/>
          </w:rPr>
          <w:instrText xml:space="preserve"> PAGEREF _Toc326055334 \h </w:instrText>
        </w:r>
        <w:r w:rsidR="008F7228">
          <w:rPr>
            <w:noProof/>
            <w:webHidden/>
          </w:rPr>
        </w:r>
        <w:r w:rsidR="008F7228">
          <w:rPr>
            <w:noProof/>
            <w:webHidden/>
          </w:rPr>
          <w:fldChar w:fldCharType="separate"/>
        </w:r>
        <w:r w:rsidR="006667B3">
          <w:rPr>
            <w:noProof/>
            <w:webHidden/>
          </w:rPr>
          <w:t>43</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5" w:history="1">
        <w:r w:rsidR="009F37F1" w:rsidRPr="006A697E">
          <w:rPr>
            <w:rStyle w:val="Hipercze"/>
            <w:noProof/>
          </w:rPr>
          <w:t>Rysunek 17 Wartościowa struktura wypłaconych pożyczek wg. wielkości przedsiębiorstwa</w:t>
        </w:r>
        <w:r w:rsidR="009F37F1">
          <w:rPr>
            <w:noProof/>
            <w:webHidden/>
          </w:rPr>
          <w:tab/>
        </w:r>
        <w:r w:rsidR="008F7228">
          <w:rPr>
            <w:noProof/>
            <w:webHidden/>
          </w:rPr>
          <w:fldChar w:fldCharType="begin"/>
        </w:r>
        <w:r w:rsidR="009F37F1">
          <w:rPr>
            <w:noProof/>
            <w:webHidden/>
          </w:rPr>
          <w:instrText xml:space="preserve"> PAGEREF _Toc326055335 \h </w:instrText>
        </w:r>
        <w:r w:rsidR="008F7228">
          <w:rPr>
            <w:noProof/>
            <w:webHidden/>
          </w:rPr>
        </w:r>
        <w:r w:rsidR="008F7228">
          <w:rPr>
            <w:noProof/>
            <w:webHidden/>
          </w:rPr>
          <w:fldChar w:fldCharType="separate"/>
        </w:r>
        <w:r w:rsidR="006667B3">
          <w:rPr>
            <w:noProof/>
            <w:webHidden/>
          </w:rPr>
          <w:t>44</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6" w:history="1">
        <w:r w:rsidR="009F37F1" w:rsidRPr="006A697E">
          <w:rPr>
            <w:rStyle w:val="Hipercze"/>
            <w:noProof/>
          </w:rPr>
          <w:t>Rysunek 18 Wielkość alokacji RPO WSL odpowiadająca poszczególnym priorytetom Strategii EU 2020</w:t>
        </w:r>
        <w:r w:rsidR="009F37F1">
          <w:rPr>
            <w:noProof/>
            <w:webHidden/>
          </w:rPr>
          <w:tab/>
        </w:r>
        <w:r w:rsidR="008F7228">
          <w:rPr>
            <w:noProof/>
            <w:webHidden/>
          </w:rPr>
          <w:fldChar w:fldCharType="begin"/>
        </w:r>
        <w:r w:rsidR="009F37F1">
          <w:rPr>
            <w:noProof/>
            <w:webHidden/>
          </w:rPr>
          <w:instrText xml:space="preserve"> PAGEREF _Toc326055336 \h </w:instrText>
        </w:r>
        <w:r w:rsidR="008F7228">
          <w:rPr>
            <w:noProof/>
            <w:webHidden/>
          </w:rPr>
        </w:r>
        <w:r w:rsidR="008F7228">
          <w:rPr>
            <w:noProof/>
            <w:webHidden/>
          </w:rPr>
          <w:fldChar w:fldCharType="separate"/>
        </w:r>
        <w:r w:rsidR="006667B3">
          <w:rPr>
            <w:noProof/>
            <w:webHidden/>
          </w:rPr>
          <w:t>44</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7" w:history="1">
        <w:r w:rsidR="009F37F1" w:rsidRPr="006A697E">
          <w:rPr>
            <w:rStyle w:val="Hipercze"/>
            <w:noProof/>
          </w:rPr>
          <w:t xml:space="preserve">Rysunek 19 </w:t>
        </w:r>
        <w:r w:rsidR="009F37F1" w:rsidRPr="006A697E">
          <w:rPr>
            <w:rStyle w:val="Hipercze"/>
            <w:rFonts w:eastAsia="Calibri"/>
            <w:noProof/>
          </w:rPr>
          <w:t>Spójność RPO WSL z priorytetami Krajowego Programu Reform na rzecz Strategii Europa 2020.</w:t>
        </w:r>
        <w:r w:rsidR="009F37F1">
          <w:rPr>
            <w:noProof/>
            <w:webHidden/>
          </w:rPr>
          <w:tab/>
        </w:r>
        <w:r w:rsidR="008F7228">
          <w:rPr>
            <w:noProof/>
            <w:webHidden/>
          </w:rPr>
          <w:fldChar w:fldCharType="begin"/>
        </w:r>
        <w:r w:rsidR="009F37F1">
          <w:rPr>
            <w:noProof/>
            <w:webHidden/>
          </w:rPr>
          <w:instrText xml:space="preserve"> PAGEREF _Toc326055337 \h </w:instrText>
        </w:r>
        <w:r w:rsidR="008F7228">
          <w:rPr>
            <w:noProof/>
            <w:webHidden/>
          </w:rPr>
        </w:r>
        <w:r w:rsidR="008F7228">
          <w:rPr>
            <w:noProof/>
            <w:webHidden/>
          </w:rPr>
          <w:fldChar w:fldCharType="separate"/>
        </w:r>
        <w:r w:rsidR="006667B3">
          <w:rPr>
            <w:noProof/>
            <w:webHidden/>
          </w:rPr>
          <w:t>47</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8" w:history="1">
        <w:r w:rsidR="009F37F1" w:rsidRPr="006A697E">
          <w:rPr>
            <w:rStyle w:val="Hipercze"/>
            <w:noProof/>
          </w:rPr>
          <w:t>Rysunek 20 Struktura przeciętnego zatrudnienia w regionie w sektorze przedsiębiorstw w 2011r.; źródło: GUS</w:t>
        </w:r>
        <w:r w:rsidR="009F37F1">
          <w:rPr>
            <w:noProof/>
            <w:webHidden/>
          </w:rPr>
          <w:tab/>
        </w:r>
        <w:r w:rsidR="008F7228">
          <w:rPr>
            <w:noProof/>
            <w:webHidden/>
          </w:rPr>
          <w:fldChar w:fldCharType="begin"/>
        </w:r>
        <w:r w:rsidR="009F37F1">
          <w:rPr>
            <w:noProof/>
            <w:webHidden/>
          </w:rPr>
          <w:instrText xml:space="preserve"> PAGEREF _Toc326055338 \h </w:instrText>
        </w:r>
        <w:r w:rsidR="008F7228">
          <w:rPr>
            <w:noProof/>
            <w:webHidden/>
          </w:rPr>
        </w:r>
        <w:r w:rsidR="008F7228">
          <w:rPr>
            <w:noProof/>
            <w:webHidden/>
          </w:rPr>
          <w:fldChar w:fldCharType="separate"/>
        </w:r>
        <w:r w:rsidR="006667B3">
          <w:rPr>
            <w:noProof/>
            <w:webHidden/>
          </w:rPr>
          <w:t>55</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39" w:history="1">
        <w:r w:rsidR="009F37F1" w:rsidRPr="006A697E">
          <w:rPr>
            <w:rStyle w:val="Hipercze"/>
            <w:noProof/>
          </w:rPr>
          <w:t>Rysunek 21 Struktura osób fizycznych prowadzących działalność gospodarczą według sekcji w 2011 r. ; ; źródło: GUS</w:t>
        </w:r>
        <w:r w:rsidR="009F37F1">
          <w:rPr>
            <w:noProof/>
            <w:webHidden/>
          </w:rPr>
          <w:tab/>
        </w:r>
        <w:r w:rsidR="008F7228">
          <w:rPr>
            <w:noProof/>
            <w:webHidden/>
          </w:rPr>
          <w:fldChar w:fldCharType="begin"/>
        </w:r>
        <w:r w:rsidR="009F37F1">
          <w:rPr>
            <w:noProof/>
            <w:webHidden/>
          </w:rPr>
          <w:instrText xml:space="preserve"> PAGEREF _Toc326055339 \h </w:instrText>
        </w:r>
        <w:r w:rsidR="008F7228">
          <w:rPr>
            <w:noProof/>
            <w:webHidden/>
          </w:rPr>
        </w:r>
        <w:r w:rsidR="008F7228">
          <w:rPr>
            <w:noProof/>
            <w:webHidden/>
          </w:rPr>
          <w:fldChar w:fldCharType="separate"/>
        </w:r>
        <w:r w:rsidR="006667B3">
          <w:rPr>
            <w:noProof/>
            <w:webHidden/>
          </w:rPr>
          <w:t>57</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0" w:history="1">
        <w:r w:rsidR="009F37F1" w:rsidRPr="006A697E">
          <w:rPr>
            <w:rStyle w:val="Hipercze"/>
            <w:noProof/>
          </w:rPr>
          <w:t>Rysunek 22 Liczba podmiotów w województwie śląskim</w:t>
        </w:r>
        <w:r w:rsidR="009F37F1">
          <w:rPr>
            <w:noProof/>
            <w:webHidden/>
          </w:rPr>
          <w:tab/>
        </w:r>
        <w:r w:rsidR="008F7228">
          <w:rPr>
            <w:noProof/>
            <w:webHidden/>
          </w:rPr>
          <w:fldChar w:fldCharType="begin"/>
        </w:r>
        <w:r w:rsidR="009F37F1">
          <w:rPr>
            <w:noProof/>
            <w:webHidden/>
          </w:rPr>
          <w:instrText xml:space="preserve"> PAGEREF _Toc326055340 \h </w:instrText>
        </w:r>
        <w:r w:rsidR="008F7228">
          <w:rPr>
            <w:noProof/>
            <w:webHidden/>
          </w:rPr>
        </w:r>
        <w:r w:rsidR="008F7228">
          <w:rPr>
            <w:noProof/>
            <w:webHidden/>
          </w:rPr>
          <w:fldChar w:fldCharType="separate"/>
        </w:r>
        <w:r w:rsidR="006667B3">
          <w:rPr>
            <w:noProof/>
            <w:webHidden/>
          </w:rPr>
          <w:t>59</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1" w:history="1">
        <w:r w:rsidR="009F37F1" w:rsidRPr="006A697E">
          <w:rPr>
            <w:rStyle w:val="Hipercze"/>
            <w:noProof/>
          </w:rPr>
          <w:t>Rysunek 23 Realizacja priorytetu I od uruchomienia Programu  i w okresie sprawozdawczym</w:t>
        </w:r>
        <w:r w:rsidR="009F37F1">
          <w:rPr>
            <w:noProof/>
            <w:webHidden/>
          </w:rPr>
          <w:tab/>
        </w:r>
        <w:r w:rsidR="008F7228">
          <w:rPr>
            <w:noProof/>
            <w:webHidden/>
          </w:rPr>
          <w:fldChar w:fldCharType="begin"/>
        </w:r>
        <w:r w:rsidR="009F37F1">
          <w:rPr>
            <w:noProof/>
            <w:webHidden/>
          </w:rPr>
          <w:instrText xml:space="preserve"> PAGEREF _Toc326055341 \h </w:instrText>
        </w:r>
        <w:r w:rsidR="008F7228">
          <w:rPr>
            <w:noProof/>
            <w:webHidden/>
          </w:rPr>
        </w:r>
        <w:r w:rsidR="008F7228">
          <w:rPr>
            <w:noProof/>
            <w:webHidden/>
          </w:rPr>
          <w:fldChar w:fldCharType="separate"/>
        </w:r>
        <w:r w:rsidR="006667B3">
          <w:rPr>
            <w:noProof/>
            <w:webHidden/>
          </w:rPr>
          <w:t>79</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2" w:history="1">
        <w:r w:rsidR="009F37F1" w:rsidRPr="006A697E">
          <w:rPr>
            <w:rStyle w:val="Hipercze"/>
            <w:noProof/>
          </w:rPr>
          <w:t>Rysunek 24 Poziom kontraktacji i płatności w podziale na ścieżki wyboru projektów</w:t>
        </w:r>
        <w:r w:rsidR="009F37F1">
          <w:rPr>
            <w:noProof/>
            <w:webHidden/>
          </w:rPr>
          <w:tab/>
        </w:r>
        <w:r w:rsidR="008F7228">
          <w:rPr>
            <w:noProof/>
            <w:webHidden/>
          </w:rPr>
          <w:fldChar w:fldCharType="begin"/>
        </w:r>
        <w:r w:rsidR="009F37F1">
          <w:rPr>
            <w:noProof/>
            <w:webHidden/>
          </w:rPr>
          <w:instrText xml:space="preserve"> PAGEREF _Toc326055342 \h </w:instrText>
        </w:r>
        <w:r w:rsidR="008F7228">
          <w:rPr>
            <w:noProof/>
            <w:webHidden/>
          </w:rPr>
        </w:r>
        <w:r w:rsidR="008F7228">
          <w:rPr>
            <w:noProof/>
            <w:webHidden/>
          </w:rPr>
          <w:fldChar w:fldCharType="separate"/>
        </w:r>
        <w:r w:rsidR="006667B3">
          <w:rPr>
            <w:noProof/>
            <w:webHidden/>
          </w:rPr>
          <w:t>81</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3" w:history="1">
        <w:r w:rsidR="009F37F1" w:rsidRPr="006A697E">
          <w:rPr>
            <w:rStyle w:val="Hipercze"/>
            <w:noProof/>
          </w:rPr>
          <w:t>Rysunek 25 Rozkład projektów w podziale na beneficjentów</w:t>
        </w:r>
        <w:r w:rsidR="009F37F1">
          <w:rPr>
            <w:noProof/>
            <w:webHidden/>
          </w:rPr>
          <w:tab/>
        </w:r>
        <w:r w:rsidR="008F7228">
          <w:rPr>
            <w:noProof/>
            <w:webHidden/>
          </w:rPr>
          <w:fldChar w:fldCharType="begin"/>
        </w:r>
        <w:r w:rsidR="009F37F1">
          <w:rPr>
            <w:noProof/>
            <w:webHidden/>
          </w:rPr>
          <w:instrText xml:space="preserve"> PAGEREF _Toc326055343 \h </w:instrText>
        </w:r>
        <w:r w:rsidR="008F7228">
          <w:rPr>
            <w:noProof/>
            <w:webHidden/>
          </w:rPr>
        </w:r>
        <w:r w:rsidR="008F7228">
          <w:rPr>
            <w:noProof/>
            <w:webHidden/>
          </w:rPr>
          <w:fldChar w:fldCharType="separate"/>
        </w:r>
        <w:r w:rsidR="006667B3">
          <w:rPr>
            <w:noProof/>
            <w:webHidden/>
          </w:rPr>
          <w:t>82</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4" w:history="1">
        <w:r w:rsidR="009F37F1" w:rsidRPr="006A697E">
          <w:rPr>
            <w:rStyle w:val="Hipercze"/>
            <w:noProof/>
          </w:rPr>
          <w:t>Rysunek 26 Rozkład projektów w podziale na powiaty</w:t>
        </w:r>
        <w:r w:rsidR="009F37F1">
          <w:rPr>
            <w:noProof/>
            <w:webHidden/>
          </w:rPr>
          <w:tab/>
        </w:r>
        <w:r w:rsidR="008F7228">
          <w:rPr>
            <w:noProof/>
            <w:webHidden/>
          </w:rPr>
          <w:fldChar w:fldCharType="begin"/>
        </w:r>
        <w:r w:rsidR="009F37F1">
          <w:rPr>
            <w:noProof/>
            <w:webHidden/>
          </w:rPr>
          <w:instrText xml:space="preserve"> PAGEREF _Toc326055344 \h </w:instrText>
        </w:r>
        <w:r w:rsidR="008F7228">
          <w:rPr>
            <w:noProof/>
            <w:webHidden/>
          </w:rPr>
        </w:r>
        <w:r w:rsidR="008F7228">
          <w:rPr>
            <w:noProof/>
            <w:webHidden/>
          </w:rPr>
          <w:fldChar w:fldCharType="separate"/>
        </w:r>
        <w:r w:rsidR="006667B3">
          <w:rPr>
            <w:noProof/>
            <w:webHidden/>
          </w:rPr>
          <w:t>83</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5" w:history="1">
        <w:r w:rsidR="009F37F1" w:rsidRPr="006A697E">
          <w:rPr>
            <w:rStyle w:val="Hipercze"/>
            <w:noProof/>
          </w:rPr>
          <w:t>Rysunek 27 Realizacja priorytetu II od uruchomienia Programu i w okresie sprawozdawczym</w:t>
        </w:r>
        <w:r w:rsidR="009F37F1">
          <w:rPr>
            <w:noProof/>
            <w:webHidden/>
          </w:rPr>
          <w:tab/>
        </w:r>
        <w:r w:rsidR="008F7228">
          <w:rPr>
            <w:noProof/>
            <w:webHidden/>
          </w:rPr>
          <w:fldChar w:fldCharType="begin"/>
        </w:r>
        <w:r w:rsidR="009F37F1">
          <w:rPr>
            <w:noProof/>
            <w:webHidden/>
          </w:rPr>
          <w:instrText xml:space="preserve"> PAGEREF _Toc326055345 \h </w:instrText>
        </w:r>
        <w:r w:rsidR="008F7228">
          <w:rPr>
            <w:noProof/>
            <w:webHidden/>
          </w:rPr>
        </w:r>
        <w:r w:rsidR="008F7228">
          <w:rPr>
            <w:noProof/>
            <w:webHidden/>
          </w:rPr>
          <w:fldChar w:fldCharType="separate"/>
        </w:r>
        <w:r w:rsidR="006667B3">
          <w:rPr>
            <w:noProof/>
            <w:webHidden/>
          </w:rPr>
          <w:t>90</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6" w:history="1">
        <w:r w:rsidR="009F37F1" w:rsidRPr="006A697E">
          <w:rPr>
            <w:rStyle w:val="Hipercze"/>
            <w:noProof/>
          </w:rPr>
          <w:t>Rysunek 28 Poziom kontraktacji i płatności w podziel na ścieżki wyboru projektów</w:t>
        </w:r>
        <w:r w:rsidR="009F37F1">
          <w:rPr>
            <w:noProof/>
            <w:webHidden/>
          </w:rPr>
          <w:tab/>
        </w:r>
        <w:r w:rsidR="008F7228">
          <w:rPr>
            <w:noProof/>
            <w:webHidden/>
          </w:rPr>
          <w:fldChar w:fldCharType="begin"/>
        </w:r>
        <w:r w:rsidR="009F37F1">
          <w:rPr>
            <w:noProof/>
            <w:webHidden/>
          </w:rPr>
          <w:instrText xml:space="preserve"> PAGEREF _Toc326055346 \h </w:instrText>
        </w:r>
        <w:r w:rsidR="008F7228">
          <w:rPr>
            <w:noProof/>
            <w:webHidden/>
          </w:rPr>
        </w:r>
        <w:r w:rsidR="008F7228">
          <w:rPr>
            <w:noProof/>
            <w:webHidden/>
          </w:rPr>
          <w:fldChar w:fldCharType="separate"/>
        </w:r>
        <w:r w:rsidR="006667B3">
          <w:rPr>
            <w:noProof/>
            <w:webHidden/>
          </w:rPr>
          <w:t>92</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7" w:history="1">
        <w:r w:rsidR="009F37F1" w:rsidRPr="006A697E">
          <w:rPr>
            <w:rStyle w:val="Hipercze"/>
            <w:noProof/>
          </w:rPr>
          <w:t>Rysunek 29 Rozkład projektów w podziale na beneficjentów</w:t>
        </w:r>
        <w:r w:rsidR="009F37F1">
          <w:rPr>
            <w:noProof/>
            <w:webHidden/>
          </w:rPr>
          <w:tab/>
        </w:r>
        <w:r w:rsidR="008F7228">
          <w:rPr>
            <w:noProof/>
            <w:webHidden/>
          </w:rPr>
          <w:fldChar w:fldCharType="begin"/>
        </w:r>
        <w:r w:rsidR="009F37F1">
          <w:rPr>
            <w:noProof/>
            <w:webHidden/>
          </w:rPr>
          <w:instrText xml:space="preserve"> PAGEREF _Toc326055347 \h </w:instrText>
        </w:r>
        <w:r w:rsidR="008F7228">
          <w:rPr>
            <w:noProof/>
            <w:webHidden/>
          </w:rPr>
        </w:r>
        <w:r w:rsidR="008F7228">
          <w:rPr>
            <w:noProof/>
            <w:webHidden/>
          </w:rPr>
          <w:fldChar w:fldCharType="separate"/>
        </w:r>
        <w:r w:rsidR="006667B3">
          <w:rPr>
            <w:noProof/>
            <w:webHidden/>
          </w:rPr>
          <w:t>93</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8" w:history="1">
        <w:r w:rsidR="009F37F1" w:rsidRPr="006A697E">
          <w:rPr>
            <w:rStyle w:val="Hipercze"/>
            <w:noProof/>
          </w:rPr>
          <w:t>Rysunek 30 Rozkład projektów w podziale na powiaty</w:t>
        </w:r>
        <w:r w:rsidR="009F37F1">
          <w:rPr>
            <w:noProof/>
            <w:webHidden/>
          </w:rPr>
          <w:tab/>
        </w:r>
        <w:r w:rsidR="008F7228">
          <w:rPr>
            <w:noProof/>
            <w:webHidden/>
          </w:rPr>
          <w:fldChar w:fldCharType="begin"/>
        </w:r>
        <w:r w:rsidR="009F37F1">
          <w:rPr>
            <w:noProof/>
            <w:webHidden/>
          </w:rPr>
          <w:instrText xml:space="preserve"> PAGEREF _Toc326055348 \h </w:instrText>
        </w:r>
        <w:r w:rsidR="008F7228">
          <w:rPr>
            <w:noProof/>
            <w:webHidden/>
          </w:rPr>
        </w:r>
        <w:r w:rsidR="008F7228">
          <w:rPr>
            <w:noProof/>
            <w:webHidden/>
          </w:rPr>
          <w:fldChar w:fldCharType="separate"/>
        </w:r>
        <w:r w:rsidR="006667B3">
          <w:rPr>
            <w:noProof/>
            <w:webHidden/>
          </w:rPr>
          <w:t>94</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49" w:history="1">
        <w:r w:rsidR="009F37F1" w:rsidRPr="006A697E">
          <w:rPr>
            <w:rStyle w:val="Hipercze"/>
            <w:noProof/>
          </w:rPr>
          <w:t>Rysunek 31 Realizacja priorytetu III od uruchomienia Programu i w okresie sprawozdawczym</w:t>
        </w:r>
        <w:r w:rsidR="009F37F1">
          <w:rPr>
            <w:noProof/>
            <w:webHidden/>
          </w:rPr>
          <w:tab/>
        </w:r>
        <w:r w:rsidR="008F7228">
          <w:rPr>
            <w:noProof/>
            <w:webHidden/>
          </w:rPr>
          <w:fldChar w:fldCharType="begin"/>
        </w:r>
        <w:r w:rsidR="009F37F1">
          <w:rPr>
            <w:noProof/>
            <w:webHidden/>
          </w:rPr>
          <w:instrText xml:space="preserve"> PAGEREF _Toc326055349 \h </w:instrText>
        </w:r>
        <w:r w:rsidR="008F7228">
          <w:rPr>
            <w:noProof/>
            <w:webHidden/>
          </w:rPr>
        </w:r>
        <w:r w:rsidR="008F7228">
          <w:rPr>
            <w:noProof/>
            <w:webHidden/>
          </w:rPr>
          <w:fldChar w:fldCharType="separate"/>
        </w:r>
        <w:r w:rsidR="006667B3">
          <w:rPr>
            <w:noProof/>
            <w:webHidden/>
          </w:rPr>
          <w:t>101</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0" w:history="1">
        <w:r w:rsidR="009F37F1" w:rsidRPr="006A697E">
          <w:rPr>
            <w:rStyle w:val="Hipercze"/>
            <w:noProof/>
          </w:rPr>
          <w:t>Rysunek 32 Poziom kontraktacji i płatności w podziale na ścieżki wyboru projektów</w:t>
        </w:r>
        <w:r w:rsidR="009F37F1">
          <w:rPr>
            <w:noProof/>
            <w:webHidden/>
          </w:rPr>
          <w:tab/>
        </w:r>
        <w:r w:rsidR="008F7228">
          <w:rPr>
            <w:noProof/>
            <w:webHidden/>
          </w:rPr>
          <w:fldChar w:fldCharType="begin"/>
        </w:r>
        <w:r w:rsidR="009F37F1">
          <w:rPr>
            <w:noProof/>
            <w:webHidden/>
          </w:rPr>
          <w:instrText xml:space="preserve"> PAGEREF _Toc326055350 \h </w:instrText>
        </w:r>
        <w:r w:rsidR="008F7228">
          <w:rPr>
            <w:noProof/>
            <w:webHidden/>
          </w:rPr>
        </w:r>
        <w:r w:rsidR="008F7228">
          <w:rPr>
            <w:noProof/>
            <w:webHidden/>
          </w:rPr>
          <w:fldChar w:fldCharType="separate"/>
        </w:r>
        <w:r w:rsidR="006667B3">
          <w:rPr>
            <w:noProof/>
            <w:webHidden/>
          </w:rPr>
          <w:t>102</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1" w:history="1">
        <w:r w:rsidR="009F37F1" w:rsidRPr="006A697E">
          <w:rPr>
            <w:rStyle w:val="Hipercze"/>
            <w:noProof/>
          </w:rPr>
          <w:t>Rysunek 33 Rozkład projektów w podziale na beneficjentów</w:t>
        </w:r>
        <w:r w:rsidR="009F37F1">
          <w:rPr>
            <w:noProof/>
            <w:webHidden/>
          </w:rPr>
          <w:tab/>
        </w:r>
        <w:r w:rsidR="008F7228">
          <w:rPr>
            <w:noProof/>
            <w:webHidden/>
          </w:rPr>
          <w:fldChar w:fldCharType="begin"/>
        </w:r>
        <w:r w:rsidR="009F37F1">
          <w:rPr>
            <w:noProof/>
            <w:webHidden/>
          </w:rPr>
          <w:instrText xml:space="preserve"> PAGEREF _Toc326055351 \h </w:instrText>
        </w:r>
        <w:r w:rsidR="008F7228">
          <w:rPr>
            <w:noProof/>
            <w:webHidden/>
          </w:rPr>
        </w:r>
        <w:r w:rsidR="008F7228">
          <w:rPr>
            <w:noProof/>
            <w:webHidden/>
          </w:rPr>
          <w:fldChar w:fldCharType="separate"/>
        </w:r>
        <w:r w:rsidR="006667B3">
          <w:rPr>
            <w:noProof/>
            <w:webHidden/>
          </w:rPr>
          <w:t>103</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2" w:history="1">
        <w:r w:rsidR="009F37F1" w:rsidRPr="006A697E">
          <w:rPr>
            <w:rStyle w:val="Hipercze"/>
            <w:noProof/>
          </w:rPr>
          <w:t>Rysunek 34 Rozkład projektów w podziale na powiaty</w:t>
        </w:r>
        <w:r w:rsidR="009F37F1">
          <w:rPr>
            <w:noProof/>
            <w:webHidden/>
          </w:rPr>
          <w:tab/>
        </w:r>
        <w:r w:rsidR="008F7228">
          <w:rPr>
            <w:noProof/>
            <w:webHidden/>
          </w:rPr>
          <w:fldChar w:fldCharType="begin"/>
        </w:r>
        <w:r w:rsidR="009F37F1">
          <w:rPr>
            <w:noProof/>
            <w:webHidden/>
          </w:rPr>
          <w:instrText xml:space="preserve"> PAGEREF _Toc326055352 \h </w:instrText>
        </w:r>
        <w:r w:rsidR="008F7228">
          <w:rPr>
            <w:noProof/>
            <w:webHidden/>
          </w:rPr>
        </w:r>
        <w:r w:rsidR="008F7228">
          <w:rPr>
            <w:noProof/>
            <w:webHidden/>
          </w:rPr>
          <w:fldChar w:fldCharType="separate"/>
        </w:r>
        <w:r w:rsidR="006667B3">
          <w:rPr>
            <w:noProof/>
            <w:webHidden/>
          </w:rPr>
          <w:t>104</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3" w:history="1">
        <w:r w:rsidR="009F37F1" w:rsidRPr="006A697E">
          <w:rPr>
            <w:rStyle w:val="Hipercze"/>
            <w:noProof/>
          </w:rPr>
          <w:t>Rysunek 35 Realizacja priorytetu IV od uruchomienia Programu i w okresie sprawozdawczym</w:t>
        </w:r>
        <w:r w:rsidR="009F37F1">
          <w:rPr>
            <w:noProof/>
            <w:webHidden/>
          </w:rPr>
          <w:tab/>
        </w:r>
        <w:r w:rsidR="008F7228">
          <w:rPr>
            <w:noProof/>
            <w:webHidden/>
          </w:rPr>
          <w:fldChar w:fldCharType="begin"/>
        </w:r>
        <w:r w:rsidR="009F37F1">
          <w:rPr>
            <w:noProof/>
            <w:webHidden/>
          </w:rPr>
          <w:instrText xml:space="preserve"> PAGEREF _Toc326055353 \h </w:instrText>
        </w:r>
        <w:r w:rsidR="008F7228">
          <w:rPr>
            <w:noProof/>
            <w:webHidden/>
          </w:rPr>
        </w:r>
        <w:r w:rsidR="008F7228">
          <w:rPr>
            <w:noProof/>
            <w:webHidden/>
          </w:rPr>
          <w:fldChar w:fldCharType="separate"/>
        </w:r>
        <w:r w:rsidR="006667B3">
          <w:rPr>
            <w:noProof/>
            <w:webHidden/>
          </w:rPr>
          <w:t>109</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4" w:history="1">
        <w:r w:rsidR="009F37F1" w:rsidRPr="006A697E">
          <w:rPr>
            <w:rStyle w:val="Hipercze"/>
            <w:noProof/>
          </w:rPr>
          <w:t>Rysunek 36 Realizacja priorytety IV w podziale na trzy procedury wyboru projektów</w:t>
        </w:r>
        <w:r w:rsidR="009F37F1">
          <w:rPr>
            <w:noProof/>
            <w:webHidden/>
          </w:rPr>
          <w:tab/>
        </w:r>
        <w:r w:rsidR="008F7228">
          <w:rPr>
            <w:noProof/>
            <w:webHidden/>
          </w:rPr>
          <w:fldChar w:fldCharType="begin"/>
        </w:r>
        <w:r w:rsidR="009F37F1">
          <w:rPr>
            <w:noProof/>
            <w:webHidden/>
          </w:rPr>
          <w:instrText xml:space="preserve"> PAGEREF _Toc326055354 \h </w:instrText>
        </w:r>
        <w:r w:rsidR="008F7228">
          <w:rPr>
            <w:noProof/>
            <w:webHidden/>
          </w:rPr>
        </w:r>
        <w:r w:rsidR="008F7228">
          <w:rPr>
            <w:noProof/>
            <w:webHidden/>
          </w:rPr>
          <w:fldChar w:fldCharType="separate"/>
        </w:r>
        <w:r w:rsidR="006667B3">
          <w:rPr>
            <w:noProof/>
            <w:webHidden/>
          </w:rPr>
          <w:t>111</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5" w:history="1">
        <w:r w:rsidR="009F37F1" w:rsidRPr="006A697E">
          <w:rPr>
            <w:rStyle w:val="Hipercze"/>
            <w:noProof/>
          </w:rPr>
          <w:t>Rysunek 37 Rozkład projektów w podziale na beneficjentów</w:t>
        </w:r>
        <w:r w:rsidR="009F37F1">
          <w:rPr>
            <w:noProof/>
            <w:webHidden/>
          </w:rPr>
          <w:tab/>
        </w:r>
        <w:r w:rsidR="008F7228">
          <w:rPr>
            <w:noProof/>
            <w:webHidden/>
          </w:rPr>
          <w:fldChar w:fldCharType="begin"/>
        </w:r>
        <w:r w:rsidR="009F37F1">
          <w:rPr>
            <w:noProof/>
            <w:webHidden/>
          </w:rPr>
          <w:instrText xml:space="preserve"> PAGEREF _Toc326055355 \h </w:instrText>
        </w:r>
        <w:r w:rsidR="008F7228">
          <w:rPr>
            <w:noProof/>
            <w:webHidden/>
          </w:rPr>
        </w:r>
        <w:r w:rsidR="008F7228">
          <w:rPr>
            <w:noProof/>
            <w:webHidden/>
          </w:rPr>
          <w:fldChar w:fldCharType="separate"/>
        </w:r>
        <w:r w:rsidR="006667B3">
          <w:rPr>
            <w:noProof/>
            <w:webHidden/>
          </w:rPr>
          <w:t>111</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6" w:history="1">
        <w:r w:rsidR="009F37F1" w:rsidRPr="006A697E">
          <w:rPr>
            <w:rStyle w:val="Hipercze"/>
            <w:noProof/>
          </w:rPr>
          <w:t>Rysunek 38Rozkład projektów w podziale na powiaty</w:t>
        </w:r>
        <w:r w:rsidR="009F37F1">
          <w:rPr>
            <w:noProof/>
            <w:webHidden/>
          </w:rPr>
          <w:tab/>
        </w:r>
        <w:r w:rsidR="008F7228">
          <w:rPr>
            <w:noProof/>
            <w:webHidden/>
          </w:rPr>
          <w:fldChar w:fldCharType="begin"/>
        </w:r>
        <w:r w:rsidR="009F37F1">
          <w:rPr>
            <w:noProof/>
            <w:webHidden/>
          </w:rPr>
          <w:instrText xml:space="preserve"> PAGEREF _Toc326055356 \h </w:instrText>
        </w:r>
        <w:r w:rsidR="008F7228">
          <w:rPr>
            <w:noProof/>
            <w:webHidden/>
          </w:rPr>
        </w:r>
        <w:r w:rsidR="008F7228">
          <w:rPr>
            <w:noProof/>
            <w:webHidden/>
          </w:rPr>
          <w:fldChar w:fldCharType="separate"/>
        </w:r>
        <w:r w:rsidR="006667B3">
          <w:rPr>
            <w:noProof/>
            <w:webHidden/>
          </w:rPr>
          <w:t>112</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7" w:history="1">
        <w:r w:rsidR="009F37F1" w:rsidRPr="006A697E">
          <w:rPr>
            <w:rStyle w:val="Hipercze"/>
            <w:noProof/>
          </w:rPr>
          <w:t>Rysunek 39 Realizacja priorytetu V od uruchomienia Programu i w okresie sprawozdawczym</w:t>
        </w:r>
        <w:r w:rsidR="009F37F1">
          <w:rPr>
            <w:noProof/>
            <w:webHidden/>
          </w:rPr>
          <w:tab/>
        </w:r>
        <w:r w:rsidR="008F7228">
          <w:rPr>
            <w:noProof/>
            <w:webHidden/>
          </w:rPr>
          <w:fldChar w:fldCharType="begin"/>
        </w:r>
        <w:r w:rsidR="009F37F1">
          <w:rPr>
            <w:noProof/>
            <w:webHidden/>
          </w:rPr>
          <w:instrText xml:space="preserve"> PAGEREF _Toc326055357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8" w:history="1">
        <w:r w:rsidR="009F37F1" w:rsidRPr="006A697E">
          <w:rPr>
            <w:rStyle w:val="Hipercze"/>
            <w:noProof/>
          </w:rPr>
          <w:t>Rysunek 40Poziom kontraktacji i płatności w podziale na ścieżki wyboru projektów</w:t>
        </w:r>
        <w:r w:rsidR="009F37F1">
          <w:rPr>
            <w:noProof/>
            <w:webHidden/>
          </w:rPr>
          <w:tab/>
        </w:r>
        <w:r w:rsidR="008F7228">
          <w:rPr>
            <w:noProof/>
            <w:webHidden/>
          </w:rPr>
          <w:fldChar w:fldCharType="begin"/>
        </w:r>
        <w:r w:rsidR="009F37F1">
          <w:rPr>
            <w:noProof/>
            <w:webHidden/>
          </w:rPr>
          <w:instrText xml:space="preserve"> PAGEREF _Toc326055358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59" w:history="1">
        <w:r w:rsidR="009F37F1" w:rsidRPr="006A697E">
          <w:rPr>
            <w:rStyle w:val="Hipercze"/>
            <w:noProof/>
          </w:rPr>
          <w:t>Rysunek 41 Rozkład projektów w podziale na beneficjentów</w:t>
        </w:r>
        <w:r w:rsidR="009F37F1">
          <w:rPr>
            <w:noProof/>
            <w:webHidden/>
          </w:rPr>
          <w:tab/>
        </w:r>
        <w:r w:rsidR="008F7228">
          <w:rPr>
            <w:noProof/>
            <w:webHidden/>
          </w:rPr>
          <w:fldChar w:fldCharType="begin"/>
        </w:r>
        <w:r w:rsidR="009F37F1">
          <w:rPr>
            <w:noProof/>
            <w:webHidden/>
          </w:rPr>
          <w:instrText xml:space="preserve"> PAGEREF _Toc326055359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0" w:history="1">
        <w:r w:rsidR="009F37F1" w:rsidRPr="006A697E">
          <w:rPr>
            <w:rStyle w:val="Hipercze"/>
            <w:noProof/>
          </w:rPr>
          <w:t>Rysunek 42 Rozkład projektów w podziale na powiaty</w:t>
        </w:r>
        <w:r w:rsidR="009F37F1">
          <w:rPr>
            <w:noProof/>
            <w:webHidden/>
          </w:rPr>
          <w:tab/>
        </w:r>
        <w:r w:rsidR="008F7228">
          <w:rPr>
            <w:noProof/>
            <w:webHidden/>
          </w:rPr>
          <w:fldChar w:fldCharType="begin"/>
        </w:r>
        <w:r w:rsidR="009F37F1">
          <w:rPr>
            <w:noProof/>
            <w:webHidden/>
          </w:rPr>
          <w:instrText xml:space="preserve"> PAGEREF _Toc326055360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1" w:history="1">
        <w:r w:rsidR="009F37F1" w:rsidRPr="006A697E">
          <w:rPr>
            <w:rStyle w:val="Hipercze"/>
            <w:noProof/>
          </w:rPr>
          <w:t>Rysunek 43 Realizacja priorytetu VI od uruchomienia Programu</w:t>
        </w:r>
        <w:r w:rsidR="009F37F1">
          <w:rPr>
            <w:noProof/>
            <w:webHidden/>
          </w:rPr>
          <w:tab/>
        </w:r>
        <w:r w:rsidR="008F7228">
          <w:rPr>
            <w:noProof/>
            <w:webHidden/>
          </w:rPr>
          <w:fldChar w:fldCharType="begin"/>
        </w:r>
        <w:r w:rsidR="009F37F1">
          <w:rPr>
            <w:noProof/>
            <w:webHidden/>
          </w:rPr>
          <w:instrText xml:space="preserve"> PAGEREF _Toc326055361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2" w:history="1">
        <w:r w:rsidR="009F37F1" w:rsidRPr="006A697E">
          <w:rPr>
            <w:rStyle w:val="Hipercze"/>
            <w:noProof/>
          </w:rPr>
          <w:t>Rysunek 44 Poziom kontraktacji i płatności w podziale na ścieżki wyboru projektów</w:t>
        </w:r>
        <w:r w:rsidR="009F37F1">
          <w:rPr>
            <w:noProof/>
            <w:webHidden/>
          </w:rPr>
          <w:tab/>
        </w:r>
        <w:r w:rsidR="008F7228">
          <w:rPr>
            <w:noProof/>
            <w:webHidden/>
          </w:rPr>
          <w:fldChar w:fldCharType="begin"/>
        </w:r>
        <w:r w:rsidR="009F37F1">
          <w:rPr>
            <w:noProof/>
            <w:webHidden/>
          </w:rPr>
          <w:instrText xml:space="preserve"> PAGEREF _Toc326055362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3" w:history="1">
        <w:r w:rsidR="009F37F1" w:rsidRPr="006A697E">
          <w:rPr>
            <w:rStyle w:val="Hipercze"/>
            <w:noProof/>
          </w:rPr>
          <w:t>Rysunek 45 Rozkład projektów  realizowanych w ramach priorytetu VI w podziale na beneficjentów</w:t>
        </w:r>
        <w:r w:rsidR="009F37F1">
          <w:rPr>
            <w:noProof/>
            <w:webHidden/>
          </w:rPr>
          <w:tab/>
        </w:r>
        <w:r w:rsidR="008F7228">
          <w:rPr>
            <w:noProof/>
            <w:webHidden/>
          </w:rPr>
          <w:fldChar w:fldCharType="begin"/>
        </w:r>
        <w:r w:rsidR="009F37F1">
          <w:rPr>
            <w:noProof/>
            <w:webHidden/>
          </w:rPr>
          <w:instrText xml:space="preserve"> PAGEREF _Toc326055363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4" w:history="1">
        <w:r w:rsidR="009F37F1" w:rsidRPr="006A697E">
          <w:rPr>
            <w:rStyle w:val="Hipercze"/>
            <w:noProof/>
          </w:rPr>
          <w:t>Rysunek 46 Realizacja projektów w podziale na powiaty</w:t>
        </w:r>
        <w:r w:rsidR="009F37F1">
          <w:rPr>
            <w:noProof/>
            <w:webHidden/>
          </w:rPr>
          <w:tab/>
        </w:r>
        <w:r w:rsidR="008F7228">
          <w:rPr>
            <w:noProof/>
            <w:webHidden/>
          </w:rPr>
          <w:fldChar w:fldCharType="begin"/>
        </w:r>
        <w:r w:rsidR="009F37F1">
          <w:rPr>
            <w:noProof/>
            <w:webHidden/>
          </w:rPr>
          <w:instrText xml:space="preserve"> PAGEREF _Toc326055364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5" w:history="1">
        <w:r w:rsidR="009F37F1" w:rsidRPr="006A697E">
          <w:rPr>
            <w:rStyle w:val="Hipercze"/>
            <w:noProof/>
          </w:rPr>
          <w:t>Rysunek 47 Realizacja priorytetu VII od uruchomienia Programu</w:t>
        </w:r>
        <w:r w:rsidR="009F37F1">
          <w:rPr>
            <w:noProof/>
            <w:webHidden/>
          </w:rPr>
          <w:tab/>
        </w:r>
        <w:r w:rsidR="008F7228">
          <w:rPr>
            <w:noProof/>
            <w:webHidden/>
          </w:rPr>
          <w:fldChar w:fldCharType="begin"/>
        </w:r>
        <w:r w:rsidR="009F37F1">
          <w:rPr>
            <w:noProof/>
            <w:webHidden/>
          </w:rPr>
          <w:instrText xml:space="preserve"> PAGEREF _Toc326055365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6" w:history="1">
        <w:r w:rsidR="009F37F1" w:rsidRPr="006A697E">
          <w:rPr>
            <w:rStyle w:val="Hipercze"/>
            <w:noProof/>
          </w:rPr>
          <w:t>Rysunek 48 Poziom kontraktacji i płatności w podziale na ścieżki wyboru projektów</w:t>
        </w:r>
        <w:r w:rsidR="009F37F1">
          <w:rPr>
            <w:noProof/>
            <w:webHidden/>
          </w:rPr>
          <w:tab/>
        </w:r>
        <w:r w:rsidR="008F7228">
          <w:rPr>
            <w:noProof/>
            <w:webHidden/>
          </w:rPr>
          <w:fldChar w:fldCharType="begin"/>
        </w:r>
        <w:r w:rsidR="009F37F1">
          <w:rPr>
            <w:noProof/>
            <w:webHidden/>
          </w:rPr>
          <w:instrText xml:space="preserve"> PAGEREF _Toc326055366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7" w:history="1">
        <w:r w:rsidR="009F37F1" w:rsidRPr="006A697E">
          <w:rPr>
            <w:rStyle w:val="Hipercze"/>
            <w:noProof/>
          </w:rPr>
          <w:t>Rysunek 49 Rozkład projektów  realizowanych w ramach priorytetu VII w podziale na beneficjentów</w:t>
        </w:r>
        <w:r w:rsidR="009F37F1">
          <w:rPr>
            <w:noProof/>
            <w:webHidden/>
          </w:rPr>
          <w:tab/>
        </w:r>
        <w:r w:rsidR="008F7228">
          <w:rPr>
            <w:noProof/>
            <w:webHidden/>
          </w:rPr>
          <w:fldChar w:fldCharType="begin"/>
        </w:r>
        <w:r w:rsidR="009F37F1">
          <w:rPr>
            <w:noProof/>
            <w:webHidden/>
          </w:rPr>
          <w:instrText xml:space="preserve"> PAGEREF _Toc326055367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8" w:history="1">
        <w:r w:rsidR="009F37F1" w:rsidRPr="006A697E">
          <w:rPr>
            <w:rStyle w:val="Hipercze"/>
            <w:noProof/>
          </w:rPr>
          <w:t>Rysunek 50 Rozkład projektów w podziale na powiaty</w:t>
        </w:r>
        <w:r w:rsidR="009F37F1">
          <w:rPr>
            <w:noProof/>
            <w:webHidden/>
          </w:rPr>
          <w:tab/>
        </w:r>
        <w:r w:rsidR="008F7228">
          <w:rPr>
            <w:noProof/>
            <w:webHidden/>
          </w:rPr>
          <w:fldChar w:fldCharType="begin"/>
        </w:r>
        <w:r w:rsidR="009F37F1">
          <w:rPr>
            <w:noProof/>
            <w:webHidden/>
          </w:rPr>
          <w:instrText xml:space="preserve"> PAGEREF _Toc326055368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69" w:history="1">
        <w:r w:rsidR="009F37F1" w:rsidRPr="006A697E">
          <w:rPr>
            <w:rStyle w:val="Hipercze"/>
            <w:noProof/>
          </w:rPr>
          <w:t>Rysunek 51 Realizacja priorytetu VIII od uruchomienia Programu i w okresie sprawozdawczym</w:t>
        </w:r>
        <w:r w:rsidR="009F37F1">
          <w:rPr>
            <w:noProof/>
            <w:webHidden/>
          </w:rPr>
          <w:tab/>
        </w:r>
        <w:r w:rsidR="008F7228">
          <w:rPr>
            <w:noProof/>
            <w:webHidden/>
          </w:rPr>
          <w:fldChar w:fldCharType="begin"/>
        </w:r>
        <w:r w:rsidR="009F37F1">
          <w:rPr>
            <w:noProof/>
            <w:webHidden/>
          </w:rPr>
          <w:instrText xml:space="preserve"> PAGEREF _Toc326055369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70" w:history="1">
        <w:r w:rsidR="009F37F1" w:rsidRPr="006A697E">
          <w:rPr>
            <w:rStyle w:val="Hipercze"/>
            <w:noProof/>
          </w:rPr>
          <w:t>Rysunek 52 Rozkład projektów  realizowanych w ramach priorytetu VIII w podziale na beneficjentów</w:t>
        </w:r>
        <w:r w:rsidR="009F37F1">
          <w:rPr>
            <w:noProof/>
            <w:webHidden/>
          </w:rPr>
          <w:tab/>
        </w:r>
        <w:r w:rsidR="008F7228">
          <w:rPr>
            <w:noProof/>
            <w:webHidden/>
          </w:rPr>
          <w:fldChar w:fldCharType="begin"/>
        </w:r>
        <w:r w:rsidR="009F37F1">
          <w:rPr>
            <w:noProof/>
            <w:webHidden/>
          </w:rPr>
          <w:instrText xml:space="preserve"> PAGEREF _Toc326055370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71" w:history="1">
        <w:r w:rsidR="009F37F1" w:rsidRPr="006A697E">
          <w:rPr>
            <w:rStyle w:val="Hipercze"/>
            <w:noProof/>
          </w:rPr>
          <w:t>Rysunek 53 Rozkład projektów w podziale na powiaty</w:t>
        </w:r>
        <w:r w:rsidR="009F37F1">
          <w:rPr>
            <w:noProof/>
            <w:webHidden/>
          </w:rPr>
          <w:tab/>
        </w:r>
        <w:r w:rsidR="008F7228">
          <w:rPr>
            <w:noProof/>
            <w:webHidden/>
          </w:rPr>
          <w:fldChar w:fldCharType="begin"/>
        </w:r>
        <w:r w:rsidR="009F37F1">
          <w:rPr>
            <w:noProof/>
            <w:webHidden/>
          </w:rPr>
          <w:instrText xml:space="preserve"> PAGEREF _Toc326055371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72" w:history="1">
        <w:r w:rsidR="009F37F1" w:rsidRPr="006A697E">
          <w:rPr>
            <w:rStyle w:val="Hipercze"/>
            <w:noProof/>
          </w:rPr>
          <w:t>Rysunek 54 Realizacja priorytetu IX od uruchomienia Programu i w okresie sprawozdawczym</w:t>
        </w:r>
        <w:r w:rsidR="009F37F1">
          <w:rPr>
            <w:noProof/>
            <w:webHidden/>
          </w:rPr>
          <w:tab/>
        </w:r>
        <w:r w:rsidR="008F7228">
          <w:rPr>
            <w:noProof/>
            <w:webHidden/>
          </w:rPr>
          <w:fldChar w:fldCharType="begin"/>
        </w:r>
        <w:r w:rsidR="009F37F1">
          <w:rPr>
            <w:noProof/>
            <w:webHidden/>
          </w:rPr>
          <w:instrText xml:space="preserve"> PAGEREF _Toc326055372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73" w:history="1">
        <w:r w:rsidR="009F37F1" w:rsidRPr="006A697E">
          <w:rPr>
            <w:rStyle w:val="Hipercze"/>
            <w:noProof/>
          </w:rPr>
          <w:t>Rysunek 55 Rozkład projektów  realizowanych w ramach priorytetu IX w podziale na beneficjentów</w:t>
        </w:r>
        <w:r w:rsidR="009F37F1">
          <w:rPr>
            <w:noProof/>
            <w:webHidden/>
          </w:rPr>
          <w:tab/>
        </w:r>
        <w:r w:rsidR="008F7228">
          <w:rPr>
            <w:noProof/>
            <w:webHidden/>
          </w:rPr>
          <w:fldChar w:fldCharType="begin"/>
        </w:r>
        <w:r w:rsidR="009F37F1">
          <w:rPr>
            <w:noProof/>
            <w:webHidden/>
          </w:rPr>
          <w:instrText xml:space="preserve"> PAGEREF _Toc326055373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74" w:history="1">
        <w:r w:rsidR="009F37F1" w:rsidRPr="006A697E">
          <w:rPr>
            <w:rStyle w:val="Hipercze"/>
            <w:noProof/>
          </w:rPr>
          <w:t>Rysunek 56 Rozkład projektów w podziale na powiaty</w:t>
        </w:r>
        <w:r w:rsidR="009F37F1">
          <w:rPr>
            <w:noProof/>
            <w:webHidden/>
          </w:rPr>
          <w:tab/>
        </w:r>
        <w:r w:rsidR="008F7228">
          <w:rPr>
            <w:noProof/>
            <w:webHidden/>
          </w:rPr>
          <w:fldChar w:fldCharType="begin"/>
        </w:r>
        <w:r w:rsidR="009F37F1">
          <w:rPr>
            <w:noProof/>
            <w:webHidden/>
          </w:rPr>
          <w:instrText xml:space="preserve"> PAGEREF _Toc326055374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9F37F1" w:rsidRDefault="0046793D">
      <w:pPr>
        <w:pStyle w:val="Spisilustracji"/>
        <w:tabs>
          <w:tab w:val="right" w:leader="underscore" w:pos="9062"/>
        </w:tabs>
        <w:rPr>
          <w:rFonts w:eastAsiaTheme="minorEastAsia" w:cstheme="minorBidi"/>
          <w:i w:val="0"/>
          <w:iCs w:val="0"/>
          <w:noProof/>
          <w:sz w:val="22"/>
          <w:szCs w:val="22"/>
        </w:rPr>
      </w:pPr>
      <w:hyperlink w:anchor="_Toc326055375" w:history="1">
        <w:r w:rsidR="009F37F1" w:rsidRPr="006A697E">
          <w:rPr>
            <w:rStyle w:val="Hipercze"/>
            <w:noProof/>
          </w:rPr>
          <w:t>Rysunek 57  Realizacja priorytetu X w okresie sprawozdawczym i od uruchomienia Programu</w:t>
        </w:r>
        <w:r w:rsidR="009F37F1">
          <w:rPr>
            <w:noProof/>
            <w:webHidden/>
          </w:rPr>
          <w:tab/>
        </w:r>
        <w:r w:rsidR="008F7228">
          <w:rPr>
            <w:noProof/>
            <w:webHidden/>
          </w:rPr>
          <w:fldChar w:fldCharType="begin"/>
        </w:r>
        <w:r w:rsidR="009F37F1">
          <w:rPr>
            <w:noProof/>
            <w:webHidden/>
          </w:rPr>
          <w:instrText xml:space="preserve"> PAGEREF _Toc326055375 \h </w:instrText>
        </w:r>
        <w:r w:rsidR="008F7228">
          <w:rPr>
            <w:noProof/>
            <w:webHidden/>
          </w:rPr>
        </w:r>
        <w:r w:rsidR="008F7228">
          <w:rPr>
            <w:noProof/>
            <w:webHidden/>
          </w:rPr>
          <w:fldChar w:fldCharType="separate"/>
        </w:r>
        <w:r w:rsidR="006667B3">
          <w:rPr>
            <w:noProof/>
            <w:webHidden/>
          </w:rPr>
          <w:t>116</w:t>
        </w:r>
        <w:r w:rsidR="008F7228">
          <w:rPr>
            <w:noProof/>
            <w:webHidden/>
          </w:rPr>
          <w:fldChar w:fldCharType="end"/>
        </w:r>
      </w:hyperlink>
    </w:p>
    <w:p w:rsidR="00EA46EB" w:rsidRPr="006D71C7" w:rsidRDefault="008F7228" w:rsidP="006D71C7">
      <w:pPr>
        <w:pStyle w:val="Spisilustracji"/>
        <w:tabs>
          <w:tab w:val="right" w:leader="dot" w:pos="9062"/>
        </w:tabs>
        <w:jc w:val="both"/>
        <w:rPr>
          <w:rFonts w:eastAsiaTheme="minorEastAsia" w:cstheme="minorBidi"/>
          <w:i w:val="0"/>
          <w:iCs w:val="0"/>
          <w:noProof/>
          <w:sz w:val="22"/>
          <w:szCs w:val="22"/>
        </w:rPr>
      </w:pPr>
      <w:r w:rsidRPr="006D71C7">
        <w:fldChar w:fldCharType="end"/>
      </w:r>
      <w:r w:rsidR="009F37F1" w:rsidDel="009F37F1">
        <w:t xml:space="preserve"> </w:t>
      </w:r>
    </w:p>
    <w:p w:rsidR="00C43B75" w:rsidRDefault="00C43B75" w:rsidP="00C43B75">
      <w:pPr>
        <w:pStyle w:val="Spisilustracji"/>
        <w:tabs>
          <w:tab w:val="right" w:leader="dot" w:pos="9062"/>
        </w:tabs>
        <w:jc w:val="both"/>
        <w:rPr>
          <w:rStyle w:val="Nagwek1Znak"/>
          <w:i w:val="0"/>
        </w:rPr>
      </w:pPr>
    </w:p>
    <w:p w:rsidR="005519A5" w:rsidRPr="006D71C7" w:rsidRDefault="000304D8" w:rsidP="006D71C7">
      <w:pPr>
        <w:spacing w:after="120"/>
        <w:jc w:val="both"/>
        <w:rPr>
          <w:b/>
          <w:bCs/>
          <w:i/>
          <w:szCs w:val="28"/>
        </w:rPr>
      </w:pPr>
      <w:bookmarkStart w:id="5" w:name="_Toc327259202"/>
      <w:r w:rsidRPr="006D71C7">
        <w:rPr>
          <w:rStyle w:val="Nagwek1Znak"/>
          <w:i/>
        </w:rPr>
        <w:t>Załączniki</w:t>
      </w:r>
      <w:bookmarkEnd w:id="5"/>
      <w:r w:rsidRPr="006D71C7">
        <w:rPr>
          <w:rStyle w:val="Nagwek1Znak"/>
          <w:i/>
        </w:rPr>
        <w:t xml:space="preserve"> </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 xml:space="preserve">Tabela 1. Postęp fizyczny </w:t>
      </w:r>
      <w:r w:rsidR="00B62210" w:rsidRPr="006D71C7">
        <w:rPr>
          <w:i/>
          <w:sz w:val="20"/>
          <w:szCs w:val="20"/>
        </w:rPr>
        <w:t>RPO WSL</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 xml:space="preserve">   Tabela 2. Osie priorytetowe w podziale na źródło finansowania (w EUR)</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Tabela 3. Podział kumulatywny przyznanego wkładu wspólnotowego wg kategorii</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Tabela 4. Postęp fizyczny wg priorytet</w:t>
      </w:r>
      <w:r w:rsidR="00B62210" w:rsidRPr="006D71C7">
        <w:rPr>
          <w:i/>
          <w:sz w:val="20"/>
          <w:szCs w:val="20"/>
        </w:rPr>
        <w:t>ów</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 xml:space="preserve">   Tabela 5. Wskaźniki kontekstowe</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Tabela 6. EU 2020</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 xml:space="preserve"> Tabela 7. SUE RMB</w:t>
      </w:r>
    </w:p>
    <w:p w:rsidR="00245F70" w:rsidRPr="006D71C7" w:rsidRDefault="007338BD" w:rsidP="00BA2FE7">
      <w:pPr>
        <w:pStyle w:val="Akapitzlist"/>
        <w:numPr>
          <w:ilvl w:val="0"/>
          <w:numId w:val="105"/>
        </w:numPr>
        <w:tabs>
          <w:tab w:val="left" w:pos="851"/>
        </w:tabs>
        <w:spacing w:after="0"/>
        <w:ind w:left="426" w:hanging="142"/>
        <w:jc w:val="both"/>
        <w:rPr>
          <w:i/>
          <w:sz w:val="20"/>
          <w:szCs w:val="20"/>
        </w:rPr>
      </w:pPr>
      <w:r w:rsidRPr="006D71C7">
        <w:rPr>
          <w:i/>
          <w:sz w:val="20"/>
          <w:szCs w:val="20"/>
        </w:rPr>
        <w:t>Formularz dot. informacji i promocji</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 xml:space="preserve"> Projekty komplementarne</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 xml:space="preserve">   Analiza wdrażania działań powierzonych IP2 RPO WSL w podziale na sekcje PKD</w:t>
      </w:r>
    </w:p>
    <w:p w:rsidR="00245F70" w:rsidRPr="006D71C7" w:rsidRDefault="007338BD" w:rsidP="00BA2FE7">
      <w:pPr>
        <w:pStyle w:val="Akapitzlist"/>
        <w:numPr>
          <w:ilvl w:val="0"/>
          <w:numId w:val="105"/>
        </w:numPr>
        <w:spacing w:after="0"/>
        <w:ind w:left="426" w:hanging="142"/>
        <w:jc w:val="both"/>
        <w:rPr>
          <w:i/>
          <w:sz w:val="20"/>
          <w:szCs w:val="20"/>
        </w:rPr>
      </w:pPr>
      <w:r w:rsidRPr="006D71C7">
        <w:rPr>
          <w:i/>
          <w:sz w:val="20"/>
          <w:szCs w:val="20"/>
        </w:rPr>
        <w:t>Raport dotyczący monitoringu skutków środowiskowych projektów realizowanych w    ramach RPO WSL za rok 2011</w:t>
      </w:r>
    </w:p>
    <w:p w:rsidR="00E402DB" w:rsidRPr="006D71C7" w:rsidRDefault="00E402DB" w:rsidP="006D71C7">
      <w:pPr>
        <w:spacing w:after="0" w:line="240" w:lineRule="auto"/>
        <w:ind w:left="426"/>
        <w:jc w:val="both"/>
        <w:rPr>
          <w:b/>
          <w:bCs/>
          <w:szCs w:val="28"/>
        </w:rPr>
      </w:pPr>
      <w:r w:rsidRPr="006D71C7">
        <w:br w:type="page"/>
      </w:r>
    </w:p>
    <w:p w:rsidR="0005410E" w:rsidRPr="006D71C7" w:rsidRDefault="007338BD" w:rsidP="006D71C7">
      <w:pPr>
        <w:pStyle w:val="Nagwek1"/>
        <w:numPr>
          <w:ilvl w:val="0"/>
          <w:numId w:val="0"/>
        </w:numPr>
        <w:ind w:left="432" w:hanging="432"/>
        <w:jc w:val="both"/>
        <w:rPr>
          <w:i/>
          <w:szCs w:val="24"/>
        </w:rPr>
      </w:pPr>
      <w:bookmarkStart w:id="6" w:name="_Toc327259203"/>
      <w:bookmarkEnd w:id="2"/>
      <w:bookmarkEnd w:id="3"/>
      <w:bookmarkEnd w:id="4"/>
      <w:r w:rsidRPr="006D71C7">
        <w:rPr>
          <w:i/>
          <w:szCs w:val="24"/>
        </w:rPr>
        <w:t>Wykaz skrótów</w:t>
      </w:r>
      <w:bookmarkEnd w:id="6"/>
    </w:p>
    <w:p w:rsidR="006B2387" w:rsidRPr="006D71C7" w:rsidRDefault="006B2387" w:rsidP="006D71C7">
      <w:pPr>
        <w:spacing w:after="0" w:line="240" w:lineRule="auto"/>
        <w:jc w:val="both"/>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6693"/>
      </w:tblGrid>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EFRR</w:t>
            </w:r>
          </w:p>
        </w:tc>
        <w:tc>
          <w:tcPr>
            <w:tcW w:w="7074" w:type="dxa"/>
            <w:vAlign w:val="center"/>
          </w:tcPr>
          <w:p w:rsidR="0005410E" w:rsidRPr="006D71C7" w:rsidRDefault="0005410E" w:rsidP="006D71C7">
            <w:pPr>
              <w:autoSpaceDE w:val="0"/>
              <w:autoSpaceDN w:val="0"/>
              <w:adjustRightInd w:val="0"/>
              <w:spacing w:line="360" w:lineRule="auto"/>
              <w:jc w:val="both"/>
            </w:pPr>
            <w:r w:rsidRPr="006D71C7">
              <w:t>Europejski Fundusz Rozwoju Regionalnego</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IK NSRO</w:t>
            </w:r>
          </w:p>
        </w:tc>
        <w:tc>
          <w:tcPr>
            <w:tcW w:w="7074" w:type="dxa"/>
            <w:vAlign w:val="center"/>
          </w:tcPr>
          <w:p w:rsidR="0005410E" w:rsidRPr="006D71C7" w:rsidRDefault="0005410E" w:rsidP="006D71C7">
            <w:pPr>
              <w:autoSpaceDE w:val="0"/>
              <w:autoSpaceDN w:val="0"/>
              <w:adjustRightInd w:val="0"/>
              <w:spacing w:line="360" w:lineRule="auto"/>
              <w:jc w:val="both"/>
            </w:pPr>
            <w:r w:rsidRPr="006D71C7">
              <w:t>Instytucja Koordynująca Narodowe Strategiczne Ramy Odniesienia</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IK RPO</w:t>
            </w:r>
          </w:p>
        </w:tc>
        <w:tc>
          <w:tcPr>
            <w:tcW w:w="7074" w:type="dxa"/>
            <w:vAlign w:val="center"/>
          </w:tcPr>
          <w:p w:rsidR="0005410E" w:rsidRPr="006D71C7" w:rsidRDefault="0005410E" w:rsidP="006D71C7">
            <w:pPr>
              <w:autoSpaceDE w:val="0"/>
              <w:autoSpaceDN w:val="0"/>
              <w:adjustRightInd w:val="0"/>
              <w:spacing w:line="360" w:lineRule="auto"/>
              <w:jc w:val="both"/>
            </w:pPr>
            <w:r w:rsidRPr="006D71C7">
              <w:t>Instytucja Koordynująca Regionalne Programy Operacyjne</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IP2 RPO WSL</w:t>
            </w:r>
          </w:p>
        </w:tc>
        <w:tc>
          <w:tcPr>
            <w:tcW w:w="7074" w:type="dxa"/>
            <w:vAlign w:val="center"/>
          </w:tcPr>
          <w:p w:rsidR="0005410E" w:rsidRPr="006D71C7" w:rsidRDefault="0005410E" w:rsidP="006D71C7">
            <w:pPr>
              <w:autoSpaceDE w:val="0"/>
              <w:autoSpaceDN w:val="0"/>
              <w:adjustRightInd w:val="0"/>
              <w:spacing w:line="360" w:lineRule="auto"/>
              <w:jc w:val="both"/>
            </w:pPr>
            <w:r w:rsidRPr="006D71C7">
              <w:t>Instytucja Pośrednicząca drugiego stopnia w ramach Regionalnego Programu Operacyjnego Województwa na lata 2007-2013</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IC</w:t>
            </w:r>
          </w:p>
        </w:tc>
        <w:tc>
          <w:tcPr>
            <w:tcW w:w="7074" w:type="dxa"/>
            <w:vAlign w:val="center"/>
          </w:tcPr>
          <w:p w:rsidR="0005410E" w:rsidRPr="006D71C7" w:rsidRDefault="0005410E" w:rsidP="006D71C7">
            <w:pPr>
              <w:autoSpaceDE w:val="0"/>
              <w:autoSpaceDN w:val="0"/>
              <w:adjustRightInd w:val="0"/>
              <w:spacing w:line="360" w:lineRule="auto"/>
              <w:jc w:val="both"/>
            </w:pPr>
            <w:r w:rsidRPr="006D71C7">
              <w:t>Instytucja Certyfikująca</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IPOC</w:t>
            </w:r>
          </w:p>
        </w:tc>
        <w:tc>
          <w:tcPr>
            <w:tcW w:w="7074" w:type="dxa"/>
            <w:vAlign w:val="center"/>
          </w:tcPr>
          <w:p w:rsidR="0005410E" w:rsidRPr="006D71C7" w:rsidRDefault="0005410E" w:rsidP="006D71C7">
            <w:pPr>
              <w:autoSpaceDE w:val="0"/>
              <w:autoSpaceDN w:val="0"/>
              <w:adjustRightInd w:val="0"/>
              <w:spacing w:line="360" w:lineRule="auto"/>
              <w:jc w:val="both"/>
            </w:pPr>
            <w:r w:rsidRPr="006D71C7">
              <w:t>Instytucja Pośrednicząca w Certyfikacji (Wojewoda Śląski)</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IWIPK</w:t>
            </w:r>
          </w:p>
        </w:tc>
        <w:tc>
          <w:tcPr>
            <w:tcW w:w="7074" w:type="dxa"/>
            <w:vAlign w:val="center"/>
          </w:tcPr>
          <w:p w:rsidR="0005410E" w:rsidRPr="006D71C7" w:rsidRDefault="0005410E" w:rsidP="006D71C7">
            <w:pPr>
              <w:autoSpaceDE w:val="0"/>
              <w:autoSpaceDN w:val="0"/>
              <w:adjustRightInd w:val="0"/>
              <w:spacing w:line="360" w:lineRule="auto"/>
              <w:jc w:val="both"/>
            </w:pPr>
            <w:r w:rsidRPr="006D71C7">
              <w:t xml:space="preserve">Indykatywny Wykaz Indywidualnych Projektów Kluczowych </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IZ RPO WSL</w:t>
            </w:r>
          </w:p>
        </w:tc>
        <w:tc>
          <w:tcPr>
            <w:tcW w:w="7074" w:type="dxa"/>
            <w:vAlign w:val="center"/>
          </w:tcPr>
          <w:p w:rsidR="0005410E" w:rsidRPr="006D71C7" w:rsidRDefault="0005410E" w:rsidP="006D71C7">
            <w:pPr>
              <w:autoSpaceDE w:val="0"/>
              <w:autoSpaceDN w:val="0"/>
              <w:adjustRightInd w:val="0"/>
              <w:spacing w:line="360" w:lineRule="auto"/>
              <w:jc w:val="both"/>
            </w:pPr>
            <w:r w:rsidRPr="006D71C7">
              <w:t>Instytucja Zarządzająca Regionalnego Programu Operacyjnego Województwa Śląskiego na lata 2007-2013</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KE</w:t>
            </w:r>
          </w:p>
        </w:tc>
        <w:tc>
          <w:tcPr>
            <w:tcW w:w="7074" w:type="dxa"/>
            <w:vAlign w:val="center"/>
          </w:tcPr>
          <w:p w:rsidR="0005410E" w:rsidRPr="006D71C7" w:rsidRDefault="0005410E" w:rsidP="006D71C7">
            <w:pPr>
              <w:autoSpaceDE w:val="0"/>
              <w:autoSpaceDN w:val="0"/>
              <w:adjustRightInd w:val="0"/>
              <w:spacing w:line="360" w:lineRule="auto"/>
              <w:jc w:val="both"/>
            </w:pPr>
            <w:r w:rsidRPr="006D71C7">
              <w:t>Komisja Europejska</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KM RPO WSL</w:t>
            </w:r>
          </w:p>
        </w:tc>
        <w:tc>
          <w:tcPr>
            <w:tcW w:w="7074" w:type="dxa"/>
            <w:vAlign w:val="center"/>
          </w:tcPr>
          <w:p w:rsidR="0005410E" w:rsidRPr="006D71C7" w:rsidRDefault="0005410E" w:rsidP="006D71C7">
            <w:pPr>
              <w:autoSpaceDE w:val="0"/>
              <w:autoSpaceDN w:val="0"/>
              <w:adjustRightInd w:val="0"/>
              <w:spacing w:line="360" w:lineRule="auto"/>
              <w:jc w:val="both"/>
            </w:pPr>
            <w:r w:rsidRPr="006D71C7">
              <w:t>Komitet Monitorujący Regionalnego Programu Operacyjnego Województwa Śląskiego na lata 2007-2013</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KSI (SIMIK</w:t>
            </w:r>
          </w:p>
          <w:p w:rsidR="00C43B75" w:rsidRDefault="0005410E" w:rsidP="00C43B75">
            <w:pPr>
              <w:autoSpaceDE w:val="0"/>
              <w:autoSpaceDN w:val="0"/>
              <w:adjustRightInd w:val="0"/>
              <w:spacing w:line="360" w:lineRule="auto"/>
              <w:jc w:val="center"/>
              <w:rPr>
                <w:b/>
              </w:rPr>
            </w:pPr>
            <w:r w:rsidRPr="006D71C7">
              <w:rPr>
                <w:b/>
              </w:rPr>
              <w:t>07-13)</w:t>
            </w:r>
          </w:p>
        </w:tc>
        <w:tc>
          <w:tcPr>
            <w:tcW w:w="7074" w:type="dxa"/>
            <w:vAlign w:val="center"/>
          </w:tcPr>
          <w:p w:rsidR="0005410E" w:rsidRPr="006D71C7" w:rsidRDefault="0005410E" w:rsidP="006D71C7">
            <w:pPr>
              <w:autoSpaceDE w:val="0"/>
              <w:autoSpaceDN w:val="0"/>
              <w:adjustRightInd w:val="0"/>
              <w:spacing w:line="360" w:lineRule="auto"/>
              <w:jc w:val="both"/>
            </w:pPr>
            <w:r w:rsidRPr="006D71C7">
              <w:t>Krajowy System Informatyczny</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KW</w:t>
            </w:r>
          </w:p>
        </w:tc>
        <w:tc>
          <w:tcPr>
            <w:tcW w:w="7074" w:type="dxa"/>
            <w:vAlign w:val="center"/>
          </w:tcPr>
          <w:p w:rsidR="0005410E" w:rsidRPr="006D71C7" w:rsidRDefault="0005410E" w:rsidP="006D71C7">
            <w:pPr>
              <w:autoSpaceDE w:val="0"/>
              <w:autoSpaceDN w:val="0"/>
              <w:adjustRightInd w:val="0"/>
              <w:spacing w:line="360" w:lineRule="auto"/>
              <w:jc w:val="both"/>
            </w:pPr>
            <w:r w:rsidRPr="006D71C7">
              <w:t>Kontrakt Wojewódzki dla Województwa Śląskiego z dnia 6 lutego 2008 r.</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LSI</w:t>
            </w:r>
          </w:p>
        </w:tc>
        <w:tc>
          <w:tcPr>
            <w:tcW w:w="7074" w:type="dxa"/>
            <w:vAlign w:val="center"/>
          </w:tcPr>
          <w:p w:rsidR="0005410E" w:rsidRPr="006D71C7" w:rsidRDefault="0005410E" w:rsidP="006D71C7">
            <w:pPr>
              <w:autoSpaceDE w:val="0"/>
              <w:autoSpaceDN w:val="0"/>
              <w:adjustRightInd w:val="0"/>
              <w:spacing w:line="360" w:lineRule="auto"/>
              <w:jc w:val="both"/>
            </w:pPr>
            <w:r w:rsidRPr="006D71C7">
              <w:t>Lokalny System Informatyczny</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MF</w:t>
            </w:r>
          </w:p>
        </w:tc>
        <w:tc>
          <w:tcPr>
            <w:tcW w:w="7074" w:type="dxa"/>
            <w:tcBorders>
              <w:bottom w:val="single" w:sz="4" w:space="0" w:color="auto"/>
            </w:tcBorders>
            <w:vAlign w:val="center"/>
          </w:tcPr>
          <w:p w:rsidR="0005410E" w:rsidRPr="006D71C7" w:rsidRDefault="0005410E" w:rsidP="006D71C7">
            <w:pPr>
              <w:autoSpaceDE w:val="0"/>
              <w:autoSpaceDN w:val="0"/>
              <w:adjustRightInd w:val="0"/>
              <w:spacing w:line="360" w:lineRule="auto"/>
              <w:jc w:val="both"/>
            </w:pPr>
            <w:r w:rsidRPr="006D71C7">
              <w:t>Minister Finansów</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MRR</w:t>
            </w:r>
          </w:p>
        </w:tc>
        <w:tc>
          <w:tcPr>
            <w:tcW w:w="7074" w:type="dxa"/>
            <w:vAlign w:val="center"/>
          </w:tcPr>
          <w:p w:rsidR="0005410E" w:rsidRPr="006D71C7" w:rsidRDefault="0005410E" w:rsidP="006D71C7">
            <w:pPr>
              <w:autoSpaceDE w:val="0"/>
              <w:autoSpaceDN w:val="0"/>
              <w:adjustRightInd w:val="0"/>
              <w:spacing w:line="360" w:lineRule="auto"/>
              <w:jc w:val="both"/>
            </w:pPr>
            <w:r w:rsidRPr="006D71C7">
              <w:t>Minister Rozwoju Regionalnego</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MŚP</w:t>
            </w:r>
          </w:p>
        </w:tc>
        <w:tc>
          <w:tcPr>
            <w:tcW w:w="7074" w:type="dxa"/>
            <w:vAlign w:val="center"/>
          </w:tcPr>
          <w:p w:rsidR="0005410E" w:rsidRPr="006D71C7" w:rsidRDefault="0005410E" w:rsidP="006D71C7">
            <w:pPr>
              <w:autoSpaceDE w:val="0"/>
              <w:autoSpaceDN w:val="0"/>
              <w:adjustRightInd w:val="0"/>
              <w:spacing w:line="360" w:lineRule="auto"/>
              <w:jc w:val="both"/>
            </w:pPr>
            <w:r w:rsidRPr="006D71C7">
              <w:t>Małe i średnie przedsiębiorstwa</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NSRO</w:t>
            </w:r>
          </w:p>
        </w:tc>
        <w:tc>
          <w:tcPr>
            <w:tcW w:w="7074" w:type="dxa"/>
            <w:vAlign w:val="center"/>
          </w:tcPr>
          <w:p w:rsidR="0005410E" w:rsidRPr="006D71C7" w:rsidRDefault="0005410E" w:rsidP="006D71C7">
            <w:pPr>
              <w:autoSpaceDE w:val="0"/>
              <w:autoSpaceDN w:val="0"/>
              <w:adjustRightInd w:val="0"/>
              <w:spacing w:line="360" w:lineRule="auto"/>
              <w:jc w:val="both"/>
            </w:pPr>
            <w:r w:rsidRPr="006D71C7">
              <w:t>Narodowe Strategiczne Ramy Odniesienia 2007-2013</w:t>
            </w:r>
          </w:p>
        </w:tc>
      </w:tr>
      <w:tr w:rsidR="0005410E" w:rsidRPr="006D71C7" w:rsidTr="0005410E">
        <w:trPr>
          <w:trHeight w:val="737"/>
        </w:trPr>
        <w:tc>
          <w:tcPr>
            <w:tcW w:w="2212" w:type="dxa"/>
            <w:vAlign w:val="center"/>
          </w:tcPr>
          <w:p w:rsidR="00C43B75" w:rsidRDefault="0005410E" w:rsidP="00C43B75">
            <w:pPr>
              <w:autoSpaceDE w:val="0"/>
              <w:autoSpaceDN w:val="0"/>
              <w:adjustRightInd w:val="0"/>
              <w:jc w:val="center"/>
              <w:rPr>
                <w:b/>
              </w:rPr>
            </w:pPr>
            <w:r w:rsidRPr="006D71C7">
              <w:rPr>
                <w:b/>
              </w:rPr>
              <w:t>OSZIK RPO WSL</w:t>
            </w:r>
          </w:p>
        </w:tc>
        <w:tc>
          <w:tcPr>
            <w:tcW w:w="7074" w:type="dxa"/>
            <w:vAlign w:val="center"/>
          </w:tcPr>
          <w:p w:rsidR="0005410E" w:rsidRPr="006D71C7" w:rsidRDefault="0005410E" w:rsidP="006D71C7">
            <w:pPr>
              <w:autoSpaceDE w:val="0"/>
              <w:autoSpaceDN w:val="0"/>
              <w:adjustRightInd w:val="0"/>
              <w:jc w:val="both"/>
            </w:pPr>
            <w:r w:rsidRPr="006D71C7">
              <w:t>Opis Systemu Zarządzania i Kontroli Regionalnego Programu Operacyjnego Województwa Śląskiego na lata 2007-2013</w:t>
            </w:r>
          </w:p>
        </w:tc>
      </w:tr>
      <w:tr w:rsidR="00AF28EC" w:rsidRPr="006D71C7" w:rsidTr="0005410E">
        <w:trPr>
          <w:trHeight w:val="737"/>
        </w:trPr>
        <w:tc>
          <w:tcPr>
            <w:tcW w:w="2212" w:type="dxa"/>
            <w:vAlign w:val="center"/>
          </w:tcPr>
          <w:p w:rsidR="00C43B75" w:rsidRDefault="00AF28EC" w:rsidP="00C43B75">
            <w:pPr>
              <w:autoSpaceDE w:val="0"/>
              <w:autoSpaceDN w:val="0"/>
              <w:adjustRightInd w:val="0"/>
              <w:jc w:val="center"/>
              <w:rPr>
                <w:b/>
              </w:rPr>
            </w:pPr>
            <w:r w:rsidRPr="006D71C7">
              <w:rPr>
                <w:b/>
              </w:rPr>
              <w:t>PK</w:t>
            </w:r>
          </w:p>
        </w:tc>
        <w:tc>
          <w:tcPr>
            <w:tcW w:w="7074" w:type="dxa"/>
            <w:vAlign w:val="center"/>
          </w:tcPr>
          <w:p w:rsidR="00AF28EC" w:rsidRPr="006D71C7" w:rsidRDefault="00AF28EC" w:rsidP="006D71C7">
            <w:pPr>
              <w:autoSpaceDE w:val="0"/>
              <w:autoSpaceDN w:val="0"/>
              <w:adjustRightInd w:val="0"/>
              <w:jc w:val="both"/>
            </w:pPr>
            <w:r w:rsidRPr="006D71C7">
              <w:t>Projekty kluczowe</w:t>
            </w:r>
          </w:p>
        </w:tc>
      </w:tr>
      <w:tr w:rsidR="0005410E" w:rsidRPr="006D71C7" w:rsidTr="0005410E">
        <w:trPr>
          <w:trHeight w:val="737"/>
        </w:trPr>
        <w:tc>
          <w:tcPr>
            <w:tcW w:w="2212" w:type="dxa"/>
            <w:vAlign w:val="center"/>
          </w:tcPr>
          <w:p w:rsidR="00C43B75" w:rsidRDefault="0005410E" w:rsidP="00C43B75">
            <w:pPr>
              <w:autoSpaceDE w:val="0"/>
              <w:autoSpaceDN w:val="0"/>
              <w:adjustRightInd w:val="0"/>
              <w:jc w:val="center"/>
              <w:rPr>
                <w:b/>
              </w:rPr>
            </w:pPr>
            <w:r w:rsidRPr="006D71C7">
              <w:rPr>
                <w:b/>
              </w:rPr>
              <w:t>Podręcznik procedur wdrażania RPO WSL</w:t>
            </w:r>
          </w:p>
        </w:tc>
        <w:tc>
          <w:tcPr>
            <w:tcW w:w="7074" w:type="dxa"/>
            <w:vAlign w:val="center"/>
          </w:tcPr>
          <w:p w:rsidR="0005410E" w:rsidRPr="006D71C7" w:rsidRDefault="0005410E" w:rsidP="006D71C7">
            <w:pPr>
              <w:autoSpaceDE w:val="0"/>
              <w:autoSpaceDN w:val="0"/>
              <w:adjustRightInd w:val="0"/>
              <w:jc w:val="both"/>
            </w:pPr>
            <w:r w:rsidRPr="006D71C7">
              <w:t>Podręcznik procedur wdrażania Regionalnego Programu Operacyjnego Województwa Śląskiego na lata 2007-2013.</w:t>
            </w:r>
          </w:p>
        </w:tc>
      </w:tr>
      <w:tr w:rsidR="0005410E" w:rsidRPr="006D71C7" w:rsidTr="0005410E">
        <w:trPr>
          <w:trHeight w:val="737"/>
        </w:trPr>
        <w:tc>
          <w:tcPr>
            <w:tcW w:w="2212" w:type="dxa"/>
            <w:vAlign w:val="center"/>
          </w:tcPr>
          <w:p w:rsidR="00C43B75" w:rsidRDefault="00A2098C" w:rsidP="00C43B75">
            <w:pPr>
              <w:autoSpaceDE w:val="0"/>
              <w:autoSpaceDN w:val="0"/>
              <w:adjustRightInd w:val="0"/>
              <w:jc w:val="center"/>
              <w:rPr>
                <w:b/>
              </w:rPr>
            </w:pPr>
            <w:r w:rsidRPr="006D71C7">
              <w:rPr>
                <w:b/>
              </w:rPr>
              <w:t>Podręcznik IP</w:t>
            </w:r>
            <w:r w:rsidR="0005410E" w:rsidRPr="006D71C7">
              <w:rPr>
                <w:b/>
              </w:rPr>
              <w:t>2 RPO WSL</w:t>
            </w:r>
          </w:p>
        </w:tc>
        <w:tc>
          <w:tcPr>
            <w:tcW w:w="7074" w:type="dxa"/>
            <w:vAlign w:val="center"/>
          </w:tcPr>
          <w:p w:rsidR="0005410E" w:rsidRPr="006D71C7" w:rsidRDefault="0005410E" w:rsidP="006D71C7">
            <w:pPr>
              <w:autoSpaceDE w:val="0"/>
              <w:autoSpaceDN w:val="0"/>
              <w:adjustRightInd w:val="0"/>
              <w:jc w:val="both"/>
            </w:pPr>
            <w:r w:rsidRPr="006D71C7">
              <w:t>Podręcznika procedur wdrażania Instytucji Pośredniczącej drugiego stopnia w ramach Regionalnego Programu Operacyjnego Województwa Śląskiego na lata 2007-2013</w:t>
            </w:r>
          </w:p>
        </w:tc>
      </w:tr>
      <w:tr w:rsidR="0005410E" w:rsidRPr="006D71C7" w:rsidTr="0005410E">
        <w:trPr>
          <w:trHeight w:val="1225"/>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Porozumienie</w:t>
            </w:r>
          </w:p>
        </w:tc>
        <w:tc>
          <w:tcPr>
            <w:tcW w:w="7074" w:type="dxa"/>
            <w:vAlign w:val="center"/>
          </w:tcPr>
          <w:p w:rsidR="0005410E" w:rsidRPr="006D71C7" w:rsidRDefault="0005410E" w:rsidP="006D71C7">
            <w:pPr>
              <w:autoSpaceDE w:val="0"/>
              <w:autoSpaceDN w:val="0"/>
              <w:adjustRightInd w:val="0"/>
              <w:jc w:val="both"/>
            </w:pPr>
            <w:r w:rsidRPr="006D71C7">
              <w:t>Porozumienia nr 115/RR/2007 z dnia 31 października 2007 roku pomiędzy Zarządem Województwa Śląskiego a Śląskim Centrum Przedsiębiorczości w sprawie zasad realizacji RPO WSL na lata 2007-2013 z późniejszymi zmianami</w:t>
            </w:r>
          </w:p>
        </w:tc>
      </w:tr>
      <w:tr w:rsidR="00F31A3D" w:rsidRPr="006D71C7" w:rsidTr="0005410E">
        <w:trPr>
          <w:trHeight w:val="1225"/>
        </w:trPr>
        <w:tc>
          <w:tcPr>
            <w:tcW w:w="2212" w:type="dxa"/>
            <w:vAlign w:val="center"/>
          </w:tcPr>
          <w:p w:rsidR="00C43B75" w:rsidRDefault="00F31A3D" w:rsidP="00C43B75">
            <w:pPr>
              <w:autoSpaceDE w:val="0"/>
              <w:autoSpaceDN w:val="0"/>
              <w:adjustRightInd w:val="0"/>
              <w:spacing w:line="360" w:lineRule="auto"/>
              <w:jc w:val="center"/>
              <w:rPr>
                <w:b/>
              </w:rPr>
            </w:pPr>
            <w:r>
              <w:rPr>
                <w:b/>
              </w:rPr>
              <w:t>PO IiŚ</w:t>
            </w:r>
          </w:p>
        </w:tc>
        <w:tc>
          <w:tcPr>
            <w:tcW w:w="7074" w:type="dxa"/>
            <w:vAlign w:val="center"/>
          </w:tcPr>
          <w:p w:rsidR="00F31A3D" w:rsidRPr="006D71C7" w:rsidRDefault="00F31A3D" w:rsidP="006D71C7">
            <w:pPr>
              <w:autoSpaceDE w:val="0"/>
              <w:autoSpaceDN w:val="0"/>
              <w:adjustRightInd w:val="0"/>
              <w:jc w:val="both"/>
            </w:pPr>
            <w:r>
              <w:t>Program Operacyjny Infrastruktura i Środowisko</w:t>
            </w:r>
          </w:p>
        </w:tc>
      </w:tr>
      <w:tr w:rsidR="00F31A3D" w:rsidRPr="006D71C7" w:rsidTr="0005410E">
        <w:trPr>
          <w:trHeight w:val="1225"/>
        </w:trPr>
        <w:tc>
          <w:tcPr>
            <w:tcW w:w="2212" w:type="dxa"/>
            <w:vAlign w:val="center"/>
          </w:tcPr>
          <w:p w:rsidR="00C43B75" w:rsidRDefault="00F31A3D" w:rsidP="00C43B75">
            <w:pPr>
              <w:autoSpaceDE w:val="0"/>
              <w:autoSpaceDN w:val="0"/>
              <w:adjustRightInd w:val="0"/>
              <w:spacing w:line="360" w:lineRule="auto"/>
              <w:jc w:val="center"/>
              <w:rPr>
                <w:b/>
              </w:rPr>
            </w:pPr>
            <w:r>
              <w:rPr>
                <w:b/>
              </w:rPr>
              <w:t>PO IG</w:t>
            </w:r>
          </w:p>
        </w:tc>
        <w:tc>
          <w:tcPr>
            <w:tcW w:w="7074" w:type="dxa"/>
            <w:vAlign w:val="center"/>
          </w:tcPr>
          <w:p w:rsidR="00F31A3D" w:rsidRDefault="00F31A3D" w:rsidP="006D71C7">
            <w:pPr>
              <w:autoSpaceDE w:val="0"/>
              <w:autoSpaceDN w:val="0"/>
              <w:adjustRightInd w:val="0"/>
              <w:jc w:val="both"/>
            </w:pPr>
            <w:r>
              <w:t>Program Operacyjny Innowacyjna Gospodarka</w:t>
            </w:r>
          </w:p>
        </w:tc>
      </w:tr>
      <w:tr w:rsidR="00F31A3D" w:rsidRPr="006D71C7" w:rsidTr="0005410E">
        <w:trPr>
          <w:trHeight w:val="1225"/>
        </w:trPr>
        <w:tc>
          <w:tcPr>
            <w:tcW w:w="2212" w:type="dxa"/>
            <w:vAlign w:val="center"/>
          </w:tcPr>
          <w:p w:rsidR="00C43B75" w:rsidRDefault="00F31A3D" w:rsidP="00C43B75">
            <w:pPr>
              <w:autoSpaceDE w:val="0"/>
              <w:autoSpaceDN w:val="0"/>
              <w:adjustRightInd w:val="0"/>
              <w:spacing w:line="360" w:lineRule="auto"/>
              <w:jc w:val="center"/>
              <w:rPr>
                <w:b/>
              </w:rPr>
            </w:pPr>
            <w:r>
              <w:rPr>
                <w:b/>
              </w:rPr>
              <w:t>PROW</w:t>
            </w:r>
          </w:p>
        </w:tc>
        <w:tc>
          <w:tcPr>
            <w:tcW w:w="7074" w:type="dxa"/>
            <w:vAlign w:val="center"/>
          </w:tcPr>
          <w:p w:rsidR="00F31A3D" w:rsidRDefault="00F31A3D" w:rsidP="006D71C7">
            <w:pPr>
              <w:autoSpaceDE w:val="0"/>
              <w:autoSpaceDN w:val="0"/>
              <w:adjustRightInd w:val="0"/>
              <w:jc w:val="both"/>
            </w:pPr>
            <w:r>
              <w:t>Program Rozwoju Obszarów Wiejskich</w:t>
            </w:r>
          </w:p>
        </w:tc>
      </w:tr>
      <w:tr w:rsidR="00F31A3D" w:rsidRPr="006D71C7" w:rsidTr="0005410E">
        <w:trPr>
          <w:trHeight w:val="1225"/>
        </w:trPr>
        <w:tc>
          <w:tcPr>
            <w:tcW w:w="2212" w:type="dxa"/>
            <w:vAlign w:val="center"/>
          </w:tcPr>
          <w:p w:rsidR="00C43B75" w:rsidRDefault="00F31A3D" w:rsidP="00C43B75">
            <w:pPr>
              <w:autoSpaceDE w:val="0"/>
              <w:autoSpaceDN w:val="0"/>
              <w:adjustRightInd w:val="0"/>
              <w:spacing w:line="360" w:lineRule="auto"/>
              <w:jc w:val="center"/>
              <w:rPr>
                <w:b/>
              </w:rPr>
            </w:pPr>
            <w:r>
              <w:rPr>
                <w:b/>
              </w:rPr>
              <w:t>PO RYBY</w:t>
            </w:r>
          </w:p>
        </w:tc>
        <w:tc>
          <w:tcPr>
            <w:tcW w:w="7074" w:type="dxa"/>
            <w:vAlign w:val="center"/>
          </w:tcPr>
          <w:p w:rsidR="00F31A3D" w:rsidRDefault="00F31A3D" w:rsidP="006D71C7">
            <w:pPr>
              <w:autoSpaceDE w:val="0"/>
              <w:autoSpaceDN w:val="0"/>
              <w:adjustRightInd w:val="0"/>
              <w:jc w:val="both"/>
            </w:pPr>
            <w:r>
              <w:t>Program Operacyjny Zrównoważony rozwój sektora rybołówstwa i nadbrzeżnych obszarów rybackich</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PRS</w:t>
            </w:r>
          </w:p>
        </w:tc>
        <w:tc>
          <w:tcPr>
            <w:tcW w:w="7074" w:type="dxa"/>
            <w:vAlign w:val="center"/>
          </w:tcPr>
          <w:p w:rsidR="0005410E" w:rsidRPr="006D71C7" w:rsidRDefault="0005410E" w:rsidP="006D71C7">
            <w:pPr>
              <w:autoSpaceDE w:val="0"/>
              <w:autoSpaceDN w:val="0"/>
              <w:adjustRightInd w:val="0"/>
              <w:spacing w:line="360" w:lineRule="auto"/>
              <w:jc w:val="both"/>
            </w:pPr>
            <w:r w:rsidRPr="006D71C7">
              <w:t xml:space="preserve">Program Rozwoju Subregionu </w:t>
            </w:r>
          </w:p>
        </w:tc>
      </w:tr>
      <w:tr w:rsidR="000B34E5" w:rsidRPr="006D71C7" w:rsidTr="000B34E5">
        <w:trPr>
          <w:trHeight w:val="737"/>
        </w:trPr>
        <w:tc>
          <w:tcPr>
            <w:tcW w:w="2212" w:type="dxa"/>
            <w:vAlign w:val="center"/>
          </w:tcPr>
          <w:p w:rsidR="00C43B75" w:rsidRDefault="000B34E5" w:rsidP="00C43B75">
            <w:pPr>
              <w:autoSpaceDE w:val="0"/>
              <w:autoSpaceDN w:val="0"/>
              <w:adjustRightInd w:val="0"/>
              <w:spacing w:line="360" w:lineRule="auto"/>
              <w:jc w:val="center"/>
              <w:rPr>
                <w:b/>
              </w:rPr>
            </w:pPr>
            <w:r w:rsidRPr="006D71C7">
              <w:rPr>
                <w:b/>
              </w:rPr>
              <w:t>PRT</w:t>
            </w:r>
          </w:p>
        </w:tc>
        <w:tc>
          <w:tcPr>
            <w:tcW w:w="7074" w:type="dxa"/>
            <w:vAlign w:val="center"/>
          </w:tcPr>
          <w:p w:rsidR="000B34E5" w:rsidRPr="006D71C7" w:rsidRDefault="000B34E5" w:rsidP="006D71C7">
            <w:pPr>
              <w:autoSpaceDE w:val="0"/>
              <w:autoSpaceDN w:val="0"/>
              <w:adjustRightInd w:val="0"/>
              <w:spacing w:line="360" w:lineRule="auto"/>
              <w:jc w:val="both"/>
            </w:pPr>
            <w:r w:rsidRPr="006D71C7">
              <w:rPr>
                <w:rFonts w:eastAsia="Calibri"/>
                <w:bCs/>
              </w:rPr>
              <w:t>Programu Rozwoju Technologii Województwa Śląskiego na lata 2010 -2020</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Raport środowiskowy</w:t>
            </w:r>
          </w:p>
        </w:tc>
        <w:tc>
          <w:tcPr>
            <w:tcW w:w="7074" w:type="dxa"/>
            <w:vAlign w:val="center"/>
          </w:tcPr>
          <w:p w:rsidR="0005410E" w:rsidRPr="006D71C7" w:rsidRDefault="0005410E" w:rsidP="006D71C7">
            <w:pPr>
              <w:autoSpaceDE w:val="0"/>
              <w:autoSpaceDN w:val="0"/>
              <w:adjustRightInd w:val="0"/>
              <w:spacing w:line="360" w:lineRule="auto"/>
              <w:jc w:val="both"/>
              <w:rPr>
                <w:szCs w:val="24"/>
              </w:rPr>
            </w:pPr>
            <w:r w:rsidRPr="006D71C7">
              <w:rPr>
                <w:szCs w:val="24"/>
              </w:rPr>
              <w:t>Raport dotyczący monitoringu skutków środowiskowych projektów realizowanych w ramach RPO WSL za rok 2008</w:t>
            </w:r>
          </w:p>
        </w:tc>
      </w:tr>
      <w:tr w:rsidR="0005410E" w:rsidRPr="006D71C7" w:rsidTr="0005410E">
        <w:trPr>
          <w:trHeight w:val="707"/>
        </w:trPr>
        <w:tc>
          <w:tcPr>
            <w:tcW w:w="2212" w:type="dxa"/>
            <w:vAlign w:val="center"/>
          </w:tcPr>
          <w:p w:rsidR="00C43B75" w:rsidRDefault="0005410E" w:rsidP="00C43B75">
            <w:pPr>
              <w:autoSpaceDE w:val="0"/>
              <w:autoSpaceDN w:val="0"/>
              <w:adjustRightInd w:val="0"/>
              <w:spacing w:after="0" w:line="360" w:lineRule="auto"/>
              <w:jc w:val="center"/>
              <w:rPr>
                <w:b/>
              </w:rPr>
            </w:pPr>
            <w:r w:rsidRPr="006D71C7">
              <w:rPr>
                <w:b/>
              </w:rPr>
              <w:t>RIS</w:t>
            </w:r>
          </w:p>
        </w:tc>
        <w:tc>
          <w:tcPr>
            <w:tcW w:w="7074" w:type="dxa"/>
            <w:vAlign w:val="center"/>
          </w:tcPr>
          <w:p w:rsidR="0005410E" w:rsidRPr="006D71C7" w:rsidRDefault="0005410E" w:rsidP="006D71C7">
            <w:pPr>
              <w:autoSpaceDE w:val="0"/>
              <w:autoSpaceDN w:val="0"/>
              <w:adjustRightInd w:val="0"/>
              <w:spacing w:after="0" w:line="360" w:lineRule="auto"/>
              <w:jc w:val="both"/>
              <w:rPr>
                <w:szCs w:val="24"/>
              </w:rPr>
            </w:pPr>
            <w:r w:rsidRPr="006D71C7">
              <w:rPr>
                <w:szCs w:val="24"/>
              </w:rPr>
              <w:t>Regionalna Strategia Innowacji Województwa Śląskiego na lata 2003-2013</w:t>
            </w:r>
          </w:p>
        </w:tc>
      </w:tr>
      <w:tr w:rsidR="0076176E" w:rsidRPr="006D71C7" w:rsidTr="0005410E">
        <w:trPr>
          <w:trHeight w:val="707"/>
        </w:trPr>
        <w:tc>
          <w:tcPr>
            <w:tcW w:w="2212" w:type="dxa"/>
            <w:vAlign w:val="center"/>
          </w:tcPr>
          <w:p w:rsidR="00C43B75" w:rsidRDefault="0076176E" w:rsidP="00C43B75">
            <w:pPr>
              <w:autoSpaceDE w:val="0"/>
              <w:autoSpaceDN w:val="0"/>
              <w:adjustRightInd w:val="0"/>
              <w:spacing w:after="0" w:line="360" w:lineRule="auto"/>
              <w:jc w:val="center"/>
              <w:rPr>
                <w:b/>
              </w:rPr>
            </w:pPr>
            <w:r w:rsidRPr="006D71C7">
              <w:rPr>
                <w:b/>
              </w:rPr>
              <w:t>ROP</w:t>
            </w:r>
          </w:p>
        </w:tc>
        <w:tc>
          <w:tcPr>
            <w:tcW w:w="7074" w:type="dxa"/>
            <w:vAlign w:val="center"/>
          </w:tcPr>
          <w:p w:rsidR="0076176E" w:rsidRPr="006D71C7" w:rsidRDefault="0076176E" w:rsidP="006D71C7">
            <w:pPr>
              <w:autoSpaceDE w:val="0"/>
              <w:autoSpaceDN w:val="0"/>
              <w:adjustRightInd w:val="0"/>
              <w:spacing w:after="0" w:line="360" w:lineRule="auto"/>
              <w:jc w:val="both"/>
              <w:rPr>
                <w:szCs w:val="24"/>
              </w:rPr>
            </w:pPr>
            <w:r w:rsidRPr="006D71C7">
              <w:rPr>
                <w:szCs w:val="24"/>
              </w:rPr>
              <w:t>Rejestr obciążeń na projekcie</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RPO WSL</w:t>
            </w:r>
          </w:p>
        </w:tc>
        <w:tc>
          <w:tcPr>
            <w:tcW w:w="7074" w:type="dxa"/>
            <w:vAlign w:val="center"/>
          </w:tcPr>
          <w:p w:rsidR="0005410E" w:rsidRPr="006D71C7" w:rsidRDefault="0005410E" w:rsidP="006D71C7">
            <w:pPr>
              <w:autoSpaceDE w:val="0"/>
              <w:autoSpaceDN w:val="0"/>
              <w:adjustRightInd w:val="0"/>
              <w:spacing w:line="360" w:lineRule="auto"/>
              <w:jc w:val="both"/>
            </w:pPr>
            <w:r w:rsidRPr="006D71C7">
              <w:t>Regionalny Program Operacyjny Województwa Śląskiego na lata 2007-2013</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SFC 2007</w:t>
            </w:r>
          </w:p>
        </w:tc>
        <w:tc>
          <w:tcPr>
            <w:tcW w:w="7074" w:type="dxa"/>
            <w:vAlign w:val="center"/>
          </w:tcPr>
          <w:p w:rsidR="0005410E" w:rsidRPr="006D71C7" w:rsidRDefault="0005410E" w:rsidP="006D71C7">
            <w:pPr>
              <w:autoSpaceDE w:val="0"/>
              <w:autoSpaceDN w:val="0"/>
              <w:adjustRightInd w:val="0"/>
              <w:spacing w:line="360" w:lineRule="auto"/>
              <w:jc w:val="both"/>
            </w:pPr>
            <w:r w:rsidRPr="006D71C7">
              <w:t>System zarządzania funduszami we Wspólnocie Europejskiej w latach 2007-2013</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SL</w:t>
            </w:r>
          </w:p>
        </w:tc>
        <w:tc>
          <w:tcPr>
            <w:tcW w:w="7074" w:type="dxa"/>
            <w:vAlign w:val="center"/>
          </w:tcPr>
          <w:p w:rsidR="0005410E" w:rsidRPr="006D71C7" w:rsidRDefault="0005410E" w:rsidP="006D71C7">
            <w:pPr>
              <w:autoSpaceDE w:val="0"/>
              <w:autoSpaceDN w:val="0"/>
              <w:adjustRightInd w:val="0"/>
              <w:spacing w:line="360" w:lineRule="auto"/>
              <w:jc w:val="both"/>
            </w:pPr>
            <w:r w:rsidRPr="006D71C7">
              <w:t>Strategia Lizbońska</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ŚCP</w:t>
            </w:r>
          </w:p>
        </w:tc>
        <w:tc>
          <w:tcPr>
            <w:tcW w:w="7074" w:type="dxa"/>
            <w:vAlign w:val="center"/>
          </w:tcPr>
          <w:p w:rsidR="0005410E" w:rsidRPr="006D71C7" w:rsidRDefault="0005410E" w:rsidP="006D71C7">
            <w:pPr>
              <w:autoSpaceDE w:val="0"/>
              <w:autoSpaceDN w:val="0"/>
              <w:adjustRightInd w:val="0"/>
              <w:spacing w:line="360" w:lineRule="auto"/>
              <w:jc w:val="both"/>
            </w:pPr>
            <w:r w:rsidRPr="006D71C7">
              <w:t xml:space="preserve">Śląskie Centrum Przedsiębiorczości (IP 2 RPO WSL) </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SUE RMB</w:t>
            </w:r>
          </w:p>
        </w:tc>
        <w:tc>
          <w:tcPr>
            <w:tcW w:w="7074" w:type="dxa"/>
            <w:vAlign w:val="center"/>
          </w:tcPr>
          <w:p w:rsidR="0005410E" w:rsidRPr="006D71C7" w:rsidRDefault="0005410E" w:rsidP="006D71C7">
            <w:pPr>
              <w:autoSpaceDE w:val="0"/>
              <w:autoSpaceDN w:val="0"/>
              <w:adjustRightInd w:val="0"/>
              <w:spacing w:line="360" w:lineRule="auto"/>
              <w:jc w:val="both"/>
            </w:pPr>
            <w:r w:rsidRPr="006D71C7">
              <w:rPr>
                <w:szCs w:val="24"/>
              </w:rPr>
              <w:t>Strategii UE dla Regionu Morza Bałtyckiego</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SWW</w:t>
            </w:r>
          </w:p>
        </w:tc>
        <w:tc>
          <w:tcPr>
            <w:tcW w:w="7074" w:type="dxa"/>
            <w:vAlign w:val="center"/>
          </w:tcPr>
          <w:p w:rsidR="0005410E" w:rsidRPr="006D71C7" w:rsidRDefault="0005410E" w:rsidP="006D71C7">
            <w:pPr>
              <w:autoSpaceDE w:val="0"/>
              <w:autoSpaceDN w:val="0"/>
              <w:adjustRightInd w:val="0"/>
              <w:spacing w:line="360" w:lineRule="auto"/>
              <w:jc w:val="both"/>
              <w:rPr>
                <w:szCs w:val="24"/>
              </w:rPr>
            </w:pPr>
            <w:r w:rsidRPr="006D71C7">
              <w:rPr>
                <w:szCs w:val="24"/>
              </w:rPr>
              <w:t>Strategiczne Wytyczne Wspólnoty</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UE</w:t>
            </w:r>
          </w:p>
        </w:tc>
        <w:tc>
          <w:tcPr>
            <w:tcW w:w="7074" w:type="dxa"/>
            <w:vAlign w:val="center"/>
          </w:tcPr>
          <w:p w:rsidR="0005410E" w:rsidRPr="006D71C7" w:rsidRDefault="0005410E" w:rsidP="006D71C7">
            <w:pPr>
              <w:autoSpaceDE w:val="0"/>
              <w:autoSpaceDN w:val="0"/>
              <w:adjustRightInd w:val="0"/>
              <w:spacing w:line="360" w:lineRule="auto"/>
              <w:jc w:val="both"/>
            </w:pPr>
            <w:r w:rsidRPr="006D71C7">
              <w:t>Unia Europejska</w:t>
            </w:r>
          </w:p>
        </w:tc>
      </w:tr>
      <w:tr w:rsidR="00F824E6" w:rsidRPr="006D71C7" w:rsidTr="0005410E">
        <w:trPr>
          <w:trHeight w:val="737"/>
        </w:trPr>
        <w:tc>
          <w:tcPr>
            <w:tcW w:w="2212" w:type="dxa"/>
            <w:vAlign w:val="center"/>
          </w:tcPr>
          <w:p w:rsidR="00C43B75" w:rsidRDefault="00F824E6" w:rsidP="00C43B75">
            <w:pPr>
              <w:autoSpaceDE w:val="0"/>
              <w:autoSpaceDN w:val="0"/>
              <w:adjustRightInd w:val="0"/>
              <w:spacing w:line="360" w:lineRule="auto"/>
              <w:jc w:val="center"/>
              <w:rPr>
                <w:b/>
              </w:rPr>
            </w:pPr>
            <w:r w:rsidRPr="006D71C7">
              <w:rPr>
                <w:b/>
              </w:rPr>
              <w:t>UKS</w:t>
            </w:r>
          </w:p>
        </w:tc>
        <w:tc>
          <w:tcPr>
            <w:tcW w:w="7074" w:type="dxa"/>
            <w:vAlign w:val="center"/>
          </w:tcPr>
          <w:p w:rsidR="00F824E6" w:rsidRPr="006D71C7" w:rsidRDefault="00F824E6" w:rsidP="006D71C7">
            <w:pPr>
              <w:autoSpaceDE w:val="0"/>
              <w:autoSpaceDN w:val="0"/>
              <w:adjustRightInd w:val="0"/>
              <w:spacing w:line="360" w:lineRule="auto"/>
              <w:jc w:val="both"/>
            </w:pPr>
            <w:r w:rsidRPr="006D71C7">
              <w:t>Urząd Kontroli Skarbowej</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UMW</w:t>
            </w:r>
            <w:r w:rsidR="00A2098C" w:rsidRPr="006D71C7">
              <w:rPr>
                <w:b/>
              </w:rPr>
              <w:t>SL</w:t>
            </w:r>
          </w:p>
        </w:tc>
        <w:tc>
          <w:tcPr>
            <w:tcW w:w="7074" w:type="dxa"/>
            <w:vAlign w:val="center"/>
          </w:tcPr>
          <w:p w:rsidR="0005410E" w:rsidRPr="006D71C7" w:rsidRDefault="0005410E" w:rsidP="006D71C7">
            <w:pPr>
              <w:autoSpaceDE w:val="0"/>
              <w:autoSpaceDN w:val="0"/>
              <w:adjustRightInd w:val="0"/>
              <w:spacing w:line="360" w:lineRule="auto"/>
              <w:jc w:val="both"/>
            </w:pPr>
            <w:r w:rsidRPr="006D71C7">
              <w:t>Urząd Marszałkowski Województwa Śląskiego</w:t>
            </w:r>
          </w:p>
        </w:tc>
      </w:tr>
      <w:tr w:rsidR="0005410E" w:rsidRPr="006D71C7" w:rsidTr="0005410E">
        <w:trPr>
          <w:trHeight w:val="737"/>
        </w:trPr>
        <w:tc>
          <w:tcPr>
            <w:tcW w:w="2212" w:type="dxa"/>
            <w:vAlign w:val="center"/>
          </w:tcPr>
          <w:p w:rsidR="00C43B75" w:rsidRDefault="00A2098C" w:rsidP="00C43B75">
            <w:pPr>
              <w:autoSpaceDE w:val="0"/>
              <w:autoSpaceDN w:val="0"/>
              <w:adjustRightInd w:val="0"/>
              <w:jc w:val="center"/>
              <w:rPr>
                <w:b/>
              </w:rPr>
            </w:pPr>
            <w:r w:rsidRPr="006D71C7">
              <w:rPr>
                <w:b/>
              </w:rPr>
              <w:t>U</w:t>
            </w:r>
            <w:r w:rsidR="0005410E" w:rsidRPr="006D71C7">
              <w:rPr>
                <w:b/>
              </w:rPr>
              <w:t>RPO WSL</w:t>
            </w:r>
          </w:p>
        </w:tc>
        <w:tc>
          <w:tcPr>
            <w:tcW w:w="7074" w:type="dxa"/>
            <w:vAlign w:val="center"/>
          </w:tcPr>
          <w:p w:rsidR="0005410E" w:rsidRPr="006D71C7" w:rsidRDefault="0005410E" w:rsidP="006D71C7">
            <w:pPr>
              <w:autoSpaceDE w:val="0"/>
              <w:autoSpaceDN w:val="0"/>
              <w:adjustRightInd w:val="0"/>
              <w:jc w:val="both"/>
            </w:pPr>
            <w:r w:rsidRPr="006D71C7">
              <w:t>Szczegółowy opis priorytetów Regionalnego Programu Operacyjnego Województwa Śląskiego na lata 2007-2013</w:t>
            </w:r>
          </w:p>
        </w:tc>
      </w:tr>
      <w:tr w:rsidR="0005410E" w:rsidRPr="006D71C7" w:rsidTr="0005410E">
        <w:trPr>
          <w:trHeight w:val="737"/>
        </w:trPr>
        <w:tc>
          <w:tcPr>
            <w:tcW w:w="2212" w:type="dxa"/>
            <w:vAlign w:val="center"/>
          </w:tcPr>
          <w:p w:rsidR="00C43B75" w:rsidRDefault="0005410E" w:rsidP="00C43B75">
            <w:pPr>
              <w:pStyle w:val="Akapitzlist"/>
              <w:autoSpaceDE w:val="0"/>
              <w:autoSpaceDN w:val="0"/>
              <w:adjustRightInd w:val="0"/>
              <w:spacing w:line="360" w:lineRule="auto"/>
              <w:ind w:left="360"/>
              <w:jc w:val="center"/>
              <w:rPr>
                <w:b/>
              </w:rPr>
            </w:pPr>
            <w:r w:rsidRPr="006D71C7">
              <w:rPr>
                <w:b/>
              </w:rPr>
              <w:t>WRR</w:t>
            </w:r>
          </w:p>
        </w:tc>
        <w:tc>
          <w:tcPr>
            <w:tcW w:w="7074" w:type="dxa"/>
            <w:vAlign w:val="center"/>
          </w:tcPr>
          <w:p w:rsidR="0005410E" w:rsidRPr="006D71C7" w:rsidRDefault="0005410E" w:rsidP="006D71C7">
            <w:pPr>
              <w:autoSpaceDE w:val="0"/>
              <w:autoSpaceDN w:val="0"/>
              <w:adjustRightInd w:val="0"/>
              <w:spacing w:line="360" w:lineRule="auto"/>
              <w:jc w:val="both"/>
            </w:pPr>
            <w:r w:rsidRPr="006D71C7">
              <w:t>Wydział Rozwoju Regionalnego Urzędu Marszałkowskiego Województwa Śląskiego</w:t>
            </w:r>
          </w:p>
        </w:tc>
      </w:tr>
      <w:tr w:rsidR="0005410E" w:rsidRPr="006D71C7" w:rsidTr="0005410E">
        <w:trPr>
          <w:trHeight w:val="737"/>
        </w:trPr>
        <w:tc>
          <w:tcPr>
            <w:tcW w:w="2212" w:type="dxa"/>
            <w:vAlign w:val="center"/>
          </w:tcPr>
          <w:p w:rsidR="00C43B75" w:rsidRDefault="0005410E" w:rsidP="00C43B75">
            <w:pPr>
              <w:autoSpaceDE w:val="0"/>
              <w:autoSpaceDN w:val="0"/>
              <w:adjustRightInd w:val="0"/>
              <w:spacing w:line="360" w:lineRule="auto"/>
              <w:jc w:val="center"/>
              <w:rPr>
                <w:b/>
              </w:rPr>
            </w:pPr>
            <w:r w:rsidRPr="006D71C7">
              <w:rPr>
                <w:b/>
              </w:rPr>
              <w:t>ZW</w:t>
            </w:r>
          </w:p>
        </w:tc>
        <w:tc>
          <w:tcPr>
            <w:tcW w:w="7074" w:type="dxa"/>
            <w:vAlign w:val="center"/>
          </w:tcPr>
          <w:p w:rsidR="0005410E" w:rsidRPr="006D71C7" w:rsidRDefault="0005410E" w:rsidP="006D71C7">
            <w:pPr>
              <w:autoSpaceDE w:val="0"/>
              <w:autoSpaceDN w:val="0"/>
              <w:adjustRightInd w:val="0"/>
              <w:spacing w:line="360" w:lineRule="auto"/>
              <w:jc w:val="both"/>
            </w:pPr>
            <w:r w:rsidRPr="006D71C7">
              <w:t>Zarząd Województwa Śląskiego</w:t>
            </w:r>
          </w:p>
        </w:tc>
      </w:tr>
    </w:tbl>
    <w:p w:rsidR="0005410E" w:rsidRPr="006D71C7" w:rsidRDefault="0005410E" w:rsidP="006D71C7">
      <w:pPr>
        <w:spacing w:after="0" w:line="240" w:lineRule="auto"/>
        <w:jc w:val="both"/>
        <w:rPr>
          <w:b/>
          <w:bCs/>
          <w:position w:val="-1"/>
          <w:szCs w:val="24"/>
        </w:rPr>
      </w:pPr>
      <w:r w:rsidRPr="006D71C7">
        <w:rPr>
          <w:b/>
          <w:bCs/>
          <w:position w:val="-1"/>
          <w:szCs w:val="24"/>
        </w:rPr>
        <w:br w:type="page"/>
      </w:r>
    </w:p>
    <w:p w:rsidR="0005410E" w:rsidRPr="006D71C7" w:rsidRDefault="00D96EC4" w:rsidP="00BA2FE7">
      <w:pPr>
        <w:pStyle w:val="Nagwek1"/>
        <w:numPr>
          <w:ilvl w:val="0"/>
          <w:numId w:val="30"/>
        </w:numPr>
        <w:jc w:val="both"/>
        <w:rPr>
          <w:szCs w:val="24"/>
        </w:rPr>
      </w:pPr>
      <w:bookmarkStart w:id="7" w:name="_Toc292789226"/>
      <w:bookmarkStart w:id="8" w:name="_Toc292793516"/>
      <w:bookmarkStart w:id="9" w:name="_Toc327259204"/>
      <w:r w:rsidRPr="006D71C7">
        <w:rPr>
          <w:szCs w:val="24"/>
        </w:rPr>
        <w:t>INFORMACJE WSTĘPNE</w:t>
      </w:r>
      <w:bookmarkEnd w:id="7"/>
      <w:bookmarkEnd w:id="8"/>
      <w:bookmarkEnd w:id="9"/>
    </w:p>
    <w:p w:rsidR="0005410E" w:rsidRPr="006D71C7" w:rsidRDefault="0005410E" w:rsidP="006D71C7">
      <w:pPr>
        <w:widowControl w:val="0"/>
        <w:autoSpaceDE w:val="0"/>
        <w:autoSpaceDN w:val="0"/>
        <w:adjustRightInd w:val="0"/>
        <w:spacing w:before="13" w:after="0"/>
        <w:jc w:val="both"/>
        <w:rPr>
          <w:szCs w:val="24"/>
        </w:rPr>
      </w:pPr>
    </w:p>
    <w:tbl>
      <w:tblPr>
        <w:tblW w:w="925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8C69" w:themeFill="accent1" w:themeFillTint="99"/>
        <w:tblLayout w:type="fixed"/>
        <w:tblCellMar>
          <w:left w:w="0" w:type="dxa"/>
          <w:right w:w="0" w:type="dxa"/>
        </w:tblCellMar>
        <w:tblLook w:val="0000" w:firstRow="0" w:lastRow="0" w:firstColumn="0" w:lastColumn="0" w:noHBand="0" w:noVBand="0"/>
      </w:tblPr>
      <w:tblGrid>
        <w:gridCol w:w="4363"/>
        <w:gridCol w:w="4887"/>
      </w:tblGrid>
      <w:tr w:rsidR="0005410E" w:rsidRPr="006D71C7" w:rsidTr="00451CEE">
        <w:trPr>
          <w:trHeight w:hRule="exact" w:val="717"/>
        </w:trPr>
        <w:tc>
          <w:tcPr>
            <w:tcW w:w="4363" w:type="dxa"/>
            <w:vMerge w:val="restart"/>
            <w:shd w:val="clear" w:color="auto" w:fill="F4B29B" w:themeFill="accent1" w:themeFillTint="66"/>
            <w:vAlign w:val="center"/>
          </w:tcPr>
          <w:p w:rsidR="0005410E" w:rsidRPr="006D71C7" w:rsidRDefault="0005410E" w:rsidP="006D71C7">
            <w:pPr>
              <w:widowControl w:val="0"/>
              <w:autoSpaceDE w:val="0"/>
              <w:autoSpaceDN w:val="0"/>
              <w:adjustRightInd w:val="0"/>
              <w:spacing w:after="0"/>
              <w:ind w:left="102" w:right="-20"/>
              <w:jc w:val="both"/>
              <w:rPr>
                <w:b/>
                <w:szCs w:val="24"/>
              </w:rPr>
            </w:pPr>
            <w:r w:rsidRPr="006D71C7">
              <w:rPr>
                <w:b/>
                <w:spacing w:val="2"/>
                <w:szCs w:val="24"/>
              </w:rPr>
              <w:t>P</w:t>
            </w:r>
            <w:r w:rsidRPr="006D71C7">
              <w:rPr>
                <w:b/>
                <w:spacing w:val="-1"/>
                <w:szCs w:val="24"/>
              </w:rPr>
              <w:t>R</w:t>
            </w:r>
            <w:r w:rsidRPr="006D71C7">
              <w:rPr>
                <w:b/>
                <w:szCs w:val="24"/>
              </w:rPr>
              <w:t>OG</w:t>
            </w:r>
            <w:r w:rsidRPr="006D71C7">
              <w:rPr>
                <w:b/>
                <w:spacing w:val="2"/>
                <w:szCs w:val="24"/>
              </w:rPr>
              <w:t>R</w:t>
            </w:r>
            <w:r w:rsidRPr="006D71C7">
              <w:rPr>
                <w:b/>
                <w:spacing w:val="-2"/>
                <w:szCs w:val="24"/>
              </w:rPr>
              <w:t>A</w:t>
            </w:r>
            <w:r w:rsidRPr="006D71C7">
              <w:rPr>
                <w:b/>
                <w:szCs w:val="24"/>
              </w:rPr>
              <w:t>M</w:t>
            </w:r>
            <w:r w:rsidRPr="006D71C7">
              <w:rPr>
                <w:b/>
                <w:spacing w:val="1"/>
                <w:szCs w:val="24"/>
              </w:rPr>
              <w:t xml:space="preserve"> </w:t>
            </w:r>
            <w:r w:rsidRPr="006D71C7">
              <w:rPr>
                <w:b/>
                <w:szCs w:val="24"/>
              </w:rPr>
              <w:t>O</w:t>
            </w:r>
            <w:r w:rsidRPr="006D71C7">
              <w:rPr>
                <w:b/>
                <w:spacing w:val="2"/>
                <w:szCs w:val="24"/>
              </w:rPr>
              <w:t>P</w:t>
            </w:r>
            <w:r w:rsidRPr="006D71C7">
              <w:rPr>
                <w:b/>
                <w:spacing w:val="1"/>
                <w:szCs w:val="24"/>
              </w:rPr>
              <w:t>E</w:t>
            </w:r>
            <w:r w:rsidRPr="006D71C7">
              <w:rPr>
                <w:b/>
                <w:spacing w:val="2"/>
                <w:szCs w:val="24"/>
              </w:rPr>
              <w:t>R</w:t>
            </w:r>
            <w:r w:rsidRPr="006D71C7">
              <w:rPr>
                <w:b/>
                <w:szCs w:val="24"/>
              </w:rPr>
              <w:t>A</w:t>
            </w:r>
            <w:r w:rsidRPr="006D71C7">
              <w:rPr>
                <w:b/>
                <w:spacing w:val="-1"/>
                <w:szCs w:val="24"/>
              </w:rPr>
              <w:t>C</w:t>
            </w:r>
            <w:r w:rsidRPr="006D71C7">
              <w:rPr>
                <w:b/>
                <w:szCs w:val="24"/>
              </w:rPr>
              <w:t>Y</w:t>
            </w:r>
            <w:r w:rsidRPr="006D71C7">
              <w:rPr>
                <w:b/>
                <w:spacing w:val="2"/>
                <w:szCs w:val="24"/>
              </w:rPr>
              <w:t>J</w:t>
            </w:r>
            <w:r w:rsidRPr="006D71C7">
              <w:rPr>
                <w:b/>
                <w:szCs w:val="24"/>
              </w:rPr>
              <w:t>NY</w:t>
            </w:r>
          </w:p>
        </w:tc>
        <w:tc>
          <w:tcPr>
            <w:tcW w:w="4887" w:type="dxa"/>
            <w:shd w:val="clear" w:color="auto" w:fill="F9D8CD" w:themeFill="accent1" w:themeFillTint="33"/>
            <w:vAlign w:val="center"/>
          </w:tcPr>
          <w:p w:rsidR="0005410E" w:rsidRPr="006D71C7" w:rsidRDefault="0005410E" w:rsidP="006D71C7">
            <w:pPr>
              <w:widowControl w:val="0"/>
              <w:autoSpaceDE w:val="0"/>
              <w:autoSpaceDN w:val="0"/>
              <w:adjustRightInd w:val="0"/>
              <w:spacing w:after="0"/>
              <w:ind w:left="102" w:right="-20"/>
              <w:jc w:val="both"/>
              <w:rPr>
                <w:szCs w:val="24"/>
              </w:rPr>
            </w:pPr>
            <w:r w:rsidRPr="006D71C7">
              <w:rPr>
                <w:b/>
                <w:spacing w:val="-1"/>
                <w:szCs w:val="24"/>
              </w:rPr>
              <w:t>C</w:t>
            </w:r>
            <w:r w:rsidRPr="006D71C7">
              <w:rPr>
                <w:b/>
                <w:szCs w:val="24"/>
              </w:rPr>
              <w:t>el</w:t>
            </w:r>
            <w:r w:rsidRPr="006D71C7">
              <w:rPr>
                <w:szCs w:val="24"/>
              </w:rPr>
              <w:t>: konwergencja</w:t>
            </w:r>
          </w:p>
        </w:tc>
      </w:tr>
      <w:tr w:rsidR="0005410E" w:rsidRPr="006D71C7" w:rsidTr="00451CEE">
        <w:trPr>
          <w:trHeight w:hRule="exact" w:val="623"/>
        </w:trPr>
        <w:tc>
          <w:tcPr>
            <w:tcW w:w="4363" w:type="dxa"/>
            <w:vMerge/>
            <w:shd w:val="clear" w:color="auto" w:fill="F4B29B" w:themeFill="accent1" w:themeFillTint="66"/>
            <w:vAlign w:val="center"/>
          </w:tcPr>
          <w:p w:rsidR="0005410E" w:rsidRPr="006D71C7" w:rsidRDefault="0005410E" w:rsidP="006D71C7">
            <w:pPr>
              <w:widowControl w:val="0"/>
              <w:autoSpaceDE w:val="0"/>
              <w:autoSpaceDN w:val="0"/>
              <w:adjustRightInd w:val="0"/>
              <w:spacing w:after="0"/>
              <w:ind w:left="102" w:right="-20"/>
              <w:jc w:val="both"/>
              <w:rPr>
                <w:szCs w:val="24"/>
              </w:rPr>
            </w:pPr>
          </w:p>
        </w:tc>
        <w:tc>
          <w:tcPr>
            <w:tcW w:w="4887" w:type="dxa"/>
            <w:shd w:val="clear" w:color="auto" w:fill="F9D8CD" w:themeFill="accent1" w:themeFillTint="33"/>
            <w:vAlign w:val="center"/>
          </w:tcPr>
          <w:p w:rsidR="0005410E" w:rsidRPr="006D71C7" w:rsidRDefault="0005410E" w:rsidP="006D71C7">
            <w:pPr>
              <w:widowControl w:val="0"/>
              <w:autoSpaceDE w:val="0"/>
              <w:autoSpaceDN w:val="0"/>
              <w:adjustRightInd w:val="0"/>
              <w:spacing w:after="0"/>
              <w:ind w:left="102" w:right="-20"/>
              <w:jc w:val="both"/>
              <w:rPr>
                <w:szCs w:val="24"/>
              </w:rPr>
            </w:pPr>
            <w:r w:rsidRPr="006D71C7">
              <w:rPr>
                <w:b/>
                <w:spacing w:val="3"/>
                <w:szCs w:val="24"/>
              </w:rPr>
              <w:t>K</w:t>
            </w:r>
            <w:r w:rsidRPr="006D71C7">
              <w:rPr>
                <w:b/>
                <w:spacing w:val="-5"/>
                <w:szCs w:val="24"/>
              </w:rPr>
              <w:t>w</w:t>
            </w:r>
            <w:r w:rsidRPr="006D71C7">
              <w:rPr>
                <w:b/>
                <w:spacing w:val="3"/>
                <w:szCs w:val="24"/>
              </w:rPr>
              <w:t>a</w:t>
            </w:r>
            <w:r w:rsidRPr="006D71C7">
              <w:rPr>
                <w:b/>
                <w:szCs w:val="24"/>
              </w:rPr>
              <w:t>li</w:t>
            </w:r>
            <w:r w:rsidRPr="006D71C7">
              <w:rPr>
                <w:b/>
                <w:spacing w:val="1"/>
                <w:szCs w:val="24"/>
              </w:rPr>
              <w:t>f</w:t>
            </w:r>
            <w:r w:rsidRPr="006D71C7">
              <w:rPr>
                <w:b/>
                <w:szCs w:val="24"/>
              </w:rPr>
              <w:t>i</w:t>
            </w:r>
            <w:r w:rsidRPr="006D71C7">
              <w:rPr>
                <w:b/>
                <w:spacing w:val="-1"/>
                <w:szCs w:val="24"/>
              </w:rPr>
              <w:t>k</w:t>
            </w:r>
            <w:r w:rsidRPr="006D71C7">
              <w:rPr>
                <w:b/>
                <w:spacing w:val="4"/>
                <w:szCs w:val="24"/>
              </w:rPr>
              <w:t>o</w:t>
            </w:r>
            <w:r w:rsidRPr="006D71C7">
              <w:rPr>
                <w:b/>
                <w:spacing w:val="-2"/>
                <w:szCs w:val="24"/>
              </w:rPr>
              <w:t>w</w:t>
            </w:r>
            <w:r w:rsidRPr="006D71C7">
              <w:rPr>
                <w:b/>
                <w:spacing w:val="3"/>
                <w:szCs w:val="24"/>
              </w:rPr>
              <w:t>a</w:t>
            </w:r>
            <w:r w:rsidRPr="006D71C7">
              <w:rPr>
                <w:b/>
                <w:spacing w:val="1"/>
                <w:szCs w:val="24"/>
              </w:rPr>
              <w:t>n</w:t>
            </w:r>
            <w:r w:rsidRPr="006D71C7">
              <w:rPr>
                <w:b/>
                <w:szCs w:val="24"/>
              </w:rPr>
              <w:t>y</w:t>
            </w:r>
            <w:r w:rsidRPr="006D71C7">
              <w:rPr>
                <w:b/>
                <w:spacing w:val="-3"/>
                <w:szCs w:val="24"/>
              </w:rPr>
              <w:t xml:space="preserve"> </w:t>
            </w:r>
            <w:r w:rsidRPr="006D71C7">
              <w:rPr>
                <w:b/>
                <w:spacing w:val="1"/>
                <w:szCs w:val="24"/>
              </w:rPr>
              <w:t>ob</w:t>
            </w:r>
            <w:r w:rsidRPr="006D71C7">
              <w:rPr>
                <w:b/>
                <w:spacing w:val="-1"/>
                <w:szCs w:val="24"/>
              </w:rPr>
              <w:t>s</w:t>
            </w:r>
            <w:r w:rsidRPr="006D71C7">
              <w:rPr>
                <w:b/>
                <w:szCs w:val="24"/>
              </w:rPr>
              <w:t>zar</w:t>
            </w:r>
            <w:r w:rsidRPr="006D71C7">
              <w:rPr>
                <w:szCs w:val="24"/>
              </w:rPr>
              <w:t>: województwo śląskie</w:t>
            </w:r>
          </w:p>
        </w:tc>
      </w:tr>
      <w:tr w:rsidR="0005410E" w:rsidRPr="006D71C7" w:rsidTr="00451CEE">
        <w:trPr>
          <w:trHeight w:hRule="exact" w:val="714"/>
        </w:trPr>
        <w:tc>
          <w:tcPr>
            <w:tcW w:w="4363" w:type="dxa"/>
            <w:vMerge/>
            <w:shd w:val="clear" w:color="auto" w:fill="F4B29B" w:themeFill="accent1" w:themeFillTint="66"/>
            <w:vAlign w:val="center"/>
          </w:tcPr>
          <w:p w:rsidR="0005410E" w:rsidRPr="006D71C7" w:rsidRDefault="0005410E" w:rsidP="006D71C7">
            <w:pPr>
              <w:widowControl w:val="0"/>
              <w:autoSpaceDE w:val="0"/>
              <w:autoSpaceDN w:val="0"/>
              <w:adjustRightInd w:val="0"/>
              <w:spacing w:after="0"/>
              <w:ind w:left="102" w:right="-20"/>
              <w:jc w:val="both"/>
              <w:rPr>
                <w:szCs w:val="24"/>
              </w:rPr>
            </w:pPr>
          </w:p>
        </w:tc>
        <w:tc>
          <w:tcPr>
            <w:tcW w:w="4887" w:type="dxa"/>
            <w:shd w:val="clear" w:color="auto" w:fill="F9D8CD" w:themeFill="accent1" w:themeFillTint="33"/>
            <w:vAlign w:val="center"/>
          </w:tcPr>
          <w:p w:rsidR="0005410E" w:rsidRPr="006D71C7" w:rsidRDefault="0005410E" w:rsidP="006D71C7">
            <w:pPr>
              <w:widowControl w:val="0"/>
              <w:autoSpaceDE w:val="0"/>
              <w:autoSpaceDN w:val="0"/>
              <w:adjustRightInd w:val="0"/>
              <w:spacing w:after="0"/>
              <w:ind w:left="102" w:right="-20"/>
              <w:jc w:val="both"/>
              <w:rPr>
                <w:szCs w:val="24"/>
              </w:rPr>
            </w:pPr>
            <w:r w:rsidRPr="006D71C7">
              <w:rPr>
                <w:b/>
                <w:szCs w:val="24"/>
              </w:rPr>
              <w:t>O</w:t>
            </w:r>
            <w:r w:rsidRPr="006D71C7">
              <w:rPr>
                <w:b/>
                <w:spacing w:val="-1"/>
                <w:szCs w:val="24"/>
              </w:rPr>
              <w:t>k</w:t>
            </w:r>
            <w:r w:rsidRPr="006D71C7">
              <w:rPr>
                <w:b/>
                <w:spacing w:val="1"/>
                <w:szCs w:val="24"/>
              </w:rPr>
              <w:t>r</w:t>
            </w:r>
            <w:r w:rsidRPr="006D71C7">
              <w:rPr>
                <w:b/>
                <w:szCs w:val="24"/>
              </w:rPr>
              <w:t xml:space="preserve">es </w:t>
            </w:r>
            <w:r w:rsidRPr="006D71C7">
              <w:rPr>
                <w:b/>
                <w:spacing w:val="1"/>
                <w:szCs w:val="24"/>
              </w:rPr>
              <w:t>pro</w:t>
            </w:r>
            <w:r w:rsidRPr="006D71C7">
              <w:rPr>
                <w:b/>
                <w:spacing w:val="-1"/>
                <w:szCs w:val="24"/>
              </w:rPr>
              <w:t>g</w:t>
            </w:r>
            <w:r w:rsidRPr="006D71C7">
              <w:rPr>
                <w:b/>
                <w:spacing w:val="1"/>
                <w:szCs w:val="24"/>
              </w:rPr>
              <w:t>r</w:t>
            </w:r>
            <w:r w:rsidRPr="006D71C7">
              <w:rPr>
                <w:b/>
                <w:spacing w:val="3"/>
                <w:szCs w:val="24"/>
              </w:rPr>
              <w:t>a</w:t>
            </w:r>
            <w:r w:rsidRPr="006D71C7">
              <w:rPr>
                <w:b/>
                <w:spacing w:val="-4"/>
                <w:szCs w:val="24"/>
              </w:rPr>
              <w:t>m</w:t>
            </w:r>
            <w:r w:rsidRPr="006D71C7">
              <w:rPr>
                <w:b/>
                <w:spacing w:val="4"/>
                <w:szCs w:val="24"/>
              </w:rPr>
              <w:t>o</w:t>
            </w:r>
            <w:r w:rsidRPr="006D71C7">
              <w:rPr>
                <w:b/>
                <w:spacing w:val="-2"/>
                <w:szCs w:val="24"/>
              </w:rPr>
              <w:t>w</w:t>
            </w:r>
            <w:r w:rsidRPr="006D71C7">
              <w:rPr>
                <w:b/>
                <w:spacing w:val="3"/>
                <w:szCs w:val="24"/>
              </w:rPr>
              <w:t>a</w:t>
            </w:r>
            <w:r w:rsidRPr="006D71C7">
              <w:rPr>
                <w:b/>
                <w:spacing w:val="-1"/>
                <w:szCs w:val="24"/>
              </w:rPr>
              <w:t>n</w:t>
            </w:r>
            <w:r w:rsidRPr="006D71C7">
              <w:rPr>
                <w:b/>
                <w:szCs w:val="24"/>
              </w:rPr>
              <w:t>ia:</w:t>
            </w:r>
            <w:r w:rsidRPr="006D71C7">
              <w:rPr>
                <w:szCs w:val="24"/>
              </w:rPr>
              <w:t xml:space="preserve"> 2007 - 2013</w:t>
            </w:r>
          </w:p>
        </w:tc>
      </w:tr>
      <w:tr w:rsidR="0005410E" w:rsidRPr="006D71C7" w:rsidTr="00451CEE">
        <w:trPr>
          <w:trHeight w:hRule="exact" w:val="650"/>
        </w:trPr>
        <w:tc>
          <w:tcPr>
            <w:tcW w:w="4363" w:type="dxa"/>
            <w:vMerge/>
            <w:shd w:val="clear" w:color="auto" w:fill="F4B29B" w:themeFill="accent1" w:themeFillTint="66"/>
            <w:vAlign w:val="center"/>
          </w:tcPr>
          <w:p w:rsidR="0005410E" w:rsidRPr="006D71C7" w:rsidRDefault="0005410E" w:rsidP="006D71C7">
            <w:pPr>
              <w:widowControl w:val="0"/>
              <w:autoSpaceDE w:val="0"/>
              <w:autoSpaceDN w:val="0"/>
              <w:adjustRightInd w:val="0"/>
              <w:spacing w:after="0"/>
              <w:ind w:left="102" w:right="-20"/>
              <w:jc w:val="both"/>
              <w:rPr>
                <w:szCs w:val="24"/>
              </w:rPr>
            </w:pPr>
          </w:p>
        </w:tc>
        <w:tc>
          <w:tcPr>
            <w:tcW w:w="4887" w:type="dxa"/>
            <w:shd w:val="clear" w:color="auto" w:fill="F9D8CD" w:themeFill="accent1" w:themeFillTint="33"/>
            <w:vAlign w:val="center"/>
          </w:tcPr>
          <w:p w:rsidR="0005410E" w:rsidRPr="006D71C7" w:rsidRDefault="0005410E" w:rsidP="006D71C7">
            <w:pPr>
              <w:widowControl w:val="0"/>
              <w:autoSpaceDE w:val="0"/>
              <w:autoSpaceDN w:val="0"/>
              <w:adjustRightInd w:val="0"/>
              <w:spacing w:after="0"/>
              <w:ind w:left="102" w:right="-20"/>
              <w:jc w:val="both"/>
              <w:rPr>
                <w:szCs w:val="24"/>
              </w:rPr>
            </w:pPr>
            <w:r w:rsidRPr="006D71C7">
              <w:rPr>
                <w:b/>
                <w:szCs w:val="24"/>
              </w:rPr>
              <w:t>N</w:t>
            </w:r>
            <w:r w:rsidRPr="006D71C7">
              <w:rPr>
                <w:b/>
                <w:spacing w:val="1"/>
                <w:szCs w:val="24"/>
              </w:rPr>
              <w:t>u</w:t>
            </w:r>
            <w:r w:rsidRPr="006D71C7">
              <w:rPr>
                <w:b/>
                <w:spacing w:val="-1"/>
                <w:szCs w:val="24"/>
              </w:rPr>
              <w:t>m</w:t>
            </w:r>
            <w:r w:rsidRPr="006D71C7">
              <w:rPr>
                <w:b/>
                <w:szCs w:val="24"/>
              </w:rPr>
              <w:t>er</w:t>
            </w:r>
            <w:r w:rsidRPr="006D71C7">
              <w:rPr>
                <w:b/>
                <w:spacing w:val="1"/>
                <w:szCs w:val="24"/>
              </w:rPr>
              <w:t xml:space="preserve"> pro</w:t>
            </w:r>
            <w:r w:rsidRPr="006D71C7">
              <w:rPr>
                <w:b/>
                <w:spacing w:val="-1"/>
                <w:szCs w:val="24"/>
              </w:rPr>
              <w:t>g</w:t>
            </w:r>
            <w:r w:rsidRPr="006D71C7">
              <w:rPr>
                <w:b/>
                <w:spacing w:val="1"/>
                <w:szCs w:val="24"/>
              </w:rPr>
              <w:t>r</w:t>
            </w:r>
            <w:r w:rsidRPr="006D71C7">
              <w:rPr>
                <w:b/>
                <w:spacing w:val="3"/>
                <w:szCs w:val="24"/>
              </w:rPr>
              <w:t>a</w:t>
            </w:r>
            <w:r w:rsidRPr="006D71C7">
              <w:rPr>
                <w:b/>
                <w:spacing w:val="-4"/>
                <w:szCs w:val="24"/>
              </w:rPr>
              <w:t>m</w:t>
            </w:r>
            <w:r w:rsidRPr="006D71C7">
              <w:rPr>
                <w:b/>
                <w:szCs w:val="24"/>
              </w:rPr>
              <w:t>u</w:t>
            </w:r>
            <w:r w:rsidRPr="006D71C7">
              <w:rPr>
                <w:b/>
                <w:spacing w:val="-1"/>
                <w:szCs w:val="24"/>
              </w:rPr>
              <w:t xml:space="preserve"> </w:t>
            </w:r>
            <w:r w:rsidRPr="006D71C7">
              <w:rPr>
                <w:b/>
                <w:spacing w:val="1"/>
                <w:szCs w:val="24"/>
              </w:rPr>
              <w:t>(</w:t>
            </w:r>
            <w:r w:rsidRPr="006D71C7">
              <w:rPr>
                <w:b/>
                <w:spacing w:val="2"/>
                <w:szCs w:val="24"/>
              </w:rPr>
              <w:t>C</w:t>
            </w:r>
            <w:r w:rsidRPr="006D71C7">
              <w:rPr>
                <w:b/>
                <w:spacing w:val="-1"/>
                <w:szCs w:val="24"/>
              </w:rPr>
              <w:t>C</w:t>
            </w:r>
            <w:r w:rsidRPr="006D71C7">
              <w:rPr>
                <w:b/>
                <w:spacing w:val="1"/>
                <w:szCs w:val="24"/>
              </w:rPr>
              <w:t>I</w:t>
            </w:r>
            <w:r w:rsidRPr="006D71C7">
              <w:rPr>
                <w:b/>
                <w:szCs w:val="24"/>
              </w:rPr>
              <w:t>):</w:t>
            </w:r>
            <w:r w:rsidRPr="006D71C7">
              <w:rPr>
                <w:szCs w:val="24"/>
              </w:rPr>
              <w:t xml:space="preserve"> 2007PL161PO019</w:t>
            </w:r>
          </w:p>
        </w:tc>
      </w:tr>
      <w:tr w:rsidR="0005410E" w:rsidRPr="006D71C7" w:rsidTr="00451CEE">
        <w:trPr>
          <w:trHeight w:hRule="exact" w:val="1143"/>
        </w:trPr>
        <w:tc>
          <w:tcPr>
            <w:tcW w:w="4363" w:type="dxa"/>
            <w:vMerge/>
            <w:shd w:val="clear" w:color="auto" w:fill="F4B29B" w:themeFill="accent1" w:themeFillTint="66"/>
            <w:vAlign w:val="center"/>
          </w:tcPr>
          <w:p w:rsidR="0005410E" w:rsidRPr="006D71C7" w:rsidRDefault="0005410E" w:rsidP="006D71C7">
            <w:pPr>
              <w:widowControl w:val="0"/>
              <w:autoSpaceDE w:val="0"/>
              <w:autoSpaceDN w:val="0"/>
              <w:adjustRightInd w:val="0"/>
              <w:spacing w:after="0"/>
              <w:ind w:left="102" w:right="-20"/>
              <w:jc w:val="both"/>
              <w:rPr>
                <w:szCs w:val="24"/>
              </w:rPr>
            </w:pPr>
          </w:p>
        </w:tc>
        <w:tc>
          <w:tcPr>
            <w:tcW w:w="4887" w:type="dxa"/>
            <w:shd w:val="clear" w:color="auto" w:fill="F9D8CD" w:themeFill="accent1" w:themeFillTint="33"/>
            <w:vAlign w:val="center"/>
          </w:tcPr>
          <w:p w:rsidR="0005410E" w:rsidRPr="006D71C7" w:rsidRDefault="0005410E" w:rsidP="006D71C7">
            <w:pPr>
              <w:widowControl w:val="0"/>
              <w:autoSpaceDE w:val="0"/>
              <w:autoSpaceDN w:val="0"/>
              <w:adjustRightInd w:val="0"/>
              <w:spacing w:after="0"/>
              <w:ind w:left="102" w:right="-20"/>
              <w:jc w:val="both"/>
              <w:rPr>
                <w:szCs w:val="24"/>
              </w:rPr>
            </w:pPr>
            <w:r w:rsidRPr="006D71C7">
              <w:rPr>
                <w:b/>
                <w:szCs w:val="24"/>
              </w:rPr>
              <w:t>Na</w:t>
            </w:r>
            <w:r w:rsidRPr="006D71C7">
              <w:rPr>
                <w:b/>
                <w:spacing w:val="3"/>
                <w:szCs w:val="24"/>
              </w:rPr>
              <w:t>z</w:t>
            </w:r>
            <w:r w:rsidRPr="006D71C7">
              <w:rPr>
                <w:b/>
                <w:spacing w:val="-5"/>
                <w:szCs w:val="24"/>
              </w:rPr>
              <w:t>w</w:t>
            </w:r>
            <w:r w:rsidRPr="006D71C7">
              <w:rPr>
                <w:b/>
                <w:szCs w:val="24"/>
              </w:rPr>
              <w:t>a</w:t>
            </w:r>
            <w:r w:rsidRPr="006D71C7">
              <w:rPr>
                <w:b/>
                <w:spacing w:val="1"/>
                <w:szCs w:val="24"/>
              </w:rPr>
              <w:t xml:space="preserve"> pro</w:t>
            </w:r>
            <w:r w:rsidRPr="006D71C7">
              <w:rPr>
                <w:b/>
                <w:spacing w:val="-1"/>
                <w:szCs w:val="24"/>
              </w:rPr>
              <w:t>g</w:t>
            </w:r>
            <w:r w:rsidRPr="006D71C7">
              <w:rPr>
                <w:b/>
                <w:spacing w:val="1"/>
                <w:szCs w:val="24"/>
              </w:rPr>
              <w:t>r</w:t>
            </w:r>
            <w:r w:rsidRPr="006D71C7">
              <w:rPr>
                <w:b/>
                <w:spacing w:val="3"/>
                <w:szCs w:val="24"/>
              </w:rPr>
              <w:t>a</w:t>
            </w:r>
            <w:r w:rsidRPr="006D71C7">
              <w:rPr>
                <w:b/>
                <w:spacing w:val="-1"/>
                <w:szCs w:val="24"/>
              </w:rPr>
              <w:t>m</w:t>
            </w:r>
            <w:r w:rsidRPr="006D71C7">
              <w:rPr>
                <w:b/>
                <w:szCs w:val="24"/>
              </w:rPr>
              <w:t>u</w:t>
            </w:r>
            <w:r w:rsidRPr="006D71C7">
              <w:rPr>
                <w:szCs w:val="24"/>
              </w:rPr>
              <w:t>: Regionalny Program Operacyjny Województwa Śląskiego na lata 2007 - 2013</w:t>
            </w:r>
          </w:p>
        </w:tc>
      </w:tr>
      <w:tr w:rsidR="0005410E" w:rsidRPr="006D71C7" w:rsidTr="00451CEE">
        <w:trPr>
          <w:trHeight w:hRule="exact" w:val="684"/>
        </w:trPr>
        <w:tc>
          <w:tcPr>
            <w:tcW w:w="4363" w:type="dxa"/>
            <w:vMerge w:val="restart"/>
            <w:shd w:val="clear" w:color="auto" w:fill="F4B29B" w:themeFill="accent1" w:themeFillTint="66"/>
            <w:vAlign w:val="center"/>
          </w:tcPr>
          <w:p w:rsidR="0005410E" w:rsidRPr="006D71C7" w:rsidRDefault="0005410E" w:rsidP="006D71C7">
            <w:pPr>
              <w:widowControl w:val="0"/>
              <w:autoSpaceDE w:val="0"/>
              <w:autoSpaceDN w:val="0"/>
              <w:adjustRightInd w:val="0"/>
              <w:spacing w:after="0"/>
              <w:ind w:left="102" w:right="-20"/>
              <w:jc w:val="both"/>
              <w:rPr>
                <w:b/>
                <w:szCs w:val="24"/>
              </w:rPr>
            </w:pPr>
            <w:r w:rsidRPr="006D71C7">
              <w:rPr>
                <w:b/>
                <w:szCs w:val="24"/>
              </w:rPr>
              <w:t>S</w:t>
            </w:r>
            <w:r w:rsidRPr="006D71C7">
              <w:rPr>
                <w:b/>
                <w:spacing w:val="2"/>
                <w:szCs w:val="24"/>
              </w:rPr>
              <w:t>P</w:t>
            </w:r>
            <w:r w:rsidRPr="006D71C7">
              <w:rPr>
                <w:b/>
                <w:spacing w:val="-1"/>
                <w:szCs w:val="24"/>
              </w:rPr>
              <w:t>R</w:t>
            </w:r>
            <w:r w:rsidRPr="006D71C7">
              <w:rPr>
                <w:b/>
                <w:spacing w:val="-2"/>
                <w:szCs w:val="24"/>
              </w:rPr>
              <w:t>A</w:t>
            </w:r>
            <w:r w:rsidRPr="006D71C7">
              <w:rPr>
                <w:b/>
                <w:spacing w:val="2"/>
                <w:szCs w:val="24"/>
              </w:rPr>
              <w:t>W</w:t>
            </w:r>
            <w:r w:rsidRPr="006D71C7">
              <w:rPr>
                <w:b/>
                <w:spacing w:val="3"/>
                <w:szCs w:val="24"/>
              </w:rPr>
              <w:t>O</w:t>
            </w:r>
            <w:r w:rsidRPr="006D71C7">
              <w:rPr>
                <w:b/>
                <w:spacing w:val="-2"/>
                <w:szCs w:val="24"/>
              </w:rPr>
              <w:t>Z</w:t>
            </w:r>
            <w:r w:rsidRPr="006D71C7">
              <w:rPr>
                <w:b/>
                <w:spacing w:val="3"/>
                <w:szCs w:val="24"/>
              </w:rPr>
              <w:t>D</w:t>
            </w:r>
            <w:r w:rsidRPr="006D71C7">
              <w:rPr>
                <w:b/>
                <w:szCs w:val="24"/>
              </w:rPr>
              <w:t>AN</w:t>
            </w:r>
            <w:r w:rsidRPr="006D71C7">
              <w:rPr>
                <w:b/>
                <w:spacing w:val="1"/>
                <w:szCs w:val="24"/>
              </w:rPr>
              <w:t>I</w:t>
            </w:r>
            <w:r w:rsidRPr="006D71C7">
              <w:rPr>
                <w:b/>
                <w:szCs w:val="24"/>
              </w:rPr>
              <w:t>E</w:t>
            </w:r>
            <w:r w:rsidRPr="006D71C7">
              <w:rPr>
                <w:b/>
                <w:spacing w:val="1"/>
                <w:szCs w:val="24"/>
              </w:rPr>
              <w:t xml:space="preserve"> </w:t>
            </w:r>
            <w:r w:rsidRPr="006D71C7">
              <w:rPr>
                <w:b/>
                <w:spacing w:val="-1"/>
                <w:szCs w:val="24"/>
              </w:rPr>
              <w:t>R</w:t>
            </w:r>
            <w:r w:rsidRPr="006D71C7">
              <w:rPr>
                <w:b/>
                <w:spacing w:val="3"/>
                <w:szCs w:val="24"/>
              </w:rPr>
              <w:t>O</w:t>
            </w:r>
            <w:r w:rsidRPr="006D71C7">
              <w:rPr>
                <w:b/>
                <w:spacing w:val="2"/>
                <w:szCs w:val="24"/>
              </w:rPr>
              <w:t>C</w:t>
            </w:r>
            <w:r w:rsidRPr="006D71C7">
              <w:rPr>
                <w:b/>
                <w:spacing w:val="-2"/>
                <w:szCs w:val="24"/>
              </w:rPr>
              <w:t>Z</w:t>
            </w:r>
            <w:r w:rsidRPr="006D71C7">
              <w:rPr>
                <w:b/>
                <w:szCs w:val="24"/>
              </w:rPr>
              <w:t>N</w:t>
            </w:r>
            <w:r w:rsidRPr="006D71C7">
              <w:rPr>
                <w:b/>
                <w:spacing w:val="3"/>
                <w:szCs w:val="24"/>
              </w:rPr>
              <w:t>E</w:t>
            </w:r>
          </w:p>
          <w:p w:rsidR="0005410E" w:rsidRPr="006D71C7" w:rsidRDefault="0005410E" w:rsidP="006D71C7">
            <w:pPr>
              <w:widowControl w:val="0"/>
              <w:autoSpaceDE w:val="0"/>
              <w:autoSpaceDN w:val="0"/>
              <w:adjustRightInd w:val="0"/>
              <w:spacing w:after="0"/>
              <w:ind w:left="102" w:right="-20"/>
              <w:jc w:val="both"/>
              <w:rPr>
                <w:szCs w:val="24"/>
              </w:rPr>
            </w:pPr>
            <w:r w:rsidRPr="006D71C7">
              <w:rPr>
                <w:b/>
                <w:szCs w:val="24"/>
              </w:rPr>
              <w:t>Z</w:t>
            </w:r>
            <w:r w:rsidRPr="006D71C7">
              <w:rPr>
                <w:b/>
                <w:spacing w:val="-1"/>
                <w:szCs w:val="24"/>
              </w:rPr>
              <w:t xml:space="preserve"> </w:t>
            </w:r>
            <w:r w:rsidRPr="006D71C7">
              <w:rPr>
                <w:b/>
                <w:spacing w:val="2"/>
                <w:szCs w:val="24"/>
              </w:rPr>
              <w:t>W</w:t>
            </w:r>
            <w:r w:rsidRPr="006D71C7">
              <w:rPr>
                <w:b/>
                <w:szCs w:val="24"/>
              </w:rPr>
              <w:t>DRAŻANIA</w:t>
            </w:r>
            <w:r w:rsidRPr="006D71C7">
              <w:rPr>
                <w:b/>
                <w:spacing w:val="-2"/>
                <w:szCs w:val="24"/>
              </w:rPr>
              <w:t xml:space="preserve"> </w:t>
            </w:r>
            <w:r w:rsidRPr="006D71C7">
              <w:rPr>
                <w:b/>
                <w:spacing w:val="2"/>
                <w:szCs w:val="24"/>
              </w:rPr>
              <w:t>P</w:t>
            </w:r>
            <w:r w:rsidRPr="006D71C7">
              <w:rPr>
                <w:b/>
                <w:spacing w:val="-1"/>
                <w:szCs w:val="24"/>
              </w:rPr>
              <w:t>R</w:t>
            </w:r>
            <w:r w:rsidRPr="006D71C7">
              <w:rPr>
                <w:b/>
                <w:szCs w:val="24"/>
              </w:rPr>
              <w:t>OG</w:t>
            </w:r>
            <w:r w:rsidRPr="006D71C7">
              <w:rPr>
                <w:b/>
                <w:spacing w:val="2"/>
                <w:szCs w:val="24"/>
              </w:rPr>
              <w:t>R</w:t>
            </w:r>
            <w:r w:rsidRPr="006D71C7">
              <w:rPr>
                <w:b/>
                <w:szCs w:val="24"/>
              </w:rPr>
              <w:t>A</w:t>
            </w:r>
            <w:r w:rsidRPr="006D71C7">
              <w:rPr>
                <w:b/>
                <w:spacing w:val="3"/>
                <w:szCs w:val="24"/>
              </w:rPr>
              <w:t>M</w:t>
            </w:r>
            <w:r w:rsidRPr="006D71C7">
              <w:rPr>
                <w:b/>
                <w:szCs w:val="24"/>
              </w:rPr>
              <w:t>U</w:t>
            </w:r>
          </w:p>
        </w:tc>
        <w:tc>
          <w:tcPr>
            <w:tcW w:w="4887" w:type="dxa"/>
            <w:shd w:val="clear" w:color="auto" w:fill="F9D8CD" w:themeFill="accent1" w:themeFillTint="33"/>
            <w:vAlign w:val="center"/>
          </w:tcPr>
          <w:p w:rsidR="0005410E" w:rsidRPr="006D71C7" w:rsidRDefault="0005410E" w:rsidP="006D71C7">
            <w:pPr>
              <w:widowControl w:val="0"/>
              <w:autoSpaceDE w:val="0"/>
              <w:autoSpaceDN w:val="0"/>
              <w:adjustRightInd w:val="0"/>
              <w:spacing w:after="0"/>
              <w:ind w:left="102" w:right="-20"/>
              <w:jc w:val="both"/>
              <w:rPr>
                <w:szCs w:val="24"/>
              </w:rPr>
            </w:pPr>
            <w:r w:rsidRPr="006D71C7">
              <w:rPr>
                <w:b/>
                <w:spacing w:val="-1"/>
                <w:szCs w:val="24"/>
              </w:rPr>
              <w:t>R</w:t>
            </w:r>
            <w:r w:rsidRPr="006D71C7">
              <w:rPr>
                <w:b/>
                <w:spacing w:val="1"/>
                <w:szCs w:val="24"/>
              </w:rPr>
              <w:t>o</w:t>
            </w:r>
            <w:r w:rsidRPr="006D71C7">
              <w:rPr>
                <w:b/>
                <w:szCs w:val="24"/>
              </w:rPr>
              <w:t>k</w:t>
            </w:r>
            <w:r w:rsidRPr="006D71C7">
              <w:rPr>
                <w:b/>
                <w:spacing w:val="-1"/>
                <w:szCs w:val="24"/>
              </w:rPr>
              <w:t xml:space="preserve"> s</w:t>
            </w:r>
            <w:r w:rsidRPr="006D71C7">
              <w:rPr>
                <w:b/>
                <w:spacing w:val="1"/>
                <w:szCs w:val="24"/>
              </w:rPr>
              <w:t>pr</w:t>
            </w:r>
            <w:r w:rsidRPr="006D71C7">
              <w:rPr>
                <w:b/>
                <w:spacing w:val="3"/>
                <w:szCs w:val="24"/>
              </w:rPr>
              <w:t>a</w:t>
            </w:r>
            <w:r w:rsidRPr="006D71C7">
              <w:rPr>
                <w:b/>
                <w:spacing w:val="-5"/>
                <w:szCs w:val="24"/>
              </w:rPr>
              <w:t>w</w:t>
            </w:r>
            <w:r w:rsidRPr="006D71C7">
              <w:rPr>
                <w:b/>
                <w:spacing w:val="1"/>
                <w:szCs w:val="24"/>
              </w:rPr>
              <w:t>o</w:t>
            </w:r>
            <w:r w:rsidRPr="006D71C7">
              <w:rPr>
                <w:b/>
                <w:szCs w:val="24"/>
              </w:rPr>
              <w:t>z</w:t>
            </w:r>
            <w:r w:rsidRPr="006D71C7">
              <w:rPr>
                <w:b/>
                <w:spacing w:val="1"/>
                <w:szCs w:val="24"/>
              </w:rPr>
              <w:t>d</w:t>
            </w:r>
            <w:r w:rsidRPr="006D71C7">
              <w:rPr>
                <w:b/>
                <w:spacing w:val="3"/>
                <w:szCs w:val="24"/>
              </w:rPr>
              <w:t>a</w:t>
            </w:r>
            <w:r w:rsidRPr="006D71C7">
              <w:rPr>
                <w:b/>
                <w:spacing w:val="-2"/>
                <w:szCs w:val="24"/>
              </w:rPr>
              <w:t>w</w:t>
            </w:r>
            <w:r w:rsidRPr="006D71C7">
              <w:rPr>
                <w:b/>
                <w:szCs w:val="24"/>
              </w:rPr>
              <w:t>c</w:t>
            </w:r>
            <w:r w:rsidRPr="006D71C7">
              <w:rPr>
                <w:b/>
                <w:spacing w:val="3"/>
                <w:szCs w:val="24"/>
              </w:rPr>
              <w:t>z</w:t>
            </w:r>
            <w:r w:rsidRPr="006D71C7">
              <w:rPr>
                <w:b/>
                <w:szCs w:val="24"/>
              </w:rPr>
              <w:t>y:</w:t>
            </w:r>
            <w:r w:rsidR="00E62AD3" w:rsidRPr="006D71C7">
              <w:rPr>
                <w:szCs w:val="24"/>
              </w:rPr>
              <w:t xml:space="preserve"> 201</w:t>
            </w:r>
            <w:r w:rsidR="00393D78" w:rsidRPr="006D71C7">
              <w:rPr>
                <w:szCs w:val="24"/>
              </w:rPr>
              <w:t>1</w:t>
            </w:r>
          </w:p>
        </w:tc>
      </w:tr>
      <w:tr w:rsidR="0005410E" w:rsidRPr="006D71C7" w:rsidTr="00451CEE">
        <w:trPr>
          <w:trHeight w:hRule="exact" w:val="1440"/>
        </w:trPr>
        <w:tc>
          <w:tcPr>
            <w:tcW w:w="4363" w:type="dxa"/>
            <w:vMerge/>
            <w:shd w:val="clear" w:color="auto" w:fill="F4B29B" w:themeFill="accent1" w:themeFillTint="66"/>
            <w:vAlign w:val="center"/>
          </w:tcPr>
          <w:p w:rsidR="0005410E" w:rsidRPr="006D71C7" w:rsidRDefault="0005410E" w:rsidP="006D71C7">
            <w:pPr>
              <w:widowControl w:val="0"/>
              <w:autoSpaceDE w:val="0"/>
              <w:autoSpaceDN w:val="0"/>
              <w:adjustRightInd w:val="0"/>
              <w:spacing w:after="0"/>
              <w:ind w:left="102" w:right="-20"/>
              <w:jc w:val="both"/>
              <w:rPr>
                <w:szCs w:val="24"/>
              </w:rPr>
            </w:pPr>
          </w:p>
        </w:tc>
        <w:tc>
          <w:tcPr>
            <w:tcW w:w="4887" w:type="dxa"/>
            <w:shd w:val="clear" w:color="auto" w:fill="F9D8CD" w:themeFill="accent1" w:themeFillTint="33"/>
            <w:vAlign w:val="center"/>
          </w:tcPr>
          <w:p w:rsidR="0005410E" w:rsidRPr="006D71C7" w:rsidRDefault="0005410E" w:rsidP="006D71C7">
            <w:pPr>
              <w:widowControl w:val="0"/>
              <w:autoSpaceDE w:val="0"/>
              <w:autoSpaceDN w:val="0"/>
              <w:adjustRightInd w:val="0"/>
              <w:spacing w:after="0"/>
              <w:ind w:left="102" w:right="-20"/>
              <w:jc w:val="both"/>
              <w:rPr>
                <w:b/>
                <w:szCs w:val="24"/>
              </w:rPr>
            </w:pPr>
            <w:r w:rsidRPr="006D71C7">
              <w:rPr>
                <w:b/>
                <w:szCs w:val="24"/>
              </w:rPr>
              <w:t>Data</w:t>
            </w:r>
            <w:r w:rsidRPr="006D71C7">
              <w:rPr>
                <w:b/>
                <w:spacing w:val="1"/>
                <w:szCs w:val="24"/>
              </w:rPr>
              <w:t xml:space="preserve"> </w:t>
            </w:r>
            <w:r w:rsidRPr="006D71C7">
              <w:rPr>
                <w:b/>
                <w:szCs w:val="24"/>
              </w:rPr>
              <w:t>zaa</w:t>
            </w:r>
            <w:r w:rsidRPr="006D71C7">
              <w:rPr>
                <w:b/>
                <w:spacing w:val="-1"/>
                <w:szCs w:val="24"/>
              </w:rPr>
              <w:t>k</w:t>
            </w:r>
            <w:r w:rsidRPr="006D71C7">
              <w:rPr>
                <w:b/>
                <w:szCs w:val="24"/>
              </w:rPr>
              <w:t>ce</w:t>
            </w:r>
            <w:r w:rsidRPr="006D71C7">
              <w:rPr>
                <w:b/>
                <w:spacing w:val="1"/>
                <w:szCs w:val="24"/>
              </w:rPr>
              <w:t>p</w:t>
            </w:r>
            <w:r w:rsidRPr="006D71C7">
              <w:rPr>
                <w:b/>
                <w:szCs w:val="24"/>
              </w:rPr>
              <w:t>t</w:t>
            </w:r>
            <w:r w:rsidRPr="006D71C7">
              <w:rPr>
                <w:b/>
                <w:spacing w:val="4"/>
                <w:szCs w:val="24"/>
              </w:rPr>
              <w:t>o</w:t>
            </w:r>
            <w:r w:rsidRPr="006D71C7">
              <w:rPr>
                <w:b/>
                <w:spacing w:val="-5"/>
                <w:szCs w:val="24"/>
              </w:rPr>
              <w:t>w</w:t>
            </w:r>
            <w:r w:rsidRPr="006D71C7">
              <w:rPr>
                <w:b/>
                <w:spacing w:val="3"/>
                <w:szCs w:val="24"/>
              </w:rPr>
              <w:t>a</w:t>
            </w:r>
            <w:r w:rsidRPr="006D71C7">
              <w:rPr>
                <w:b/>
                <w:spacing w:val="-1"/>
                <w:szCs w:val="24"/>
              </w:rPr>
              <w:t>n</w:t>
            </w:r>
            <w:r w:rsidRPr="006D71C7">
              <w:rPr>
                <w:b/>
                <w:szCs w:val="24"/>
              </w:rPr>
              <w:t>ia</w:t>
            </w:r>
            <w:r w:rsidRPr="006D71C7">
              <w:rPr>
                <w:b/>
                <w:spacing w:val="3"/>
                <w:szCs w:val="24"/>
              </w:rPr>
              <w:t xml:space="preserve"> </w:t>
            </w:r>
            <w:r w:rsidR="00E62AD3" w:rsidRPr="006D71C7">
              <w:rPr>
                <w:b/>
                <w:spacing w:val="-1"/>
                <w:szCs w:val="24"/>
              </w:rPr>
              <w:t>s</w:t>
            </w:r>
            <w:r w:rsidR="009044AB" w:rsidRPr="006D71C7">
              <w:rPr>
                <w:b/>
                <w:spacing w:val="1"/>
                <w:szCs w:val="24"/>
              </w:rPr>
              <w:t>pr</w:t>
            </w:r>
            <w:r w:rsidR="009044AB" w:rsidRPr="006D71C7">
              <w:rPr>
                <w:b/>
                <w:spacing w:val="3"/>
                <w:szCs w:val="24"/>
              </w:rPr>
              <w:t>a</w:t>
            </w:r>
            <w:r w:rsidR="009044AB" w:rsidRPr="006D71C7">
              <w:rPr>
                <w:b/>
                <w:spacing w:val="-5"/>
                <w:szCs w:val="24"/>
              </w:rPr>
              <w:t>w</w:t>
            </w:r>
            <w:r w:rsidR="009044AB" w:rsidRPr="006D71C7">
              <w:rPr>
                <w:b/>
                <w:spacing w:val="1"/>
                <w:szCs w:val="24"/>
              </w:rPr>
              <w:t>o</w:t>
            </w:r>
            <w:r w:rsidR="009044AB" w:rsidRPr="006D71C7">
              <w:rPr>
                <w:b/>
                <w:spacing w:val="3"/>
                <w:szCs w:val="24"/>
              </w:rPr>
              <w:t>z</w:t>
            </w:r>
            <w:r w:rsidR="009044AB" w:rsidRPr="006D71C7">
              <w:rPr>
                <w:b/>
                <w:spacing w:val="1"/>
                <w:szCs w:val="24"/>
              </w:rPr>
              <w:t>d</w:t>
            </w:r>
            <w:r w:rsidR="009044AB" w:rsidRPr="006D71C7">
              <w:rPr>
                <w:b/>
                <w:szCs w:val="24"/>
              </w:rPr>
              <w:t>a</w:t>
            </w:r>
            <w:r w:rsidR="009044AB" w:rsidRPr="006D71C7">
              <w:rPr>
                <w:b/>
                <w:spacing w:val="-1"/>
                <w:szCs w:val="24"/>
              </w:rPr>
              <w:t>n</w:t>
            </w:r>
            <w:r w:rsidR="009044AB" w:rsidRPr="006D71C7">
              <w:rPr>
                <w:b/>
                <w:szCs w:val="24"/>
              </w:rPr>
              <w:t>ia</w:t>
            </w:r>
            <w:r w:rsidRPr="006D71C7">
              <w:rPr>
                <w:b/>
                <w:spacing w:val="1"/>
                <w:szCs w:val="24"/>
              </w:rPr>
              <w:t xml:space="preserve"> pr</w:t>
            </w:r>
            <w:r w:rsidRPr="006D71C7">
              <w:rPr>
                <w:b/>
                <w:szCs w:val="24"/>
              </w:rPr>
              <w:t>zez</w:t>
            </w:r>
            <w:r w:rsidRPr="006D71C7">
              <w:rPr>
                <w:b/>
                <w:spacing w:val="1"/>
                <w:szCs w:val="24"/>
              </w:rPr>
              <w:t xml:space="preserve"> </w:t>
            </w:r>
            <w:r w:rsidR="00E62AD3" w:rsidRPr="006D71C7">
              <w:rPr>
                <w:b/>
                <w:spacing w:val="-1"/>
                <w:szCs w:val="24"/>
              </w:rPr>
              <w:t>K</w:t>
            </w:r>
            <w:r w:rsidRPr="006D71C7">
              <w:rPr>
                <w:b/>
                <w:spacing w:val="4"/>
                <w:szCs w:val="24"/>
              </w:rPr>
              <w:t>o</w:t>
            </w:r>
            <w:r w:rsidRPr="006D71C7">
              <w:rPr>
                <w:b/>
                <w:spacing w:val="-4"/>
                <w:szCs w:val="24"/>
              </w:rPr>
              <w:t>m</w:t>
            </w:r>
            <w:r w:rsidRPr="006D71C7">
              <w:rPr>
                <w:b/>
                <w:szCs w:val="24"/>
              </w:rPr>
              <w:t>itet</w:t>
            </w:r>
            <w:r w:rsidRPr="006D71C7">
              <w:rPr>
                <w:b/>
                <w:spacing w:val="3"/>
                <w:szCs w:val="24"/>
              </w:rPr>
              <w:t xml:space="preserve"> </w:t>
            </w:r>
            <w:r w:rsidR="00E62AD3" w:rsidRPr="006D71C7">
              <w:rPr>
                <w:b/>
                <w:spacing w:val="-4"/>
                <w:szCs w:val="24"/>
              </w:rPr>
              <w:t>M</w:t>
            </w:r>
            <w:r w:rsidRPr="006D71C7">
              <w:rPr>
                <w:b/>
                <w:spacing w:val="4"/>
                <w:szCs w:val="24"/>
              </w:rPr>
              <w:t>o</w:t>
            </w:r>
            <w:r w:rsidRPr="006D71C7">
              <w:rPr>
                <w:b/>
                <w:spacing w:val="-1"/>
                <w:szCs w:val="24"/>
              </w:rPr>
              <w:t>n</w:t>
            </w:r>
            <w:r w:rsidRPr="006D71C7">
              <w:rPr>
                <w:b/>
                <w:szCs w:val="24"/>
              </w:rPr>
              <w:t>it</w:t>
            </w:r>
            <w:r w:rsidRPr="006D71C7">
              <w:rPr>
                <w:b/>
                <w:spacing w:val="1"/>
                <w:szCs w:val="24"/>
              </w:rPr>
              <w:t>o</w:t>
            </w:r>
            <w:r w:rsidRPr="006D71C7">
              <w:rPr>
                <w:b/>
                <w:spacing w:val="3"/>
                <w:szCs w:val="24"/>
              </w:rPr>
              <w:t>r</w:t>
            </w:r>
            <w:r w:rsidRPr="006D71C7">
              <w:rPr>
                <w:b/>
                <w:spacing w:val="-1"/>
                <w:szCs w:val="24"/>
              </w:rPr>
              <w:t>u</w:t>
            </w:r>
            <w:r w:rsidRPr="006D71C7">
              <w:rPr>
                <w:b/>
                <w:spacing w:val="2"/>
                <w:szCs w:val="24"/>
              </w:rPr>
              <w:t>j</w:t>
            </w:r>
            <w:r w:rsidRPr="006D71C7">
              <w:rPr>
                <w:b/>
                <w:szCs w:val="24"/>
              </w:rPr>
              <w:t>ą</w:t>
            </w:r>
            <w:r w:rsidRPr="006D71C7">
              <w:rPr>
                <w:b/>
                <w:spacing w:val="3"/>
                <w:szCs w:val="24"/>
              </w:rPr>
              <w:t>c</w:t>
            </w:r>
            <w:r w:rsidRPr="006D71C7">
              <w:rPr>
                <w:b/>
                <w:szCs w:val="24"/>
              </w:rPr>
              <w:t xml:space="preserve">y: </w:t>
            </w:r>
            <w:r w:rsidR="008E0057" w:rsidRPr="008E0057">
              <w:rPr>
                <w:szCs w:val="24"/>
              </w:rPr>
              <w:t>15 czerwca 2012 roku</w:t>
            </w:r>
          </w:p>
        </w:tc>
      </w:tr>
    </w:tbl>
    <w:p w:rsidR="0005410E" w:rsidRPr="006D71C7" w:rsidRDefault="0005410E" w:rsidP="006D71C7">
      <w:pPr>
        <w:widowControl w:val="0"/>
        <w:autoSpaceDE w:val="0"/>
        <w:autoSpaceDN w:val="0"/>
        <w:adjustRightInd w:val="0"/>
        <w:spacing w:after="0"/>
        <w:jc w:val="both"/>
        <w:rPr>
          <w:szCs w:val="24"/>
        </w:rPr>
      </w:pPr>
    </w:p>
    <w:p w:rsidR="0005410E" w:rsidRPr="006D71C7" w:rsidRDefault="0005410E" w:rsidP="006D71C7">
      <w:pPr>
        <w:widowControl w:val="0"/>
        <w:autoSpaceDE w:val="0"/>
        <w:autoSpaceDN w:val="0"/>
        <w:adjustRightInd w:val="0"/>
        <w:spacing w:after="0"/>
        <w:jc w:val="both"/>
        <w:rPr>
          <w:szCs w:val="24"/>
        </w:rPr>
      </w:pPr>
      <w:r w:rsidRPr="006D71C7">
        <w:rPr>
          <w:szCs w:val="24"/>
        </w:rPr>
        <w:t>Wszystkie dane finansowe przedstawione w</w:t>
      </w:r>
      <w:r w:rsidR="00E90396" w:rsidRPr="006D71C7">
        <w:rPr>
          <w:szCs w:val="24"/>
        </w:rPr>
        <w:t xml:space="preserve"> niniejszym</w:t>
      </w:r>
      <w:r w:rsidRPr="006D71C7">
        <w:rPr>
          <w:szCs w:val="24"/>
        </w:rPr>
        <w:t xml:space="preserve"> </w:t>
      </w:r>
      <w:r w:rsidRPr="006D71C7">
        <w:rPr>
          <w:i/>
          <w:szCs w:val="24"/>
        </w:rPr>
        <w:t>Sprawozdaniu</w:t>
      </w:r>
      <w:r w:rsidR="00E90396" w:rsidRPr="006D71C7">
        <w:rPr>
          <w:szCs w:val="24"/>
        </w:rPr>
        <w:t xml:space="preserve"> zostały zaprezentowane w EUR</w:t>
      </w:r>
      <w:r w:rsidRPr="006D71C7">
        <w:rPr>
          <w:szCs w:val="24"/>
        </w:rPr>
        <w:t xml:space="preserve"> - </w:t>
      </w:r>
      <w:r w:rsidR="00393D78" w:rsidRPr="006D71C7">
        <w:t>tj. 1 EUR = 4,5270</w:t>
      </w:r>
      <w:r w:rsidRPr="006D71C7">
        <w:t xml:space="preserve"> PLN.</w:t>
      </w:r>
    </w:p>
    <w:p w:rsidR="0005410E" w:rsidRPr="006D71C7" w:rsidRDefault="0005410E" w:rsidP="006D71C7">
      <w:pPr>
        <w:pStyle w:val="Nagwek1"/>
        <w:numPr>
          <w:ilvl w:val="0"/>
          <w:numId w:val="0"/>
        </w:numPr>
        <w:ind w:left="432" w:hanging="432"/>
        <w:jc w:val="both"/>
        <w:rPr>
          <w:b w:val="0"/>
          <w:bCs w:val="0"/>
          <w:szCs w:val="24"/>
        </w:rPr>
      </w:pPr>
      <w:r w:rsidRPr="006D71C7">
        <w:rPr>
          <w:b w:val="0"/>
          <w:bCs w:val="0"/>
          <w:szCs w:val="24"/>
        </w:rPr>
        <w:br w:type="page"/>
      </w:r>
    </w:p>
    <w:p w:rsidR="0005410E" w:rsidRPr="006D71C7" w:rsidRDefault="00D96EC4" w:rsidP="00BA2FE7">
      <w:pPr>
        <w:pStyle w:val="Nagwek1"/>
        <w:numPr>
          <w:ilvl w:val="0"/>
          <w:numId w:val="30"/>
        </w:numPr>
        <w:spacing w:after="120"/>
        <w:jc w:val="both"/>
        <w:rPr>
          <w:szCs w:val="24"/>
        </w:rPr>
      </w:pPr>
      <w:bookmarkStart w:id="10" w:name="_Toc292789227"/>
      <w:bookmarkStart w:id="11" w:name="_Toc292793517"/>
      <w:bookmarkStart w:id="12" w:name="_Toc327259205"/>
      <w:r w:rsidRPr="006D71C7">
        <w:rPr>
          <w:spacing w:val="-3"/>
          <w:szCs w:val="24"/>
        </w:rPr>
        <w:t>PRZEGLĄD REALIZACJI RPO WSL</w:t>
      </w:r>
      <w:bookmarkEnd w:id="10"/>
      <w:bookmarkEnd w:id="11"/>
      <w:bookmarkEnd w:id="12"/>
      <w:r w:rsidRPr="006D71C7">
        <w:rPr>
          <w:spacing w:val="-3"/>
          <w:szCs w:val="24"/>
        </w:rPr>
        <w:t xml:space="preserve"> </w:t>
      </w:r>
    </w:p>
    <w:p w:rsidR="00BE5BAB" w:rsidRPr="006D71C7" w:rsidRDefault="00BE5BAB" w:rsidP="006D71C7">
      <w:pPr>
        <w:spacing w:after="0"/>
        <w:jc w:val="both"/>
        <w:rPr>
          <w:szCs w:val="24"/>
        </w:rPr>
      </w:pPr>
      <w:r w:rsidRPr="006D71C7">
        <w:rPr>
          <w:szCs w:val="24"/>
        </w:rPr>
        <w:t xml:space="preserve">RPO WSL to </w:t>
      </w:r>
      <w:r w:rsidRPr="006D71C7">
        <w:rPr>
          <w:bCs/>
          <w:szCs w:val="24"/>
        </w:rPr>
        <w:t>drugi pod względem wielkości środków program regionalny w Polsce</w:t>
      </w:r>
      <w:r w:rsidRPr="006D71C7">
        <w:rPr>
          <w:szCs w:val="24"/>
        </w:rPr>
        <w:t xml:space="preserve">. Za jego realizację odpowiada </w:t>
      </w:r>
      <w:r w:rsidRPr="006D71C7">
        <w:rPr>
          <w:bCs/>
          <w:szCs w:val="24"/>
        </w:rPr>
        <w:t>Zarząd Województwa Śląskiego</w:t>
      </w:r>
      <w:r w:rsidRPr="006D71C7">
        <w:rPr>
          <w:szCs w:val="24"/>
        </w:rPr>
        <w:t xml:space="preserve"> jako Instytucja Zarządzająca (IZ), a </w:t>
      </w:r>
      <w:r w:rsidRPr="006D71C7">
        <w:rPr>
          <w:bCs/>
          <w:szCs w:val="24"/>
        </w:rPr>
        <w:t>zadania wykonują</w:t>
      </w:r>
      <w:r w:rsidRPr="006D71C7">
        <w:rPr>
          <w:szCs w:val="24"/>
        </w:rPr>
        <w:t>:</w:t>
      </w:r>
    </w:p>
    <w:p w:rsidR="00BE5BAB" w:rsidRPr="006D71C7" w:rsidRDefault="00BE5BAB" w:rsidP="00BA2FE7">
      <w:pPr>
        <w:pStyle w:val="Akapitzlist"/>
        <w:numPr>
          <w:ilvl w:val="0"/>
          <w:numId w:val="40"/>
        </w:numPr>
        <w:spacing w:after="0"/>
        <w:jc w:val="both"/>
        <w:rPr>
          <w:szCs w:val="24"/>
        </w:rPr>
      </w:pPr>
      <w:r w:rsidRPr="006D71C7">
        <w:rPr>
          <w:szCs w:val="24"/>
        </w:rPr>
        <w:t>Wydział Rozwoju Regionalnego w Urzędzie Marszałkowskim - wdrażanie priorytetów skierowanych przede wszystkim do jednostek samorządu terytorialnego,</w:t>
      </w:r>
    </w:p>
    <w:p w:rsidR="00BE5BAB" w:rsidRPr="006D71C7" w:rsidRDefault="00BE5BAB" w:rsidP="00BA2FE7">
      <w:pPr>
        <w:pStyle w:val="Akapitzlist"/>
        <w:numPr>
          <w:ilvl w:val="0"/>
          <w:numId w:val="40"/>
        </w:numPr>
        <w:spacing w:after="120"/>
        <w:ind w:left="714" w:hanging="357"/>
        <w:jc w:val="both"/>
        <w:rPr>
          <w:szCs w:val="24"/>
        </w:rPr>
      </w:pPr>
      <w:r w:rsidRPr="006D71C7">
        <w:rPr>
          <w:szCs w:val="24"/>
        </w:rPr>
        <w:t xml:space="preserve">Śląskie Centrum Przedsiębiorczości (ŚCP) - wdrażanie </w:t>
      </w:r>
      <w:r w:rsidR="00222605" w:rsidRPr="006D71C7">
        <w:rPr>
          <w:szCs w:val="24"/>
        </w:rPr>
        <w:t xml:space="preserve">działań </w:t>
      </w:r>
      <w:r w:rsidRPr="006D71C7">
        <w:rPr>
          <w:szCs w:val="24"/>
        </w:rPr>
        <w:t>skierowanych do przedsiębiorców.</w:t>
      </w:r>
    </w:p>
    <w:p w:rsidR="00BE5BAB" w:rsidRPr="006D71C7" w:rsidRDefault="00BE5BAB" w:rsidP="006D71C7">
      <w:pPr>
        <w:autoSpaceDE w:val="0"/>
        <w:autoSpaceDN w:val="0"/>
        <w:adjustRightInd w:val="0"/>
        <w:spacing w:after="120"/>
        <w:jc w:val="both"/>
        <w:rPr>
          <w:szCs w:val="24"/>
        </w:rPr>
      </w:pPr>
      <w:r w:rsidRPr="006D71C7">
        <w:rPr>
          <w:szCs w:val="24"/>
        </w:rPr>
        <w:t>Głównym celem RPO WSL jest stymulowanie dynamicznego rozwoju, przy wzmocnieniu spójności społecznej, gospodarczej i p</w:t>
      </w:r>
      <w:r w:rsidR="00DA56FE">
        <w:rPr>
          <w:szCs w:val="24"/>
        </w:rPr>
        <w:t>rzestrzennej regionu. Zgodnie z </w:t>
      </w:r>
      <w:r w:rsidRPr="006D71C7">
        <w:rPr>
          <w:szCs w:val="24"/>
        </w:rPr>
        <w:t xml:space="preserve">celem głównym wybrane </w:t>
      </w:r>
      <w:r w:rsidR="00E90396" w:rsidRPr="006D71C7">
        <w:rPr>
          <w:szCs w:val="24"/>
        </w:rPr>
        <w:t>zostały p</w:t>
      </w:r>
      <w:r w:rsidRPr="006D71C7">
        <w:rPr>
          <w:szCs w:val="24"/>
        </w:rPr>
        <w:t>riorytety odpowiadaj</w:t>
      </w:r>
      <w:r w:rsidRPr="006D71C7">
        <w:rPr>
          <w:rFonts w:eastAsia="TimesNewRoman"/>
          <w:szCs w:val="24"/>
        </w:rPr>
        <w:t>ą</w:t>
      </w:r>
      <w:r w:rsidRPr="006D71C7">
        <w:rPr>
          <w:szCs w:val="24"/>
        </w:rPr>
        <w:t>ce obszarom, które maj</w:t>
      </w:r>
      <w:r w:rsidRPr="006D71C7">
        <w:rPr>
          <w:rFonts w:eastAsia="TimesNewRoman"/>
          <w:szCs w:val="24"/>
        </w:rPr>
        <w:t xml:space="preserve">ą </w:t>
      </w:r>
      <w:r w:rsidRPr="006D71C7">
        <w:rPr>
          <w:szCs w:val="24"/>
        </w:rPr>
        <w:t xml:space="preserve">podstawowe znaczenie dla dynamicznego rozwoju regionu. </w:t>
      </w:r>
    </w:p>
    <w:p w:rsidR="00BE5BAB" w:rsidRPr="006D71C7" w:rsidRDefault="00393D78" w:rsidP="006D71C7">
      <w:pPr>
        <w:autoSpaceDE w:val="0"/>
        <w:autoSpaceDN w:val="0"/>
        <w:adjustRightInd w:val="0"/>
        <w:spacing w:after="0"/>
        <w:jc w:val="both"/>
        <w:rPr>
          <w:rStyle w:val="Pogrubienie"/>
          <w:b w:val="0"/>
          <w:szCs w:val="24"/>
        </w:rPr>
      </w:pPr>
      <w:r w:rsidRPr="006D71C7">
        <w:rPr>
          <w:szCs w:val="24"/>
        </w:rPr>
        <w:t>W ramach realizacji RPO WSL zostanie zaang</w:t>
      </w:r>
      <w:r w:rsidR="00DA56FE">
        <w:rPr>
          <w:szCs w:val="24"/>
        </w:rPr>
        <w:t>ażowanych 1 747 104 507 EUR, ze </w:t>
      </w:r>
      <w:r w:rsidRPr="006D71C7">
        <w:rPr>
          <w:szCs w:val="24"/>
        </w:rPr>
        <w:t xml:space="preserve">środków </w:t>
      </w:r>
      <w:r w:rsidR="00BE5BAB" w:rsidRPr="006D71C7">
        <w:rPr>
          <w:szCs w:val="24"/>
        </w:rPr>
        <w:t xml:space="preserve">wspólnotowych. Poniżej </w:t>
      </w:r>
      <w:r w:rsidR="00BE5BAB" w:rsidRPr="006D71C7">
        <w:rPr>
          <w:rStyle w:val="Pogrubienie"/>
          <w:b w:val="0"/>
          <w:szCs w:val="24"/>
        </w:rPr>
        <w:t>p</w:t>
      </w:r>
      <w:r w:rsidR="00E90396" w:rsidRPr="006D71C7">
        <w:rPr>
          <w:rStyle w:val="Pogrubienie"/>
          <w:b w:val="0"/>
          <w:szCs w:val="24"/>
        </w:rPr>
        <w:t>odział środków na p</w:t>
      </w:r>
      <w:r w:rsidR="00BE5BAB" w:rsidRPr="006D71C7">
        <w:rPr>
          <w:rStyle w:val="Pogrubienie"/>
          <w:b w:val="0"/>
          <w:szCs w:val="24"/>
        </w:rPr>
        <w:t>riorytety (obszary wsparcia).</w:t>
      </w:r>
    </w:p>
    <w:p w:rsidR="00BE5BAB" w:rsidRPr="006D71C7" w:rsidRDefault="00BE5BAB" w:rsidP="006D71C7">
      <w:pPr>
        <w:autoSpaceDE w:val="0"/>
        <w:autoSpaceDN w:val="0"/>
        <w:adjustRightInd w:val="0"/>
        <w:spacing w:after="0"/>
        <w:jc w:val="both"/>
        <w:rPr>
          <w:szCs w:val="24"/>
        </w:rPr>
      </w:pPr>
    </w:p>
    <w:p w:rsidR="00BC1CDC" w:rsidRPr="006D71C7" w:rsidRDefault="00BC1CDC" w:rsidP="006D71C7">
      <w:pPr>
        <w:autoSpaceDE w:val="0"/>
        <w:autoSpaceDN w:val="0"/>
        <w:adjustRightInd w:val="0"/>
        <w:spacing w:after="0"/>
        <w:jc w:val="both"/>
        <w:rPr>
          <w:szCs w:val="24"/>
        </w:rPr>
      </w:pPr>
      <w:r w:rsidRPr="006D71C7">
        <w:rPr>
          <w:noProof/>
          <w:szCs w:val="24"/>
        </w:rPr>
        <w:drawing>
          <wp:inline distT="0" distB="0" distL="0" distR="0">
            <wp:extent cx="5029199" cy="4781549"/>
            <wp:effectExtent l="57150" t="57150" r="76835" b="153035"/>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0531D" w:rsidRPr="006D71C7" w:rsidRDefault="00DD0C20" w:rsidP="006D71C7">
      <w:pPr>
        <w:pStyle w:val="Legenda"/>
        <w:jc w:val="both"/>
        <w:rPr>
          <w:color w:val="auto"/>
          <w:sz w:val="20"/>
          <w:szCs w:val="20"/>
        </w:rPr>
      </w:pPr>
      <w:bookmarkStart w:id="13" w:name="_Toc324786921"/>
      <w:bookmarkStart w:id="14" w:name="_Toc324854685"/>
      <w:bookmarkStart w:id="15" w:name="_Toc324854749"/>
      <w:bookmarkStart w:id="16" w:name="_Toc326055319"/>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w:t>
      </w:r>
      <w:r w:rsidR="008F7228">
        <w:rPr>
          <w:color w:val="auto"/>
          <w:sz w:val="20"/>
          <w:szCs w:val="20"/>
        </w:rPr>
        <w:fldChar w:fldCharType="end"/>
      </w:r>
      <w:r w:rsidR="00BE5BAB" w:rsidRPr="006D71C7">
        <w:rPr>
          <w:color w:val="auto"/>
          <w:sz w:val="20"/>
          <w:szCs w:val="20"/>
        </w:rPr>
        <w:t xml:space="preserve"> </w:t>
      </w:r>
      <w:r w:rsidR="00107D86" w:rsidRPr="006D71C7">
        <w:rPr>
          <w:b w:val="0"/>
          <w:i/>
          <w:color w:val="auto"/>
          <w:sz w:val="20"/>
          <w:szCs w:val="20"/>
        </w:rPr>
        <w:t xml:space="preserve">Podział środków </w:t>
      </w:r>
      <w:r w:rsidR="0072450D" w:rsidRPr="006D71C7">
        <w:rPr>
          <w:b w:val="0"/>
          <w:i/>
          <w:color w:val="auto"/>
          <w:sz w:val="20"/>
          <w:szCs w:val="20"/>
        </w:rPr>
        <w:t xml:space="preserve">RPO WSL </w:t>
      </w:r>
      <w:r w:rsidR="00107D86" w:rsidRPr="006D71C7">
        <w:rPr>
          <w:b w:val="0"/>
          <w:i/>
          <w:color w:val="auto"/>
          <w:sz w:val="20"/>
          <w:szCs w:val="20"/>
        </w:rPr>
        <w:t xml:space="preserve">na </w:t>
      </w:r>
      <w:bookmarkStart w:id="17" w:name="_Toc260041400"/>
      <w:bookmarkStart w:id="18" w:name="_Toc262031234"/>
      <w:bookmarkEnd w:id="13"/>
      <w:r w:rsidR="009D39B4" w:rsidRPr="006D71C7">
        <w:rPr>
          <w:b w:val="0"/>
          <w:i/>
          <w:color w:val="auto"/>
          <w:sz w:val="20"/>
          <w:szCs w:val="20"/>
        </w:rPr>
        <w:t>priorytety obszary wsparcia</w:t>
      </w:r>
      <w:bookmarkEnd w:id="14"/>
      <w:bookmarkEnd w:id="15"/>
      <w:bookmarkEnd w:id="16"/>
    </w:p>
    <w:p w:rsidR="0005410E" w:rsidRPr="006D71C7" w:rsidRDefault="0027425A" w:rsidP="00BA2FE7">
      <w:pPr>
        <w:pStyle w:val="Nagwek1"/>
        <w:numPr>
          <w:ilvl w:val="1"/>
          <w:numId w:val="30"/>
        </w:numPr>
        <w:spacing w:before="0" w:after="120"/>
        <w:jc w:val="both"/>
        <w:rPr>
          <w:szCs w:val="24"/>
        </w:rPr>
      </w:pPr>
      <w:bookmarkStart w:id="19" w:name="_Toc292789228"/>
      <w:bookmarkStart w:id="20" w:name="_Toc292793518"/>
      <w:bookmarkStart w:id="21" w:name="_Toc327259206"/>
      <w:bookmarkEnd w:id="17"/>
      <w:bookmarkEnd w:id="18"/>
      <w:r w:rsidRPr="006D71C7">
        <w:rPr>
          <w:szCs w:val="24"/>
        </w:rPr>
        <w:t>REALIZACJA I ANALIZA POSTĘ</w:t>
      </w:r>
      <w:r w:rsidR="00D96EC4" w:rsidRPr="006D71C7">
        <w:rPr>
          <w:szCs w:val="24"/>
        </w:rPr>
        <w:t>PÓW</w:t>
      </w:r>
      <w:bookmarkEnd w:id="19"/>
      <w:bookmarkEnd w:id="20"/>
      <w:bookmarkEnd w:id="21"/>
      <w:r w:rsidR="00D96EC4" w:rsidRPr="006D71C7">
        <w:rPr>
          <w:szCs w:val="24"/>
        </w:rPr>
        <w:t xml:space="preserve"> </w:t>
      </w:r>
    </w:p>
    <w:p w:rsidR="0005410E" w:rsidRPr="006D71C7" w:rsidRDefault="00D96EC4" w:rsidP="00BA2FE7">
      <w:pPr>
        <w:pStyle w:val="Nagwek1"/>
        <w:numPr>
          <w:ilvl w:val="2"/>
          <w:numId w:val="25"/>
        </w:numPr>
        <w:spacing w:before="0" w:after="120"/>
        <w:ind w:left="1134" w:hanging="425"/>
        <w:jc w:val="both"/>
        <w:rPr>
          <w:szCs w:val="24"/>
        </w:rPr>
      </w:pPr>
      <w:bookmarkStart w:id="22" w:name="_Toc292789229"/>
      <w:bookmarkStart w:id="23" w:name="_Toc292793519"/>
      <w:bookmarkStart w:id="24" w:name="_Toc327259207"/>
      <w:r w:rsidRPr="006D71C7">
        <w:rPr>
          <w:szCs w:val="24"/>
        </w:rPr>
        <w:t>INFORMACJE</w:t>
      </w:r>
      <w:r w:rsidR="0027425A" w:rsidRPr="006D71C7">
        <w:rPr>
          <w:szCs w:val="24"/>
        </w:rPr>
        <w:t xml:space="preserve"> NA TEMAT POSTĘ</w:t>
      </w:r>
      <w:r w:rsidRPr="006D71C7">
        <w:rPr>
          <w:szCs w:val="24"/>
        </w:rPr>
        <w:t>PÓW RZECZOWYCH RPO WSL</w:t>
      </w:r>
      <w:bookmarkEnd w:id="22"/>
      <w:bookmarkEnd w:id="23"/>
      <w:bookmarkEnd w:id="24"/>
    </w:p>
    <w:p w:rsidR="0005410E" w:rsidRPr="006D71C7" w:rsidRDefault="0005410E" w:rsidP="006D71C7">
      <w:pPr>
        <w:pStyle w:val="Akapitzlist"/>
        <w:widowControl w:val="0"/>
        <w:autoSpaceDE w:val="0"/>
        <w:autoSpaceDN w:val="0"/>
        <w:adjustRightInd w:val="0"/>
        <w:spacing w:after="120"/>
        <w:ind w:left="0"/>
        <w:jc w:val="both"/>
        <w:rPr>
          <w:szCs w:val="24"/>
        </w:rPr>
      </w:pPr>
      <w:r w:rsidRPr="006D71C7">
        <w:rPr>
          <w:szCs w:val="24"/>
        </w:rPr>
        <w:t xml:space="preserve">Informacje dotyczące postępu </w:t>
      </w:r>
      <w:r w:rsidR="00F824E6" w:rsidRPr="006D71C7">
        <w:rPr>
          <w:szCs w:val="24"/>
        </w:rPr>
        <w:t>rzeczowego</w:t>
      </w:r>
      <w:r w:rsidRPr="006D71C7">
        <w:rPr>
          <w:szCs w:val="24"/>
        </w:rPr>
        <w:t xml:space="preserve"> </w:t>
      </w:r>
      <w:r w:rsidRPr="006D71C7">
        <w:rPr>
          <w:i/>
          <w:szCs w:val="24"/>
        </w:rPr>
        <w:t>Programu</w:t>
      </w:r>
      <w:r w:rsidRPr="006D71C7">
        <w:rPr>
          <w:szCs w:val="24"/>
        </w:rPr>
        <w:t xml:space="preserve"> czyli wskaźniki monitorowania celu głównego </w:t>
      </w:r>
      <w:r w:rsidRPr="006D71C7">
        <w:rPr>
          <w:i/>
          <w:szCs w:val="24"/>
        </w:rPr>
        <w:t xml:space="preserve">Regionalnego Programu Operacyjnego Województwa Śląskiego na lata 2007-2013 (RPO WSL) </w:t>
      </w:r>
      <w:r w:rsidR="00664673" w:rsidRPr="006D71C7">
        <w:rPr>
          <w:szCs w:val="24"/>
        </w:rPr>
        <w:t>i horyzontalne</w:t>
      </w:r>
      <w:r w:rsidR="00A8027B" w:rsidRPr="006D71C7">
        <w:rPr>
          <w:i/>
          <w:szCs w:val="24"/>
        </w:rPr>
        <w:t xml:space="preserve"> </w:t>
      </w:r>
      <w:r w:rsidR="003B43C6" w:rsidRPr="006D71C7">
        <w:rPr>
          <w:szCs w:val="24"/>
        </w:rPr>
        <w:t>zostały przedstawione</w:t>
      </w:r>
      <w:r w:rsidRPr="006D71C7">
        <w:rPr>
          <w:szCs w:val="24"/>
        </w:rPr>
        <w:t xml:space="preserve"> w </w:t>
      </w:r>
      <w:r w:rsidR="003B43C6" w:rsidRPr="006D71C7">
        <w:rPr>
          <w:szCs w:val="24"/>
        </w:rPr>
        <w:t>załączniku</w:t>
      </w:r>
      <w:r w:rsidR="002D2C2D" w:rsidRPr="006D71C7">
        <w:rPr>
          <w:szCs w:val="24"/>
        </w:rPr>
        <w:t xml:space="preserve"> nr</w:t>
      </w:r>
      <w:r w:rsidR="003B43C6" w:rsidRPr="006D71C7">
        <w:rPr>
          <w:szCs w:val="24"/>
        </w:rPr>
        <w:t xml:space="preserve"> </w:t>
      </w:r>
      <w:r w:rsidR="001A7064" w:rsidRPr="006D71C7">
        <w:rPr>
          <w:szCs w:val="24"/>
        </w:rPr>
        <w:t>I</w:t>
      </w:r>
      <w:r w:rsidR="003B43C6" w:rsidRPr="006D71C7">
        <w:rPr>
          <w:szCs w:val="24"/>
        </w:rPr>
        <w:t xml:space="preserve"> do niniejszego </w:t>
      </w:r>
      <w:r w:rsidR="003B43C6" w:rsidRPr="006D71C7">
        <w:rPr>
          <w:i/>
          <w:szCs w:val="24"/>
        </w:rPr>
        <w:t>Sprawozdania</w:t>
      </w:r>
      <w:r w:rsidR="002D2C2D" w:rsidRPr="006D71C7">
        <w:rPr>
          <w:szCs w:val="24"/>
        </w:rPr>
        <w:t>. W załączniku nr</w:t>
      </w:r>
      <w:r w:rsidR="00E90396" w:rsidRPr="006D71C7">
        <w:rPr>
          <w:szCs w:val="24"/>
        </w:rPr>
        <w:t xml:space="preserve"> V</w:t>
      </w:r>
      <w:r w:rsidR="002D2C2D" w:rsidRPr="006D71C7">
        <w:rPr>
          <w:szCs w:val="24"/>
        </w:rPr>
        <w:t xml:space="preserve"> zostały zamieszczone wskaźniki kontekstowe.</w:t>
      </w:r>
    </w:p>
    <w:p w:rsidR="0005410E" w:rsidRPr="006D71C7" w:rsidRDefault="006F7FD7" w:rsidP="00BA2FE7">
      <w:pPr>
        <w:pStyle w:val="Nagwek1"/>
        <w:numPr>
          <w:ilvl w:val="2"/>
          <w:numId w:val="25"/>
        </w:numPr>
        <w:spacing w:before="0" w:after="120"/>
        <w:ind w:left="1134" w:hanging="425"/>
        <w:jc w:val="both"/>
        <w:rPr>
          <w:szCs w:val="24"/>
        </w:rPr>
      </w:pPr>
      <w:bookmarkStart w:id="25" w:name="_Toc292789230"/>
      <w:bookmarkStart w:id="26" w:name="_Toc292793520"/>
      <w:bookmarkStart w:id="27" w:name="_Toc327259208"/>
      <w:r w:rsidRPr="006D71C7">
        <w:rPr>
          <w:szCs w:val="24"/>
        </w:rPr>
        <w:t>INFORMACJE FINANSOWE</w:t>
      </w:r>
      <w:bookmarkEnd w:id="25"/>
      <w:bookmarkEnd w:id="26"/>
      <w:bookmarkEnd w:id="27"/>
    </w:p>
    <w:p w:rsidR="0005410E" w:rsidRPr="006D71C7" w:rsidRDefault="0005410E" w:rsidP="006D71C7">
      <w:pPr>
        <w:widowControl w:val="0"/>
        <w:autoSpaceDE w:val="0"/>
        <w:autoSpaceDN w:val="0"/>
        <w:adjustRightInd w:val="0"/>
        <w:spacing w:after="120"/>
        <w:jc w:val="both"/>
        <w:rPr>
          <w:szCs w:val="24"/>
        </w:rPr>
      </w:pPr>
      <w:r w:rsidRPr="006D71C7">
        <w:rPr>
          <w:szCs w:val="24"/>
        </w:rPr>
        <w:t xml:space="preserve">Postęp finansowy </w:t>
      </w:r>
      <w:r w:rsidRPr="006D71C7">
        <w:rPr>
          <w:i/>
          <w:szCs w:val="24"/>
        </w:rPr>
        <w:t>Programu</w:t>
      </w:r>
      <w:r w:rsidRPr="006D71C7">
        <w:rPr>
          <w:szCs w:val="24"/>
        </w:rPr>
        <w:t xml:space="preserve"> został przedstawiony w tabeli 2 </w:t>
      </w:r>
      <w:r w:rsidRPr="006D71C7">
        <w:rPr>
          <w:i/>
          <w:szCs w:val="24"/>
        </w:rPr>
        <w:t>Osie priorytetowe w podziale na źródło finansowania (w</w:t>
      </w:r>
      <w:r w:rsidR="00F26B25" w:rsidRPr="006D71C7">
        <w:rPr>
          <w:i/>
          <w:szCs w:val="24"/>
        </w:rPr>
        <w:t xml:space="preserve"> EUR</w:t>
      </w:r>
      <w:r w:rsidRPr="006D71C7">
        <w:rPr>
          <w:i/>
          <w:szCs w:val="24"/>
        </w:rPr>
        <w:t>) – w danym roku oraz narastająco</w:t>
      </w:r>
      <w:r w:rsidRPr="006D71C7">
        <w:rPr>
          <w:szCs w:val="24"/>
        </w:rPr>
        <w:t>, która stanowi załącznik nr </w:t>
      </w:r>
      <w:r w:rsidR="001A7064" w:rsidRPr="006D71C7">
        <w:rPr>
          <w:szCs w:val="24"/>
        </w:rPr>
        <w:t>II</w:t>
      </w:r>
      <w:r w:rsidR="000D4410" w:rsidRPr="006D71C7">
        <w:rPr>
          <w:szCs w:val="24"/>
        </w:rPr>
        <w:t xml:space="preserve"> </w:t>
      </w:r>
      <w:r w:rsidRPr="006D71C7">
        <w:rPr>
          <w:szCs w:val="24"/>
        </w:rPr>
        <w:t xml:space="preserve">do niniejszego </w:t>
      </w:r>
      <w:r w:rsidRPr="006D71C7">
        <w:rPr>
          <w:i/>
          <w:szCs w:val="24"/>
        </w:rPr>
        <w:t>Sprawozdania.</w:t>
      </w:r>
    </w:p>
    <w:p w:rsidR="0005410E" w:rsidRPr="006D71C7" w:rsidRDefault="006F7FD7" w:rsidP="00BA2FE7">
      <w:pPr>
        <w:pStyle w:val="Nagwek1"/>
        <w:numPr>
          <w:ilvl w:val="2"/>
          <w:numId w:val="25"/>
        </w:numPr>
        <w:spacing w:before="0" w:after="120"/>
        <w:ind w:left="1134" w:hanging="425"/>
        <w:jc w:val="both"/>
        <w:rPr>
          <w:szCs w:val="24"/>
        </w:rPr>
      </w:pPr>
      <w:bookmarkStart w:id="28" w:name="_Toc292789231"/>
      <w:bookmarkStart w:id="29" w:name="_Toc292793521"/>
      <w:bookmarkStart w:id="30" w:name="_Toc327259209"/>
      <w:r w:rsidRPr="006D71C7">
        <w:rPr>
          <w:szCs w:val="24"/>
        </w:rPr>
        <w:t>INFORMACJE NT. PODZIAŁU WYKORZYSTANIA FUNDUSZY WG KATEGORII INTERWENCJI</w:t>
      </w:r>
      <w:bookmarkEnd w:id="28"/>
      <w:bookmarkEnd w:id="29"/>
      <w:bookmarkEnd w:id="30"/>
    </w:p>
    <w:p w:rsidR="0005410E" w:rsidRPr="006D71C7" w:rsidRDefault="0005410E" w:rsidP="006D71C7">
      <w:pPr>
        <w:spacing w:after="120"/>
        <w:jc w:val="both"/>
        <w:rPr>
          <w:szCs w:val="24"/>
        </w:rPr>
      </w:pPr>
      <w:r w:rsidRPr="006D71C7">
        <w:rPr>
          <w:szCs w:val="24"/>
        </w:rPr>
        <w:t>Dane dotyczące powyższego punktu zostały zamieszczone w załączniku nr</w:t>
      </w:r>
      <w:r w:rsidR="002D2C2D" w:rsidRPr="006D71C7">
        <w:rPr>
          <w:szCs w:val="24"/>
        </w:rPr>
        <w:t xml:space="preserve"> </w:t>
      </w:r>
      <w:r w:rsidR="001A7064" w:rsidRPr="006D71C7">
        <w:rPr>
          <w:szCs w:val="24"/>
        </w:rPr>
        <w:t>III</w:t>
      </w:r>
      <w:r w:rsidRPr="006D71C7">
        <w:rPr>
          <w:szCs w:val="24"/>
        </w:rPr>
        <w:t xml:space="preserve"> do niniejszego </w:t>
      </w:r>
      <w:r w:rsidRPr="006D71C7">
        <w:rPr>
          <w:i/>
          <w:szCs w:val="24"/>
        </w:rPr>
        <w:t>Sprawozdania.</w:t>
      </w:r>
    </w:p>
    <w:p w:rsidR="0005410E" w:rsidRPr="006D71C7" w:rsidRDefault="00C63D00" w:rsidP="00BA2FE7">
      <w:pPr>
        <w:pStyle w:val="Nagwek1"/>
        <w:numPr>
          <w:ilvl w:val="2"/>
          <w:numId w:val="25"/>
        </w:numPr>
        <w:tabs>
          <w:tab w:val="left" w:pos="1418"/>
        </w:tabs>
        <w:spacing w:before="0" w:after="120"/>
        <w:ind w:left="1134" w:hanging="425"/>
        <w:jc w:val="both"/>
        <w:rPr>
          <w:szCs w:val="24"/>
        </w:rPr>
      </w:pPr>
      <w:r w:rsidRPr="006D71C7">
        <w:rPr>
          <w:spacing w:val="-3"/>
          <w:szCs w:val="24"/>
        </w:rPr>
        <w:t xml:space="preserve"> </w:t>
      </w:r>
      <w:bookmarkStart w:id="31" w:name="_Toc292789232"/>
      <w:bookmarkStart w:id="32" w:name="_Toc292793522"/>
      <w:bookmarkStart w:id="33" w:name="_Toc327259210"/>
      <w:r w:rsidR="00240B07" w:rsidRPr="006D71C7">
        <w:rPr>
          <w:spacing w:val="-3"/>
          <w:szCs w:val="24"/>
        </w:rPr>
        <w:t>POMOC W PODZIALE NA GRUPY DOCELOWE</w:t>
      </w:r>
      <w:bookmarkEnd w:id="31"/>
      <w:bookmarkEnd w:id="32"/>
      <w:bookmarkEnd w:id="33"/>
    </w:p>
    <w:p w:rsidR="00131A97" w:rsidRPr="006D71C7" w:rsidRDefault="00E90396" w:rsidP="006D71C7">
      <w:pPr>
        <w:autoSpaceDE w:val="0"/>
        <w:autoSpaceDN w:val="0"/>
        <w:adjustRightInd w:val="0"/>
        <w:spacing w:after="120"/>
        <w:jc w:val="both"/>
        <w:rPr>
          <w:rFonts w:eastAsia="TimesNewRoman"/>
          <w:szCs w:val="24"/>
        </w:rPr>
      </w:pPr>
      <w:r w:rsidRPr="006D71C7">
        <w:rPr>
          <w:szCs w:val="24"/>
        </w:rPr>
        <w:t xml:space="preserve">Informacja </w:t>
      </w:r>
      <w:r w:rsidR="00C63D00" w:rsidRPr="006D71C7">
        <w:rPr>
          <w:szCs w:val="24"/>
        </w:rPr>
        <w:t>w podziale na grupy docelowe, sektory</w:t>
      </w:r>
      <w:r w:rsidR="007D0263" w:rsidRPr="006D71C7">
        <w:rPr>
          <w:szCs w:val="24"/>
        </w:rPr>
        <w:t xml:space="preserve"> i</w:t>
      </w:r>
      <w:r w:rsidR="00C63D00" w:rsidRPr="006D71C7">
        <w:rPr>
          <w:szCs w:val="24"/>
        </w:rPr>
        <w:t xml:space="preserve"> obszary została zamieszczona w pkt. </w:t>
      </w:r>
      <w:r w:rsidR="00C63D00" w:rsidRPr="006D71C7">
        <w:rPr>
          <w:i/>
          <w:szCs w:val="24"/>
        </w:rPr>
        <w:t>2.1.6 Analiza jakościowa</w:t>
      </w:r>
      <w:r w:rsidRPr="006D71C7">
        <w:rPr>
          <w:szCs w:val="24"/>
        </w:rPr>
        <w:t xml:space="preserve"> niniejszego </w:t>
      </w:r>
      <w:r w:rsidRPr="006D71C7">
        <w:rPr>
          <w:i/>
          <w:szCs w:val="24"/>
        </w:rPr>
        <w:t>Sprawozdani.</w:t>
      </w:r>
    </w:p>
    <w:p w:rsidR="0005410E" w:rsidRPr="006D71C7" w:rsidRDefault="00240B07" w:rsidP="00BA2FE7">
      <w:pPr>
        <w:pStyle w:val="Nagwek1"/>
        <w:numPr>
          <w:ilvl w:val="2"/>
          <w:numId w:val="25"/>
        </w:numPr>
        <w:spacing w:before="0" w:after="120"/>
        <w:ind w:left="1418" w:hanging="709"/>
        <w:jc w:val="both"/>
        <w:rPr>
          <w:spacing w:val="-3"/>
          <w:szCs w:val="24"/>
        </w:rPr>
      </w:pPr>
      <w:bookmarkStart w:id="34" w:name="_Toc292789233"/>
      <w:bookmarkStart w:id="35" w:name="_Toc292793523"/>
      <w:bookmarkStart w:id="36" w:name="_Toc327259211"/>
      <w:r w:rsidRPr="006D71C7">
        <w:rPr>
          <w:spacing w:val="-3"/>
          <w:szCs w:val="24"/>
        </w:rPr>
        <w:t xml:space="preserve">POMOC </w:t>
      </w:r>
      <w:r w:rsidR="00E90396" w:rsidRPr="006D71C7">
        <w:rPr>
          <w:spacing w:val="-3"/>
          <w:szCs w:val="24"/>
        </w:rPr>
        <w:t>ZWRÓCONA</w:t>
      </w:r>
      <w:r w:rsidRPr="006D71C7">
        <w:rPr>
          <w:spacing w:val="-3"/>
          <w:szCs w:val="24"/>
        </w:rPr>
        <w:t xml:space="preserve"> LUB </w:t>
      </w:r>
      <w:r w:rsidR="00E90396" w:rsidRPr="006D71C7">
        <w:rPr>
          <w:spacing w:val="-3"/>
          <w:szCs w:val="24"/>
        </w:rPr>
        <w:t xml:space="preserve">PONOWNIE </w:t>
      </w:r>
      <w:r w:rsidRPr="006D71C7">
        <w:rPr>
          <w:spacing w:val="-3"/>
          <w:szCs w:val="24"/>
        </w:rPr>
        <w:t>WYKORZYSTANA</w:t>
      </w:r>
      <w:bookmarkEnd w:id="34"/>
      <w:bookmarkEnd w:id="35"/>
      <w:bookmarkEnd w:id="36"/>
      <w:r w:rsidRPr="006D71C7">
        <w:rPr>
          <w:spacing w:val="-3"/>
          <w:szCs w:val="24"/>
        </w:rPr>
        <w:t xml:space="preserve"> </w:t>
      </w:r>
    </w:p>
    <w:p w:rsidR="00935A69" w:rsidRPr="006D71C7" w:rsidRDefault="00935A69" w:rsidP="006D71C7">
      <w:pPr>
        <w:spacing w:after="120"/>
        <w:jc w:val="both"/>
        <w:rPr>
          <w:szCs w:val="24"/>
        </w:rPr>
      </w:pPr>
      <w:r w:rsidRPr="006D71C7">
        <w:rPr>
          <w:szCs w:val="24"/>
        </w:rPr>
        <w:t>W ramach RPO WSL w okresie sprawozdawczym jak i od początku realizacji</w:t>
      </w:r>
      <w:r w:rsidRPr="006D71C7">
        <w:rPr>
          <w:i/>
          <w:szCs w:val="24"/>
        </w:rPr>
        <w:t xml:space="preserve"> Programu</w:t>
      </w:r>
      <w:r w:rsidRPr="006D71C7">
        <w:rPr>
          <w:szCs w:val="24"/>
        </w:rPr>
        <w:t xml:space="preserve"> nie zaszła sytuacja odzyskiwania środków dofinansowania od beneficjentów w związku z niezachowaniem przez nich przepisów dotyczących trwałości projektu.</w:t>
      </w:r>
      <w:r w:rsidR="00BE35AE" w:rsidRPr="006D71C7">
        <w:t xml:space="preserve"> </w:t>
      </w:r>
      <w:r w:rsidR="00BE35AE" w:rsidRPr="006D71C7">
        <w:rPr>
          <w:szCs w:val="24"/>
        </w:rPr>
        <w:t>W ramach RPO WSL w okresie sprawozdawczym zgodnie z datą decyzji zamieszczoną w ROP, w związku z powstałymi nieprawidłowościami dokonano kwalifikacji wykazanych kwot w poświadczeniach do KE, jako kwoty wycofane, środki UE o wartości 2 322 074,98 EUR. Kwoty wycofane pomniejszają na bieżąco kolejne poświadczenia i deklaracje wydatków. Uwolnione w ten sposób środki przeznaczone zostały na dalsz</w:t>
      </w:r>
      <w:r w:rsidR="003C5FA3" w:rsidRPr="006D71C7">
        <w:rPr>
          <w:szCs w:val="24"/>
        </w:rPr>
        <w:t>ą</w:t>
      </w:r>
      <w:r w:rsidR="00BE35AE" w:rsidRPr="006D71C7">
        <w:rPr>
          <w:szCs w:val="24"/>
        </w:rPr>
        <w:t xml:space="preserve"> realizację RPO WSL.</w:t>
      </w:r>
    </w:p>
    <w:p w:rsidR="0005410E" w:rsidRPr="006D71C7" w:rsidRDefault="00240B07" w:rsidP="00BA2FE7">
      <w:pPr>
        <w:pStyle w:val="Nagwek1"/>
        <w:numPr>
          <w:ilvl w:val="2"/>
          <w:numId w:val="25"/>
        </w:numPr>
        <w:spacing w:before="120" w:after="120"/>
        <w:ind w:left="1134" w:hanging="425"/>
        <w:jc w:val="both"/>
        <w:rPr>
          <w:szCs w:val="24"/>
        </w:rPr>
      </w:pPr>
      <w:bookmarkStart w:id="37" w:name="_Toc261941810"/>
      <w:bookmarkStart w:id="38" w:name="_Toc261941983"/>
      <w:bookmarkStart w:id="39" w:name="_Toc261943650"/>
      <w:bookmarkStart w:id="40" w:name="_Toc262031849"/>
      <w:bookmarkStart w:id="41" w:name="_Toc292789234"/>
      <w:bookmarkStart w:id="42" w:name="_Toc292793524"/>
      <w:bookmarkStart w:id="43" w:name="_Toc327259212"/>
      <w:r w:rsidRPr="006D71C7">
        <w:rPr>
          <w:szCs w:val="24"/>
        </w:rPr>
        <w:t>ANALIZA JAKOŚCIOWA</w:t>
      </w:r>
      <w:r w:rsidR="0005410E" w:rsidRPr="006D71C7">
        <w:rPr>
          <w:szCs w:val="24"/>
        </w:rPr>
        <w:t xml:space="preserve"> RPO WSL</w:t>
      </w:r>
      <w:bookmarkEnd w:id="37"/>
      <w:bookmarkEnd w:id="38"/>
      <w:bookmarkEnd w:id="39"/>
      <w:bookmarkEnd w:id="40"/>
      <w:bookmarkEnd w:id="41"/>
      <w:bookmarkEnd w:id="42"/>
      <w:bookmarkEnd w:id="43"/>
    </w:p>
    <w:p w:rsidR="00612734" w:rsidRPr="006D71C7" w:rsidRDefault="00240B07" w:rsidP="00BA2FE7">
      <w:pPr>
        <w:pStyle w:val="Nagwek1"/>
        <w:numPr>
          <w:ilvl w:val="3"/>
          <w:numId w:val="25"/>
        </w:numPr>
        <w:tabs>
          <w:tab w:val="left" w:pos="1560"/>
          <w:tab w:val="left" w:pos="1701"/>
        </w:tabs>
        <w:spacing w:before="240" w:after="120"/>
        <w:ind w:left="1701" w:hanging="425"/>
        <w:jc w:val="both"/>
        <w:rPr>
          <w:szCs w:val="24"/>
        </w:rPr>
      </w:pPr>
      <w:bookmarkStart w:id="44" w:name="_Toc292789235"/>
      <w:bookmarkStart w:id="45" w:name="_Toc292793525"/>
      <w:bookmarkStart w:id="46" w:name="_Toc327259213"/>
      <w:r w:rsidRPr="006D71C7">
        <w:rPr>
          <w:szCs w:val="24"/>
        </w:rPr>
        <w:t>SYSTEM REALIZACJI</w:t>
      </w:r>
      <w:r w:rsidR="00424843" w:rsidRPr="006D71C7">
        <w:rPr>
          <w:szCs w:val="24"/>
        </w:rPr>
        <w:t xml:space="preserve"> RPO WSL</w:t>
      </w:r>
      <w:bookmarkEnd w:id="44"/>
      <w:bookmarkEnd w:id="45"/>
      <w:bookmarkEnd w:id="46"/>
    </w:p>
    <w:p w:rsidR="00BC638D" w:rsidRPr="006D71C7" w:rsidRDefault="00BC638D" w:rsidP="006D71C7">
      <w:pPr>
        <w:jc w:val="both"/>
        <w:rPr>
          <w:b/>
          <w:i/>
          <w:szCs w:val="24"/>
        </w:rPr>
      </w:pPr>
      <w:r w:rsidRPr="006D71C7">
        <w:rPr>
          <w:b/>
          <w:i/>
          <w:szCs w:val="24"/>
        </w:rPr>
        <w:t>Zmiany w dokumentach programowych</w:t>
      </w:r>
    </w:p>
    <w:p w:rsidR="00840EAC" w:rsidRPr="006D71C7" w:rsidRDefault="00BF5159" w:rsidP="006D71C7">
      <w:pPr>
        <w:tabs>
          <w:tab w:val="left" w:pos="7920"/>
        </w:tabs>
        <w:jc w:val="both"/>
        <w:rPr>
          <w:bCs/>
          <w:szCs w:val="24"/>
        </w:rPr>
      </w:pPr>
      <w:r w:rsidRPr="006D71C7">
        <w:rPr>
          <w:bCs/>
          <w:szCs w:val="24"/>
        </w:rPr>
        <w:t xml:space="preserve">W okresie sprawozdawczym IZ RPO WSL kontynuowała prace związane z przygotowaniem i/lub aktualizacją oraz zmianami dokumentów niezbędnych w procesie wdrażania </w:t>
      </w:r>
      <w:r w:rsidRPr="006D71C7">
        <w:rPr>
          <w:bCs/>
          <w:i/>
          <w:szCs w:val="24"/>
        </w:rPr>
        <w:t>Programu</w:t>
      </w:r>
      <w:r w:rsidRPr="006D71C7">
        <w:rPr>
          <w:bCs/>
          <w:szCs w:val="24"/>
        </w:rPr>
        <w:t xml:space="preserve"> i realizacji przez beneficjentów projektów.</w:t>
      </w:r>
    </w:p>
    <w:p w:rsidR="00840EAC" w:rsidRPr="00650BDB" w:rsidRDefault="003B43C6" w:rsidP="00650BDB">
      <w:pPr>
        <w:tabs>
          <w:tab w:val="left" w:pos="7920"/>
        </w:tabs>
        <w:rPr>
          <w:bCs/>
          <w:szCs w:val="24"/>
        </w:rPr>
        <w:sectPr w:rsidR="00840EAC" w:rsidRPr="00650BDB" w:rsidSect="00DA56FE">
          <w:footerReference w:type="default" r:id="rId23"/>
          <w:headerReference w:type="first" r:id="rId24"/>
          <w:footerReference w:type="first" r:id="rId25"/>
          <w:endnotePr>
            <w:numFmt w:val="decimal"/>
          </w:endnotePr>
          <w:type w:val="continuous"/>
          <w:pgSz w:w="11906" w:h="16838" w:code="9"/>
          <w:pgMar w:top="1417" w:right="1841" w:bottom="1417" w:left="1417" w:header="0" w:footer="726" w:gutter="0"/>
          <w:cols w:space="708"/>
          <w:noEndnote/>
          <w:docGrid w:linePitch="326"/>
        </w:sectPr>
      </w:pPr>
      <w:r w:rsidRPr="006D71C7">
        <w:rPr>
          <w:bCs/>
          <w:szCs w:val="24"/>
        </w:rPr>
        <w:t xml:space="preserve">Poniżej na schemacie najważniejsze dokumenty programowe oraz </w:t>
      </w:r>
      <w:r w:rsidR="00DE0861" w:rsidRPr="006D71C7">
        <w:rPr>
          <w:bCs/>
          <w:szCs w:val="24"/>
        </w:rPr>
        <w:t xml:space="preserve">dokumenty </w:t>
      </w:r>
      <w:r w:rsidRPr="006D71C7">
        <w:rPr>
          <w:bCs/>
          <w:szCs w:val="24"/>
        </w:rPr>
        <w:t>dot. wdrażania i zarządzania RPO WSL.</w:t>
      </w:r>
      <w:r w:rsidR="00840EAC" w:rsidRPr="006D71C7">
        <w:rPr>
          <w:b/>
          <w:bCs/>
          <w:szCs w:val="24"/>
        </w:rPr>
        <w:br w:type="page"/>
      </w:r>
    </w:p>
    <w:p w:rsidR="003515A4" w:rsidRPr="006D71C7" w:rsidRDefault="003515A4" w:rsidP="006D71C7">
      <w:pPr>
        <w:ind w:left="-284" w:right="254"/>
        <w:jc w:val="both"/>
      </w:pPr>
      <w:r w:rsidRPr="006D71C7">
        <w:rPr>
          <w:noProof/>
        </w:rPr>
        <w:drawing>
          <wp:inline distT="0" distB="0" distL="0" distR="0">
            <wp:extent cx="9086850" cy="4200525"/>
            <wp:effectExtent l="0" t="0" r="38100" b="9525"/>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169AC" w:rsidRPr="006D71C7" w:rsidRDefault="00DD0C20" w:rsidP="00305508">
      <w:pPr>
        <w:pStyle w:val="Legenda"/>
        <w:ind w:left="-284"/>
        <w:rPr>
          <w:color w:val="auto"/>
          <w:sz w:val="20"/>
          <w:szCs w:val="20"/>
        </w:rPr>
        <w:sectPr w:rsidR="000169AC" w:rsidRPr="006D71C7" w:rsidSect="00CC06A3">
          <w:endnotePr>
            <w:numFmt w:val="decimal"/>
          </w:endnotePr>
          <w:pgSz w:w="16838" w:h="11906" w:orient="landscape" w:code="9"/>
          <w:pgMar w:top="1417" w:right="1417" w:bottom="1417" w:left="1417" w:header="0" w:footer="726" w:gutter="0"/>
          <w:cols w:space="708"/>
          <w:noEndnote/>
          <w:titlePg/>
          <w:docGrid w:linePitch="326"/>
        </w:sectPr>
      </w:pPr>
      <w:bookmarkStart w:id="47" w:name="_Toc292793656"/>
      <w:bookmarkStart w:id="48" w:name="_Toc292796244"/>
      <w:bookmarkStart w:id="49" w:name="_Toc292796738"/>
      <w:bookmarkStart w:id="50" w:name="_Toc292889048"/>
      <w:bookmarkStart w:id="51" w:name="_Toc295293344"/>
      <w:bookmarkStart w:id="52" w:name="_Toc324786922"/>
      <w:bookmarkStart w:id="53" w:name="_Toc324854686"/>
      <w:bookmarkStart w:id="54" w:name="_Toc324854750"/>
      <w:bookmarkStart w:id="55" w:name="_Toc326055320"/>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w:t>
      </w:r>
      <w:r w:rsidR="008F7228">
        <w:rPr>
          <w:color w:val="auto"/>
          <w:sz w:val="20"/>
          <w:szCs w:val="20"/>
        </w:rPr>
        <w:fldChar w:fldCharType="end"/>
      </w:r>
      <w:r w:rsidR="00612734" w:rsidRPr="006D71C7">
        <w:rPr>
          <w:color w:val="auto"/>
        </w:rPr>
        <w:t xml:space="preserve"> </w:t>
      </w:r>
      <w:r w:rsidR="001E656A" w:rsidRPr="006D71C7">
        <w:rPr>
          <w:b w:val="0"/>
          <w:i/>
          <w:color w:val="auto"/>
          <w:sz w:val="20"/>
          <w:szCs w:val="20"/>
        </w:rPr>
        <w:t>Dokumenty</w:t>
      </w:r>
      <w:r w:rsidR="009D39B4" w:rsidRPr="006D71C7">
        <w:rPr>
          <w:b w:val="0"/>
          <w:i/>
          <w:color w:val="auto"/>
          <w:sz w:val="20"/>
          <w:szCs w:val="20"/>
        </w:rPr>
        <w:t xml:space="preserve"> programowe oraz dokumenty</w:t>
      </w:r>
      <w:r w:rsidR="001E656A" w:rsidRPr="006D71C7">
        <w:rPr>
          <w:b w:val="0"/>
          <w:i/>
          <w:color w:val="auto"/>
          <w:sz w:val="20"/>
          <w:szCs w:val="20"/>
        </w:rPr>
        <w:t xml:space="preserve"> dot. wdrażania </w:t>
      </w:r>
      <w:r w:rsidR="009D39B4" w:rsidRPr="006D71C7">
        <w:rPr>
          <w:b w:val="0"/>
          <w:i/>
          <w:color w:val="auto"/>
          <w:sz w:val="20"/>
          <w:szCs w:val="20"/>
        </w:rPr>
        <w:t xml:space="preserve"> i zarządzania </w:t>
      </w:r>
      <w:r w:rsidR="00DE0861" w:rsidRPr="006D71C7">
        <w:rPr>
          <w:b w:val="0"/>
          <w:i/>
          <w:color w:val="auto"/>
          <w:sz w:val="20"/>
          <w:szCs w:val="20"/>
        </w:rPr>
        <w:t>RPO WSL</w:t>
      </w:r>
      <w:bookmarkEnd w:id="47"/>
      <w:bookmarkEnd w:id="48"/>
      <w:bookmarkEnd w:id="49"/>
      <w:bookmarkEnd w:id="50"/>
      <w:bookmarkEnd w:id="51"/>
      <w:bookmarkEnd w:id="52"/>
      <w:bookmarkEnd w:id="53"/>
      <w:bookmarkEnd w:id="54"/>
      <w:bookmarkEnd w:id="55"/>
    </w:p>
    <w:p w:rsidR="00BF5159" w:rsidRPr="006D71C7" w:rsidRDefault="00BF5159" w:rsidP="006D71C7">
      <w:pPr>
        <w:jc w:val="both"/>
        <w:rPr>
          <w:b/>
          <w:i/>
          <w:szCs w:val="24"/>
        </w:rPr>
      </w:pPr>
      <w:r w:rsidRPr="006D71C7">
        <w:rPr>
          <w:b/>
          <w:i/>
          <w:szCs w:val="24"/>
        </w:rPr>
        <w:t>Szczegółowy Opis Priorytetów RPO WSL</w:t>
      </w:r>
      <w:r w:rsidR="00F26B25" w:rsidRPr="006D71C7">
        <w:rPr>
          <w:b/>
          <w:i/>
          <w:szCs w:val="24"/>
        </w:rPr>
        <w:t xml:space="preserve"> (URPO)</w:t>
      </w:r>
    </w:p>
    <w:p w:rsidR="00BF5159" w:rsidRPr="006D71C7" w:rsidRDefault="00BF5159" w:rsidP="006D71C7">
      <w:pPr>
        <w:jc w:val="both"/>
        <w:rPr>
          <w:bCs/>
          <w:szCs w:val="24"/>
        </w:rPr>
      </w:pPr>
      <w:r w:rsidRPr="006D71C7">
        <w:rPr>
          <w:szCs w:val="24"/>
        </w:rPr>
        <w:t xml:space="preserve">URPO został zatwierdzony przez Zarząd Województwa Śląskiego 27 grudnia 2007 roku. </w:t>
      </w:r>
      <w:r w:rsidRPr="006D71C7">
        <w:rPr>
          <w:bCs/>
          <w:szCs w:val="24"/>
        </w:rPr>
        <w:t xml:space="preserve">Dokument stanowi uzupełnienie i uściślenie zapisów </w:t>
      </w:r>
      <w:r w:rsidRPr="006D71C7">
        <w:rPr>
          <w:bCs/>
          <w:i/>
          <w:szCs w:val="24"/>
        </w:rPr>
        <w:t>Programu</w:t>
      </w:r>
      <w:r w:rsidRPr="006D71C7">
        <w:rPr>
          <w:bCs/>
          <w:szCs w:val="24"/>
        </w:rPr>
        <w:t xml:space="preserve"> oraz zawiera niezbędne informacje dla potencjalnych beneficjentów. Aktualizacji dokumentu dokonano poprzez przyjęcie kolejnych uchwał Z</w:t>
      </w:r>
      <w:r w:rsidR="00DE0861" w:rsidRPr="006D71C7">
        <w:rPr>
          <w:bCs/>
          <w:szCs w:val="24"/>
        </w:rPr>
        <w:t xml:space="preserve">arządu </w:t>
      </w:r>
      <w:r w:rsidRPr="006D71C7">
        <w:rPr>
          <w:bCs/>
          <w:szCs w:val="24"/>
        </w:rPr>
        <w:t>W</w:t>
      </w:r>
      <w:r w:rsidR="00DE0861" w:rsidRPr="006D71C7">
        <w:rPr>
          <w:bCs/>
          <w:szCs w:val="24"/>
        </w:rPr>
        <w:t>ojewództwa Śląskiego</w:t>
      </w:r>
      <w:r w:rsidRPr="006D71C7">
        <w:rPr>
          <w:bCs/>
          <w:szCs w:val="24"/>
        </w:rPr>
        <w:t>, a wprowadzone</w:t>
      </w:r>
      <w:r w:rsidR="00612734" w:rsidRPr="006D71C7">
        <w:rPr>
          <w:bCs/>
          <w:szCs w:val="24"/>
        </w:rPr>
        <w:t xml:space="preserve"> zmiany przedstawione zostały poniżej</w:t>
      </w:r>
      <w:r w:rsidR="00CD2825" w:rsidRPr="006D71C7">
        <w:rPr>
          <w:bCs/>
          <w:szCs w:val="24"/>
        </w:rPr>
        <w:t>.</w:t>
      </w:r>
    </w:p>
    <w:p w:rsidR="00CD2825" w:rsidRPr="006D71C7" w:rsidRDefault="001E656A" w:rsidP="006D71C7">
      <w:pPr>
        <w:pStyle w:val="Legenda"/>
        <w:jc w:val="both"/>
        <w:rPr>
          <w:b w:val="0"/>
          <w:bCs w:val="0"/>
          <w:i/>
          <w:color w:val="auto"/>
          <w:sz w:val="20"/>
          <w:szCs w:val="20"/>
        </w:rPr>
      </w:pPr>
      <w:bookmarkStart w:id="56" w:name="_Toc324853691"/>
      <w:bookmarkStart w:id="57" w:name="_Toc326046354"/>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w:t>
      </w:r>
      <w:r w:rsidR="008F7228" w:rsidRPr="006D71C7">
        <w:rPr>
          <w:color w:val="auto"/>
          <w:sz w:val="20"/>
          <w:szCs w:val="20"/>
        </w:rPr>
        <w:fldChar w:fldCharType="end"/>
      </w:r>
      <w:r w:rsidRPr="006D71C7">
        <w:rPr>
          <w:color w:val="auto"/>
        </w:rPr>
        <w:t xml:space="preserve"> </w:t>
      </w:r>
      <w:r w:rsidRPr="006D71C7">
        <w:rPr>
          <w:b w:val="0"/>
          <w:i/>
          <w:color w:val="auto"/>
          <w:sz w:val="20"/>
          <w:szCs w:val="20"/>
        </w:rPr>
        <w:t>Najważniejsze zmiany w URPO wprowadzone w okresie sprawozdawczym</w:t>
      </w:r>
      <w:bookmarkEnd w:id="56"/>
      <w:bookmarkEnd w:id="57"/>
    </w:p>
    <w:tbl>
      <w:tblPr>
        <w:tblStyle w:val="redniasiatka3akcent3"/>
        <w:tblW w:w="9356" w:type="dxa"/>
        <w:jc w:val="center"/>
        <w:tblInd w:w="-176" w:type="dxa"/>
        <w:shd w:val="clear" w:color="auto" w:fill="F4B29B" w:themeFill="accent1" w:themeFillTint="66"/>
        <w:tblLook w:val="04A0" w:firstRow="1" w:lastRow="0" w:firstColumn="1" w:lastColumn="0" w:noHBand="0" w:noVBand="1"/>
      </w:tblPr>
      <w:tblGrid>
        <w:gridCol w:w="4537"/>
        <w:gridCol w:w="4819"/>
      </w:tblGrid>
      <w:tr w:rsidR="00BF5159" w:rsidRPr="00305508" w:rsidTr="00C74054">
        <w:trPr>
          <w:cnfStyle w:val="100000000000" w:firstRow="1" w:lastRow="0" w:firstColumn="0" w:lastColumn="0" w:oddVBand="0" w:evenVBand="0" w:oddHBand="0"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BF5159" w:rsidRPr="00305508" w:rsidRDefault="00BF5159" w:rsidP="006D71C7">
            <w:pPr>
              <w:spacing w:after="0"/>
              <w:jc w:val="both"/>
              <w:rPr>
                <w:color w:val="auto"/>
                <w:sz w:val="20"/>
                <w:szCs w:val="20"/>
              </w:rPr>
            </w:pPr>
            <w:r w:rsidRPr="00305508">
              <w:rPr>
                <w:color w:val="auto"/>
                <w:sz w:val="20"/>
                <w:szCs w:val="20"/>
              </w:rPr>
              <w:t>PODSTAWA ZMIANY DOKUMENTU</w:t>
            </w:r>
          </w:p>
        </w:tc>
        <w:tc>
          <w:tcPr>
            <w:tcW w:w="4819" w:type="dxa"/>
            <w:shd w:val="clear" w:color="auto" w:fill="F4B29B" w:themeFill="accent1" w:themeFillTint="66"/>
            <w:vAlign w:val="center"/>
          </w:tcPr>
          <w:p w:rsidR="00BF5159" w:rsidRPr="00305508" w:rsidRDefault="00BF5159" w:rsidP="006D71C7">
            <w:pPr>
              <w:spacing w:after="0"/>
              <w:jc w:val="both"/>
              <w:cnfStyle w:val="100000000000" w:firstRow="1" w:lastRow="0" w:firstColumn="0" w:lastColumn="0" w:oddVBand="0" w:evenVBand="0" w:oddHBand="0" w:evenHBand="0" w:firstRowFirstColumn="0" w:firstRowLastColumn="0" w:lastRowFirstColumn="0" w:lastRowLastColumn="0"/>
              <w:rPr>
                <w:color w:val="auto"/>
                <w:sz w:val="20"/>
                <w:szCs w:val="20"/>
              </w:rPr>
            </w:pPr>
            <w:r w:rsidRPr="00305508">
              <w:rPr>
                <w:color w:val="auto"/>
                <w:sz w:val="20"/>
                <w:szCs w:val="20"/>
              </w:rPr>
              <w:t>NAJWAŻNIEJSZE ZMIANY</w:t>
            </w:r>
          </w:p>
        </w:tc>
      </w:tr>
      <w:tr w:rsidR="00BF5159" w:rsidRPr="00305508" w:rsidTr="00C74054">
        <w:trPr>
          <w:cnfStyle w:val="000000100000" w:firstRow="0" w:lastRow="0" w:firstColumn="0" w:lastColumn="0" w:oddVBand="0" w:evenVBand="0" w:oddHBand="1" w:evenHBand="0" w:firstRowFirstColumn="0" w:firstRowLastColumn="0" w:lastRowFirstColumn="0" w:lastRowLastColumn="0"/>
          <w:trHeight w:val="1797"/>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C43B75" w:rsidP="00C43B75">
            <w:pPr>
              <w:spacing w:after="0"/>
              <w:jc w:val="center"/>
              <w:rPr>
                <w:b w:val="0"/>
                <w:bCs w:val="0"/>
                <w:color w:val="auto"/>
                <w:sz w:val="20"/>
                <w:szCs w:val="20"/>
              </w:rPr>
            </w:pPr>
          </w:p>
          <w:p w:rsidR="00C43B75" w:rsidRDefault="00BF5159" w:rsidP="00C43B75">
            <w:pPr>
              <w:spacing w:after="0"/>
              <w:jc w:val="center"/>
              <w:rPr>
                <w:b w:val="0"/>
                <w:bCs w:val="0"/>
                <w:color w:val="auto"/>
                <w:sz w:val="20"/>
                <w:szCs w:val="20"/>
              </w:rPr>
            </w:pPr>
            <w:r w:rsidRPr="00305508">
              <w:rPr>
                <w:color w:val="auto"/>
                <w:sz w:val="20"/>
                <w:szCs w:val="20"/>
              </w:rPr>
              <w:t xml:space="preserve">Uchwała nr </w:t>
            </w:r>
            <w:r w:rsidR="00011EE4" w:rsidRPr="00305508">
              <w:rPr>
                <w:color w:val="auto"/>
                <w:sz w:val="20"/>
                <w:szCs w:val="20"/>
              </w:rPr>
              <w:t>507/26/IV/2011</w:t>
            </w:r>
            <w:r w:rsidR="00011EE4" w:rsidRPr="00305508">
              <w:rPr>
                <w:color w:val="auto"/>
              </w:rPr>
              <w:t xml:space="preserve"> </w:t>
            </w:r>
            <w:r w:rsidRPr="00305508">
              <w:rPr>
                <w:color w:val="auto"/>
                <w:sz w:val="20"/>
                <w:szCs w:val="20"/>
              </w:rPr>
              <w:t xml:space="preserve">Zarządu Województwa Śląskiego z dnia </w:t>
            </w:r>
            <w:r w:rsidR="00011EE4" w:rsidRPr="00305508">
              <w:rPr>
                <w:color w:val="auto"/>
                <w:sz w:val="20"/>
                <w:szCs w:val="20"/>
              </w:rPr>
              <w:t>3 marca 2011</w:t>
            </w:r>
            <w:r w:rsidRPr="00305508">
              <w:rPr>
                <w:color w:val="auto"/>
                <w:sz w:val="20"/>
                <w:szCs w:val="20"/>
              </w:rPr>
              <w:t xml:space="preserve"> roku</w:t>
            </w:r>
          </w:p>
        </w:tc>
        <w:tc>
          <w:tcPr>
            <w:tcW w:w="4819" w:type="dxa"/>
            <w:tcBorders>
              <w:top w:val="single" w:sz="24" w:space="0" w:color="FFFFFF"/>
            </w:tcBorders>
            <w:shd w:val="clear" w:color="auto" w:fill="F9D8CD" w:themeFill="accent1" w:themeFillTint="33"/>
            <w:vAlign w:val="center"/>
          </w:tcPr>
          <w:p w:rsidR="00A76E14" w:rsidRPr="00305508" w:rsidRDefault="00A76E14" w:rsidP="00BA2FE7">
            <w:pPr>
              <w:pStyle w:val="Akapitzlist"/>
              <w:numPr>
                <w:ilvl w:val="0"/>
                <w:numId w:val="41"/>
              </w:numPr>
              <w:tabs>
                <w:tab w:val="left" w:pos="85"/>
              </w:tabs>
              <w:spacing w:before="120" w:after="120" w:line="240" w:lineRule="auto"/>
              <w:ind w:left="85" w:hanging="141"/>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aktualizacja przepisów prawnych,</w:t>
            </w:r>
          </w:p>
          <w:p w:rsidR="00A76E14" w:rsidRPr="00305508" w:rsidRDefault="00A76E14" w:rsidP="00BA2FE7">
            <w:pPr>
              <w:pStyle w:val="Akapitzlist"/>
              <w:numPr>
                <w:ilvl w:val="0"/>
                <w:numId w:val="41"/>
              </w:numPr>
              <w:tabs>
                <w:tab w:val="left" w:pos="85"/>
              </w:tabs>
              <w:spacing w:before="120" w:after="120" w:line="240" w:lineRule="auto"/>
              <w:ind w:left="85" w:hanging="141"/>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 xml:space="preserve">dostosowanie zapisów do zmian wprowadzonych w RPO po aprobacie KE. Zmiana w </w:t>
            </w:r>
            <w:r w:rsidR="00F26B25" w:rsidRPr="00305508">
              <w:rPr>
                <w:sz w:val="20"/>
                <w:szCs w:val="20"/>
              </w:rPr>
              <w:t>p</w:t>
            </w:r>
            <w:r w:rsidRPr="00305508">
              <w:rPr>
                <w:sz w:val="20"/>
                <w:szCs w:val="20"/>
              </w:rPr>
              <w:t>riorytecie V dotyczy usunięcia wymogu likwidacji w ramach 1. przykładowego rodzaju projektu, indywidualnych systemów ogrzewania,</w:t>
            </w:r>
          </w:p>
          <w:p w:rsidR="00A76E14" w:rsidRPr="00305508" w:rsidRDefault="00A76E14" w:rsidP="00BA2FE7">
            <w:pPr>
              <w:pStyle w:val="Akapitzlist"/>
              <w:numPr>
                <w:ilvl w:val="0"/>
                <w:numId w:val="15"/>
              </w:numPr>
              <w:tabs>
                <w:tab w:val="left" w:pos="227"/>
              </w:tabs>
              <w:spacing w:before="120" w:after="120" w:line="240" w:lineRule="auto"/>
              <w:ind w:left="0" w:firstLine="0"/>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zagospodarowanie powstałych oszczędności: z poddziałania 1.1.1 typ projektu 7 do działania 1.2.4, z działania 5.2 do 5.1; z poddziałania 7.1.1 do działania 7.2; z działania 9.2 do działania 9.3,</w:t>
            </w:r>
          </w:p>
          <w:p w:rsidR="00A76E14" w:rsidRPr="00305508" w:rsidRDefault="00A76E14" w:rsidP="00BA2FE7">
            <w:pPr>
              <w:pStyle w:val="Akapitzlist"/>
              <w:numPr>
                <w:ilvl w:val="0"/>
                <w:numId w:val="15"/>
              </w:numPr>
              <w:tabs>
                <w:tab w:val="left" w:pos="227"/>
              </w:tabs>
              <w:spacing w:before="120" w:after="120" w:line="240" w:lineRule="auto"/>
              <w:ind w:left="0" w:firstLine="0"/>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dodan</w:t>
            </w:r>
            <w:r w:rsidR="00962A0D" w:rsidRPr="00305508">
              <w:rPr>
                <w:sz w:val="20"/>
                <w:szCs w:val="20"/>
              </w:rPr>
              <w:t>ie</w:t>
            </w:r>
            <w:r w:rsidRPr="00305508">
              <w:rPr>
                <w:sz w:val="20"/>
                <w:szCs w:val="20"/>
              </w:rPr>
              <w:t xml:space="preserve"> załącznik</w:t>
            </w:r>
            <w:r w:rsidR="00962A0D" w:rsidRPr="00305508">
              <w:rPr>
                <w:sz w:val="20"/>
                <w:szCs w:val="20"/>
              </w:rPr>
              <w:t>a</w:t>
            </w:r>
            <w:r w:rsidRPr="00305508">
              <w:rPr>
                <w:sz w:val="20"/>
                <w:szCs w:val="20"/>
              </w:rPr>
              <w:t xml:space="preserve"> </w:t>
            </w:r>
            <w:r w:rsidRPr="00305508">
              <w:rPr>
                <w:i/>
                <w:sz w:val="20"/>
                <w:szCs w:val="20"/>
              </w:rPr>
              <w:t>Formularz o pomocy publicznej dla projektów targowych</w:t>
            </w:r>
            <w:r w:rsidRPr="00305508">
              <w:rPr>
                <w:sz w:val="20"/>
                <w:szCs w:val="20"/>
              </w:rPr>
              <w:t xml:space="preserve"> .</w:t>
            </w:r>
          </w:p>
        </w:tc>
      </w:tr>
      <w:tr w:rsidR="00BF5159" w:rsidRPr="00305508" w:rsidTr="00C74054">
        <w:trPr>
          <w:trHeight w:val="1855"/>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A76E14" w:rsidP="00C43B75">
            <w:pPr>
              <w:spacing w:after="0"/>
              <w:jc w:val="center"/>
              <w:rPr>
                <w:b w:val="0"/>
                <w:bCs w:val="0"/>
                <w:color w:val="auto"/>
                <w:sz w:val="20"/>
                <w:szCs w:val="20"/>
              </w:rPr>
            </w:pPr>
            <w:r w:rsidRPr="00305508">
              <w:rPr>
                <w:color w:val="auto"/>
                <w:sz w:val="20"/>
                <w:szCs w:val="20"/>
              </w:rPr>
              <w:t xml:space="preserve">Uchwała nr </w:t>
            </w:r>
            <w:r w:rsidR="00604AD0" w:rsidRPr="00305508">
              <w:rPr>
                <w:color w:val="auto"/>
                <w:sz w:val="20"/>
                <w:szCs w:val="20"/>
              </w:rPr>
              <w:t>788/3</w:t>
            </w:r>
            <w:r w:rsidRPr="00305508">
              <w:rPr>
                <w:color w:val="auto"/>
                <w:sz w:val="20"/>
                <w:szCs w:val="20"/>
              </w:rPr>
              <w:t>6/IV/2011</w:t>
            </w:r>
            <w:r w:rsidRPr="00305508">
              <w:rPr>
                <w:color w:val="auto"/>
              </w:rPr>
              <w:t xml:space="preserve"> </w:t>
            </w:r>
            <w:r w:rsidRPr="00305508">
              <w:rPr>
                <w:color w:val="auto"/>
                <w:sz w:val="20"/>
                <w:szCs w:val="20"/>
              </w:rPr>
              <w:t>Zarządu Województwa Śląskiego z dnia 3</w:t>
            </w:r>
            <w:r w:rsidR="00604AD0" w:rsidRPr="00305508">
              <w:rPr>
                <w:color w:val="auto"/>
                <w:sz w:val="20"/>
                <w:szCs w:val="20"/>
              </w:rPr>
              <w:t>1</w:t>
            </w:r>
            <w:r w:rsidRPr="00305508">
              <w:rPr>
                <w:color w:val="auto"/>
                <w:sz w:val="20"/>
                <w:szCs w:val="20"/>
              </w:rPr>
              <w:t xml:space="preserve"> marca 2011 roku</w:t>
            </w:r>
          </w:p>
        </w:tc>
        <w:tc>
          <w:tcPr>
            <w:tcW w:w="4819" w:type="dxa"/>
            <w:tcBorders>
              <w:top w:val="single" w:sz="8" w:space="0" w:color="FFFFFF"/>
              <w:bottom w:val="single" w:sz="8" w:space="0" w:color="FFFFFF"/>
            </w:tcBorders>
            <w:shd w:val="clear" w:color="auto" w:fill="F9D8CD" w:themeFill="accent1" w:themeFillTint="33"/>
            <w:vAlign w:val="center"/>
          </w:tcPr>
          <w:p w:rsidR="00BF5159" w:rsidRPr="00305508" w:rsidRDefault="00604AD0" w:rsidP="006D71C7">
            <w:pPr>
              <w:tabs>
                <w:tab w:val="left" w:pos="369"/>
              </w:tabs>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 xml:space="preserve">Aktualizacja związana z dostosowaniem URPO do aktualnych wymogów prawnych oraz doprecyzowaniem dotychczasowych zapisów głównie w zakresie </w:t>
            </w:r>
            <w:r w:rsidR="00F26B25" w:rsidRPr="00305508">
              <w:rPr>
                <w:sz w:val="20"/>
                <w:szCs w:val="20"/>
              </w:rPr>
              <w:t>d</w:t>
            </w:r>
            <w:r w:rsidRPr="00305508">
              <w:rPr>
                <w:sz w:val="20"/>
                <w:szCs w:val="20"/>
              </w:rPr>
              <w:t xml:space="preserve">ziałania 2.1 </w:t>
            </w:r>
            <w:r w:rsidRPr="00305508">
              <w:rPr>
                <w:rStyle w:val="Uwydatnienie"/>
                <w:sz w:val="20"/>
                <w:szCs w:val="20"/>
              </w:rPr>
              <w:t>Infrastruktura społeczeństwa informacyjnego</w:t>
            </w:r>
            <w:r w:rsidRPr="00305508">
              <w:rPr>
                <w:sz w:val="20"/>
                <w:szCs w:val="20"/>
              </w:rPr>
              <w:t xml:space="preserve"> pod kątem konkursu z 8 kwietnia 2011 r.</w:t>
            </w:r>
          </w:p>
        </w:tc>
      </w:tr>
      <w:tr w:rsidR="00BF5159" w:rsidRPr="00305508" w:rsidTr="00C74054">
        <w:trPr>
          <w:cnfStyle w:val="000000100000" w:firstRow="0" w:lastRow="0" w:firstColumn="0" w:lastColumn="0" w:oddVBand="0" w:evenVBand="0" w:oddHBand="1" w:evenHBand="0" w:firstRowFirstColumn="0" w:firstRowLastColumn="0" w:lastRowFirstColumn="0" w:lastRowLastColumn="0"/>
          <w:trHeight w:val="3531"/>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604AD0" w:rsidP="00C43B75">
            <w:pPr>
              <w:spacing w:after="0"/>
              <w:jc w:val="center"/>
              <w:rPr>
                <w:b w:val="0"/>
                <w:bCs w:val="0"/>
                <w:color w:val="auto"/>
                <w:sz w:val="20"/>
                <w:szCs w:val="20"/>
              </w:rPr>
            </w:pPr>
            <w:r w:rsidRPr="00305508">
              <w:rPr>
                <w:color w:val="auto"/>
                <w:sz w:val="20"/>
                <w:szCs w:val="20"/>
              </w:rPr>
              <w:t>Uchwała nr 1061/44/IV/2011</w:t>
            </w:r>
            <w:r w:rsidRPr="00305508">
              <w:rPr>
                <w:color w:val="auto"/>
              </w:rPr>
              <w:t xml:space="preserve"> </w:t>
            </w:r>
            <w:r w:rsidRPr="00305508">
              <w:rPr>
                <w:color w:val="auto"/>
                <w:sz w:val="20"/>
                <w:szCs w:val="20"/>
              </w:rPr>
              <w:t>Zarządu Województwa Śląskiego z dnia 28 kwietnia 2011 roku</w:t>
            </w:r>
          </w:p>
        </w:tc>
        <w:tc>
          <w:tcPr>
            <w:tcW w:w="4819" w:type="dxa"/>
            <w:shd w:val="clear" w:color="auto" w:fill="F9D8CD" w:themeFill="accent1" w:themeFillTint="33"/>
            <w:vAlign w:val="center"/>
          </w:tcPr>
          <w:p w:rsidR="00604AD0" w:rsidRPr="00305508" w:rsidRDefault="00604AD0" w:rsidP="006D71C7">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szCs w:val="24"/>
              </w:rPr>
            </w:pPr>
          </w:p>
          <w:tbl>
            <w:tblPr>
              <w:tblW w:w="0" w:type="auto"/>
              <w:tblBorders>
                <w:top w:val="nil"/>
                <w:left w:val="nil"/>
                <w:bottom w:val="nil"/>
                <w:right w:val="nil"/>
              </w:tblBorders>
              <w:tblLook w:val="0000" w:firstRow="0" w:lastRow="0" w:firstColumn="0" w:lastColumn="0" w:noHBand="0" w:noVBand="0"/>
            </w:tblPr>
            <w:tblGrid>
              <w:gridCol w:w="4603"/>
            </w:tblGrid>
            <w:tr w:rsidR="00604AD0" w:rsidRPr="00305508" w:rsidTr="00E37FAD">
              <w:trPr>
                <w:trHeight w:val="3238"/>
              </w:trPr>
              <w:tc>
                <w:tcPr>
                  <w:tcW w:w="0" w:type="auto"/>
                </w:tcPr>
                <w:p w:rsidR="00E37FAD" w:rsidRPr="00305508" w:rsidRDefault="00E37FAD" w:rsidP="006D71C7">
                  <w:pPr>
                    <w:pStyle w:val="Akapitzlist"/>
                    <w:autoSpaceDE w:val="0"/>
                    <w:autoSpaceDN w:val="0"/>
                    <w:adjustRightInd w:val="0"/>
                    <w:spacing w:after="0" w:line="240" w:lineRule="auto"/>
                    <w:ind w:left="0"/>
                    <w:jc w:val="both"/>
                    <w:rPr>
                      <w:sz w:val="20"/>
                      <w:szCs w:val="20"/>
                    </w:rPr>
                  </w:pPr>
                  <w:r w:rsidRPr="00305508">
                    <w:rPr>
                      <w:rFonts w:eastAsia="Calibri"/>
                      <w:sz w:val="20"/>
                      <w:szCs w:val="20"/>
                    </w:rPr>
                    <w:t>- a</w:t>
                  </w:r>
                  <w:r w:rsidR="00604AD0" w:rsidRPr="00305508">
                    <w:rPr>
                      <w:rFonts w:eastAsia="Calibri"/>
                      <w:sz w:val="20"/>
                      <w:szCs w:val="20"/>
                    </w:rPr>
                    <w:t>ktualizacja związana z przeniesieniem wolnych środków pomiędzy działania/poddziałania:</w:t>
                  </w:r>
                  <w:r w:rsidR="00604AD0" w:rsidRPr="00305508">
                    <w:rPr>
                      <w:rFonts w:eastAsia="Calibri"/>
                      <w:szCs w:val="24"/>
                    </w:rPr>
                    <w:t xml:space="preserve"> </w:t>
                  </w:r>
                  <w:r w:rsidR="00604AD0" w:rsidRPr="00305508">
                    <w:rPr>
                      <w:rFonts w:eastAsia="Calibri"/>
                      <w:sz w:val="20"/>
                      <w:szCs w:val="20"/>
                    </w:rPr>
                    <w:t xml:space="preserve">z alokacji PRS </w:t>
                  </w:r>
                  <w:r w:rsidRPr="00305508">
                    <w:rPr>
                      <w:rFonts w:eastAsia="Calibri"/>
                      <w:sz w:val="20"/>
                      <w:szCs w:val="20"/>
                    </w:rPr>
                    <w:t xml:space="preserve">z </w:t>
                  </w:r>
                  <w:r w:rsidR="00604AD0" w:rsidRPr="00305508">
                    <w:rPr>
                      <w:rFonts w:eastAsia="Calibri"/>
                      <w:sz w:val="20"/>
                      <w:szCs w:val="20"/>
                    </w:rPr>
                    <w:t>działania 2.1 oraz 2.2 do alokacji konkursowej działania 2.2, z alokacji PRS poddziałania 3.2.2 do alokacji konkursowej poddziałania 3.1.2.</w:t>
                  </w:r>
                  <w:r w:rsidRPr="00305508">
                    <w:rPr>
                      <w:rFonts w:eastAsia="Calibri"/>
                      <w:sz w:val="20"/>
                      <w:szCs w:val="20"/>
                    </w:rPr>
                    <w:t>,</w:t>
                  </w:r>
                  <w:r w:rsidR="00604AD0" w:rsidRPr="00305508">
                    <w:rPr>
                      <w:rFonts w:eastAsia="Calibri"/>
                      <w:sz w:val="20"/>
                      <w:szCs w:val="20"/>
                    </w:rPr>
                    <w:t xml:space="preserve"> z alokacji PRS działań: 5.3. </w:t>
                  </w:r>
                  <w:r w:rsidR="00604AD0" w:rsidRPr="00305508">
                    <w:rPr>
                      <w:sz w:val="20"/>
                      <w:szCs w:val="20"/>
                    </w:rPr>
                    <w:t>6.2.1, 6.2.2., do alo</w:t>
                  </w:r>
                  <w:r w:rsidRPr="00305508">
                    <w:rPr>
                      <w:sz w:val="20"/>
                      <w:szCs w:val="20"/>
                    </w:rPr>
                    <w:t>kacji konkursowej tych działań,</w:t>
                  </w:r>
                </w:p>
                <w:p w:rsidR="00E37FAD" w:rsidRPr="00305508" w:rsidRDefault="00E37FAD" w:rsidP="006D71C7">
                  <w:pPr>
                    <w:autoSpaceDE w:val="0"/>
                    <w:autoSpaceDN w:val="0"/>
                    <w:adjustRightInd w:val="0"/>
                    <w:spacing w:after="0" w:line="240" w:lineRule="auto"/>
                    <w:jc w:val="both"/>
                    <w:rPr>
                      <w:sz w:val="20"/>
                      <w:szCs w:val="20"/>
                    </w:rPr>
                  </w:pPr>
                  <w:r w:rsidRPr="00305508">
                    <w:rPr>
                      <w:sz w:val="20"/>
                      <w:szCs w:val="20"/>
                    </w:rPr>
                    <w:t xml:space="preserve">- dodanie  do działania 6.1 wskaźnika rezultatu w celu możliwości przełożenia osiąganych przez projekty kluczowe wskaźników na realizację wskaźnika rezultatu priorytetu VI zapisanego w RPO: </w:t>
                  </w:r>
                  <w:r w:rsidRPr="00305508">
                    <w:rPr>
                      <w:i/>
                      <w:iCs/>
                      <w:sz w:val="20"/>
                      <w:szCs w:val="20"/>
                    </w:rPr>
                    <w:t>Powierzchnia terenów zrewitalizowanych</w:t>
                  </w:r>
                  <w:r w:rsidR="00962A0D" w:rsidRPr="00305508">
                    <w:rPr>
                      <w:sz w:val="20"/>
                      <w:szCs w:val="20"/>
                    </w:rPr>
                    <w:t>, w</w:t>
                  </w:r>
                  <w:r w:rsidRPr="00305508">
                    <w:rPr>
                      <w:sz w:val="20"/>
                      <w:szCs w:val="20"/>
                    </w:rPr>
                    <w:t xml:space="preserve">skaźnik ten funkcjonuje dla działania 6.2, i dotyczy tej samej kategorii interwencji. </w:t>
                  </w:r>
                </w:p>
                <w:p w:rsidR="00604AD0" w:rsidRPr="00305508" w:rsidRDefault="00604AD0" w:rsidP="006D71C7">
                  <w:pPr>
                    <w:autoSpaceDE w:val="0"/>
                    <w:autoSpaceDN w:val="0"/>
                    <w:adjustRightInd w:val="0"/>
                    <w:spacing w:after="0" w:line="240" w:lineRule="auto"/>
                    <w:ind w:left="-35"/>
                    <w:jc w:val="both"/>
                    <w:rPr>
                      <w:rFonts w:eastAsia="Calibri"/>
                      <w:sz w:val="20"/>
                      <w:szCs w:val="20"/>
                    </w:rPr>
                  </w:pPr>
                  <w:r w:rsidRPr="00305508">
                    <w:rPr>
                      <w:rFonts w:eastAsia="Calibri"/>
                      <w:i/>
                      <w:iCs/>
                      <w:sz w:val="20"/>
                      <w:szCs w:val="20"/>
                    </w:rPr>
                    <w:t xml:space="preserve"> </w:t>
                  </w:r>
                </w:p>
              </w:tc>
            </w:tr>
          </w:tbl>
          <w:p w:rsidR="00BF5159" w:rsidRPr="00305508" w:rsidRDefault="00BF5159" w:rsidP="006D71C7">
            <w:pPr>
              <w:pStyle w:val="NormalnyWeb"/>
              <w:tabs>
                <w:tab w:val="left" w:pos="-56"/>
              </w:tabs>
              <w:spacing w:after="0"/>
              <w:ind w:left="-56"/>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BF5159" w:rsidRPr="00305508" w:rsidTr="00C74054">
        <w:trPr>
          <w:trHeight w:val="1817"/>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1619AA" w:rsidP="00C43B75">
            <w:pPr>
              <w:spacing w:after="0"/>
              <w:jc w:val="center"/>
              <w:rPr>
                <w:b w:val="0"/>
                <w:bCs w:val="0"/>
                <w:color w:val="auto"/>
                <w:sz w:val="20"/>
                <w:szCs w:val="20"/>
              </w:rPr>
            </w:pPr>
            <w:r w:rsidRPr="00305508">
              <w:rPr>
                <w:color w:val="auto"/>
                <w:sz w:val="20"/>
                <w:szCs w:val="20"/>
              </w:rPr>
              <w:t xml:space="preserve">Uchwała nr </w:t>
            </w:r>
            <w:r w:rsidR="00E37FAD" w:rsidRPr="00305508">
              <w:rPr>
                <w:color w:val="auto"/>
                <w:sz w:val="20"/>
                <w:szCs w:val="20"/>
              </w:rPr>
              <w:t>14</w:t>
            </w:r>
            <w:r w:rsidRPr="00305508">
              <w:rPr>
                <w:color w:val="auto"/>
                <w:sz w:val="20"/>
                <w:szCs w:val="20"/>
              </w:rPr>
              <w:t>61/44/IV/2011</w:t>
            </w:r>
            <w:r w:rsidRPr="00305508">
              <w:rPr>
                <w:color w:val="auto"/>
              </w:rPr>
              <w:t xml:space="preserve"> </w:t>
            </w:r>
            <w:r w:rsidRPr="00305508">
              <w:rPr>
                <w:color w:val="auto"/>
                <w:sz w:val="20"/>
                <w:szCs w:val="20"/>
              </w:rPr>
              <w:t xml:space="preserve">Zarządu Województwa Śląskiego z dnia </w:t>
            </w:r>
            <w:r w:rsidR="00E37FAD" w:rsidRPr="00305508">
              <w:rPr>
                <w:color w:val="auto"/>
                <w:sz w:val="20"/>
                <w:szCs w:val="20"/>
              </w:rPr>
              <w:t>7 czerwca</w:t>
            </w:r>
            <w:r w:rsidRPr="00305508">
              <w:rPr>
                <w:color w:val="auto"/>
                <w:sz w:val="20"/>
                <w:szCs w:val="20"/>
              </w:rPr>
              <w:t xml:space="preserve"> 2011 roku</w:t>
            </w:r>
          </w:p>
        </w:tc>
        <w:tc>
          <w:tcPr>
            <w:tcW w:w="4819" w:type="dxa"/>
            <w:tcBorders>
              <w:top w:val="single" w:sz="8" w:space="0" w:color="FFFFFF"/>
              <w:bottom w:val="single" w:sz="8" w:space="0" w:color="FFFFFF"/>
            </w:tcBorders>
            <w:shd w:val="clear" w:color="auto" w:fill="F9D8CD" w:themeFill="accent1" w:themeFillTint="33"/>
            <w:vAlign w:val="center"/>
          </w:tcPr>
          <w:p w:rsidR="00BF5159" w:rsidRPr="00305508" w:rsidRDefault="00E37FAD" w:rsidP="006D71C7">
            <w:pPr>
              <w:pStyle w:val="Akapitzlist"/>
              <w:tabs>
                <w:tab w:val="left" w:pos="-56"/>
              </w:tabs>
              <w:spacing w:after="0" w:line="240" w:lineRule="auto"/>
              <w:ind w:left="-57"/>
              <w:jc w:val="both"/>
              <w:cnfStyle w:val="000000000000" w:firstRow="0" w:lastRow="0" w:firstColumn="0" w:lastColumn="0" w:oddVBand="0" w:evenVBand="0" w:oddHBand="0" w:evenHBand="0" w:firstRowFirstColumn="0" w:firstRowLastColumn="0" w:lastRowFirstColumn="0" w:lastRowLastColumn="0"/>
              <w:rPr>
                <w:b/>
                <w:sz w:val="20"/>
                <w:szCs w:val="20"/>
              </w:rPr>
            </w:pPr>
            <w:r w:rsidRPr="00305508">
              <w:rPr>
                <w:sz w:val="20"/>
                <w:szCs w:val="20"/>
              </w:rPr>
              <w:t xml:space="preserve">Aktualizacja związana z dostosowaniem URPO do aktualnych wymogów prawnych oraz doprecyzowaniem dotychczasowych zapisów, głównie w zakresie </w:t>
            </w:r>
            <w:r w:rsidR="00F26B25" w:rsidRPr="00305508">
              <w:rPr>
                <w:sz w:val="20"/>
                <w:szCs w:val="20"/>
              </w:rPr>
              <w:t>d</w:t>
            </w:r>
            <w:r w:rsidRPr="00305508">
              <w:rPr>
                <w:sz w:val="20"/>
                <w:szCs w:val="20"/>
              </w:rPr>
              <w:t xml:space="preserve">ziałania 1.3.  </w:t>
            </w:r>
            <w:r w:rsidRPr="00305508">
              <w:rPr>
                <w:rStyle w:val="Uwydatnienie"/>
                <w:sz w:val="20"/>
                <w:szCs w:val="20"/>
              </w:rPr>
              <w:t>Transfer technologii i innowacji,</w:t>
            </w:r>
            <w:r w:rsidRPr="00305508">
              <w:rPr>
                <w:sz w:val="20"/>
                <w:szCs w:val="20"/>
              </w:rPr>
              <w:t>  pod kątem konkursu z 10 czerwca 2011 r.</w:t>
            </w:r>
          </w:p>
        </w:tc>
      </w:tr>
      <w:tr w:rsidR="00BF5159" w:rsidRPr="00305508" w:rsidTr="00C74054">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E37FAD" w:rsidP="00C43B75">
            <w:pPr>
              <w:spacing w:after="0"/>
              <w:jc w:val="center"/>
              <w:rPr>
                <w:b w:val="0"/>
                <w:bCs w:val="0"/>
                <w:color w:val="auto"/>
                <w:sz w:val="20"/>
                <w:szCs w:val="20"/>
              </w:rPr>
            </w:pPr>
            <w:r w:rsidRPr="00305508">
              <w:rPr>
                <w:color w:val="auto"/>
                <w:sz w:val="20"/>
                <w:szCs w:val="20"/>
              </w:rPr>
              <w:t>Uchwała nr 1792/61/IV/2011</w:t>
            </w:r>
            <w:r w:rsidRPr="00305508">
              <w:rPr>
                <w:color w:val="auto"/>
              </w:rPr>
              <w:t xml:space="preserve"> </w:t>
            </w:r>
            <w:r w:rsidRPr="00305508">
              <w:rPr>
                <w:color w:val="auto"/>
                <w:sz w:val="20"/>
                <w:szCs w:val="20"/>
              </w:rPr>
              <w:t>Zarządu Województwa Śląskiego z dnia 5 lipca 2011 roku</w:t>
            </w:r>
          </w:p>
        </w:tc>
        <w:tc>
          <w:tcPr>
            <w:tcW w:w="4819" w:type="dxa"/>
            <w:shd w:val="clear" w:color="auto" w:fill="F9D8CD" w:themeFill="accent1" w:themeFillTint="33"/>
            <w:vAlign w:val="center"/>
          </w:tcPr>
          <w:p w:rsidR="0039486E" w:rsidRPr="00305508" w:rsidRDefault="0039486E" w:rsidP="006D71C7">
            <w:pPr>
              <w:pStyle w:val="Default"/>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Verdana"/>
                <w:color w:val="auto"/>
              </w:rPr>
            </w:pPr>
          </w:p>
          <w:tbl>
            <w:tblPr>
              <w:tblW w:w="0" w:type="auto"/>
              <w:tblBorders>
                <w:top w:val="nil"/>
                <w:left w:val="nil"/>
                <w:bottom w:val="nil"/>
                <w:right w:val="nil"/>
              </w:tblBorders>
              <w:tblLook w:val="0000" w:firstRow="0" w:lastRow="0" w:firstColumn="0" w:lastColumn="0" w:noHBand="0" w:noVBand="0"/>
            </w:tblPr>
            <w:tblGrid>
              <w:gridCol w:w="4603"/>
            </w:tblGrid>
            <w:tr w:rsidR="0039486E" w:rsidRPr="00305508" w:rsidTr="0039486E">
              <w:trPr>
                <w:trHeight w:val="522"/>
              </w:trPr>
              <w:tc>
                <w:tcPr>
                  <w:tcW w:w="0" w:type="auto"/>
                  <w:vAlign w:val="center"/>
                </w:tcPr>
                <w:p w:rsidR="0039486E" w:rsidRPr="00305508" w:rsidRDefault="0039486E" w:rsidP="006D71C7">
                  <w:pPr>
                    <w:autoSpaceDE w:val="0"/>
                    <w:autoSpaceDN w:val="0"/>
                    <w:adjustRightInd w:val="0"/>
                    <w:spacing w:after="0" w:line="240" w:lineRule="auto"/>
                    <w:jc w:val="both"/>
                    <w:rPr>
                      <w:rFonts w:eastAsia="Calibri"/>
                      <w:sz w:val="20"/>
                      <w:szCs w:val="20"/>
                    </w:rPr>
                  </w:pPr>
                  <w:r w:rsidRPr="00305508">
                    <w:rPr>
                      <w:rFonts w:eastAsia="Calibri"/>
                      <w:sz w:val="20"/>
                      <w:szCs w:val="20"/>
                    </w:rPr>
                    <w:t xml:space="preserve">Doprecyzowanie zapisów pod kątem specyfiki </w:t>
                  </w:r>
                  <w:r w:rsidR="00F26B25" w:rsidRPr="00305508">
                    <w:rPr>
                      <w:rFonts w:eastAsia="Calibri"/>
                      <w:sz w:val="20"/>
                      <w:szCs w:val="20"/>
                    </w:rPr>
                    <w:t>projektów</w:t>
                  </w:r>
                  <w:r w:rsidRPr="00305508">
                    <w:rPr>
                      <w:rFonts w:eastAsia="Calibri"/>
                      <w:sz w:val="20"/>
                      <w:szCs w:val="20"/>
                    </w:rPr>
                    <w:t xml:space="preserve"> kluczowych, realizowanych ze środków RPO WSL w celu przywrócenia infrastruktury zniszczonej na skutek powodzi.</w:t>
                  </w:r>
                </w:p>
              </w:tc>
            </w:tr>
          </w:tbl>
          <w:p w:rsidR="00BF5159" w:rsidRPr="00305508" w:rsidRDefault="00BF5159" w:rsidP="006D71C7">
            <w:pPr>
              <w:pStyle w:val="Default"/>
              <w:tabs>
                <w:tab w:val="left" w:pos="-56"/>
                <w:tab w:val="left" w:pos="369"/>
              </w:tabs>
              <w:ind w:left="85"/>
              <w:jc w:val="both"/>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BF5159" w:rsidRPr="00305508" w:rsidTr="00C74054">
        <w:trPr>
          <w:trHeight w:val="2655"/>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39486E" w:rsidP="00C43B75">
            <w:pPr>
              <w:spacing w:after="0"/>
              <w:jc w:val="center"/>
              <w:rPr>
                <w:b w:val="0"/>
                <w:bCs w:val="0"/>
                <w:color w:val="auto"/>
                <w:sz w:val="20"/>
                <w:szCs w:val="20"/>
              </w:rPr>
            </w:pPr>
            <w:r w:rsidRPr="00305508">
              <w:rPr>
                <w:color w:val="auto"/>
                <w:sz w:val="20"/>
                <w:szCs w:val="20"/>
              </w:rPr>
              <w:t>Uchwała nr 2004/66/IV/2011</w:t>
            </w:r>
            <w:r w:rsidRPr="00305508">
              <w:rPr>
                <w:color w:val="auto"/>
              </w:rPr>
              <w:t xml:space="preserve"> </w:t>
            </w:r>
            <w:r w:rsidRPr="00305508">
              <w:rPr>
                <w:color w:val="auto"/>
                <w:sz w:val="20"/>
                <w:szCs w:val="20"/>
              </w:rPr>
              <w:t>Zarządu Województwa Śląskiego z dnia 28 lipca 2011 roku</w:t>
            </w:r>
          </w:p>
        </w:tc>
        <w:tc>
          <w:tcPr>
            <w:tcW w:w="4819" w:type="dxa"/>
            <w:tcBorders>
              <w:top w:val="single" w:sz="8" w:space="0" w:color="FFFFFF"/>
              <w:bottom w:val="single" w:sz="8" w:space="0" w:color="FFFFFF"/>
            </w:tcBorders>
            <w:shd w:val="clear" w:color="auto" w:fill="F9D8CD" w:themeFill="accent1" w:themeFillTint="33"/>
            <w:vAlign w:val="center"/>
          </w:tcPr>
          <w:p w:rsidR="00BF5159" w:rsidRPr="00305508" w:rsidRDefault="0039486E" w:rsidP="00BA2FE7">
            <w:pPr>
              <w:pStyle w:val="Default"/>
              <w:numPr>
                <w:ilvl w:val="0"/>
                <w:numId w:val="16"/>
              </w:numPr>
              <w:tabs>
                <w:tab w:val="left" w:pos="104"/>
                <w:tab w:val="left" w:pos="369"/>
              </w:tabs>
              <w:ind w:left="85" w:firstLine="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305508">
              <w:rPr>
                <w:color w:val="auto"/>
                <w:sz w:val="20"/>
                <w:szCs w:val="20"/>
              </w:rPr>
              <w:t xml:space="preserve">aktualizacja zapisów w zakresie </w:t>
            </w:r>
            <w:r w:rsidR="00F26B25" w:rsidRPr="00305508">
              <w:rPr>
                <w:color w:val="auto"/>
                <w:sz w:val="20"/>
                <w:szCs w:val="20"/>
              </w:rPr>
              <w:t>p</w:t>
            </w:r>
            <w:r w:rsidRPr="00305508">
              <w:rPr>
                <w:color w:val="auto"/>
                <w:sz w:val="20"/>
                <w:szCs w:val="20"/>
              </w:rPr>
              <w:t xml:space="preserve">oddziałania 3.2.2. "Infrastruktura okołoturystyczna/podmioty publiczne" pod kątem planowanego konkursu w ramach ww. poddziałania oraz w zakresie </w:t>
            </w:r>
            <w:r w:rsidR="00F26B25" w:rsidRPr="00305508">
              <w:rPr>
                <w:color w:val="auto"/>
                <w:sz w:val="20"/>
                <w:szCs w:val="20"/>
              </w:rPr>
              <w:t>d</w:t>
            </w:r>
            <w:r w:rsidRPr="00305508">
              <w:rPr>
                <w:color w:val="auto"/>
                <w:sz w:val="20"/>
                <w:szCs w:val="20"/>
              </w:rPr>
              <w:t xml:space="preserve">ziałania 4.2. </w:t>
            </w:r>
            <w:r w:rsidRPr="00305508">
              <w:rPr>
                <w:rStyle w:val="Uwydatnienie"/>
                <w:color w:val="auto"/>
                <w:sz w:val="20"/>
                <w:szCs w:val="20"/>
              </w:rPr>
              <w:t>Systemy informacji kulturalnej</w:t>
            </w:r>
            <w:r w:rsidRPr="00305508">
              <w:rPr>
                <w:color w:val="auto"/>
                <w:sz w:val="20"/>
                <w:szCs w:val="20"/>
              </w:rPr>
              <w:t xml:space="preserve"> i </w:t>
            </w:r>
            <w:r w:rsidR="00F26B25" w:rsidRPr="00305508">
              <w:rPr>
                <w:color w:val="auto"/>
                <w:sz w:val="20"/>
                <w:szCs w:val="20"/>
              </w:rPr>
              <w:t>d</w:t>
            </w:r>
            <w:r w:rsidRPr="00305508">
              <w:rPr>
                <w:color w:val="auto"/>
                <w:sz w:val="20"/>
                <w:szCs w:val="20"/>
              </w:rPr>
              <w:t xml:space="preserve">ziałania 4.3. </w:t>
            </w:r>
            <w:r w:rsidRPr="00305508">
              <w:rPr>
                <w:rStyle w:val="Uwydatnienie"/>
                <w:color w:val="auto"/>
                <w:sz w:val="20"/>
                <w:szCs w:val="20"/>
              </w:rPr>
              <w:t>Promocja kultury</w:t>
            </w:r>
            <w:r w:rsidRPr="00305508">
              <w:rPr>
                <w:color w:val="auto"/>
                <w:sz w:val="20"/>
                <w:szCs w:val="20"/>
              </w:rPr>
              <w:t xml:space="preserve"> w związku z przesunięciami środków między ww. działaniami, a także w zakresie aktualizacji </w:t>
            </w:r>
            <w:r w:rsidRPr="00305508">
              <w:rPr>
                <w:rStyle w:val="Uwydatnienie"/>
                <w:color w:val="auto"/>
                <w:sz w:val="20"/>
                <w:szCs w:val="20"/>
              </w:rPr>
              <w:t>Indykatywnego Wykazu Indywidualnych Projektów Kluczowych</w:t>
            </w:r>
            <w:r w:rsidRPr="00305508">
              <w:rPr>
                <w:color w:val="auto"/>
                <w:sz w:val="20"/>
                <w:szCs w:val="20"/>
              </w:rPr>
              <w:t>, z uwagi na trwający proces podpisywania umów.</w:t>
            </w:r>
          </w:p>
        </w:tc>
      </w:tr>
      <w:tr w:rsidR="00BF5159" w:rsidRPr="00305508" w:rsidTr="00C74054">
        <w:trPr>
          <w:cnfStyle w:val="000000100000" w:firstRow="0" w:lastRow="0" w:firstColumn="0" w:lastColumn="0" w:oddVBand="0" w:evenVBand="0" w:oddHBand="1" w:evenHBand="0" w:firstRowFirstColumn="0" w:firstRowLastColumn="0" w:lastRowFirstColumn="0" w:lastRowLastColumn="0"/>
          <w:trHeight w:val="2101"/>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39486E" w:rsidP="00C43B75">
            <w:pPr>
              <w:spacing w:after="0"/>
              <w:jc w:val="center"/>
              <w:rPr>
                <w:b w:val="0"/>
                <w:bCs w:val="0"/>
                <w:color w:val="auto"/>
                <w:sz w:val="20"/>
                <w:szCs w:val="20"/>
              </w:rPr>
            </w:pPr>
            <w:r w:rsidRPr="00305508">
              <w:rPr>
                <w:color w:val="auto"/>
                <w:sz w:val="20"/>
                <w:szCs w:val="20"/>
              </w:rPr>
              <w:t>Uchwała nr 2004/66/IV/2011</w:t>
            </w:r>
            <w:r w:rsidRPr="00305508">
              <w:rPr>
                <w:color w:val="auto"/>
              </w:rPr>
              <w:t xml:space="preserve"> </w:t>
            </w:r>
            <w:r w:rsidRPr="00305508">
              <w:rPr>
                <w:color w:val="auto"/>
                <w:sz w:val="20"/>
                <w:szCs w:val="20"/>
              </w:rPr>
              <w:t>Zarządu Województwa Śląskiego z dnia 18 sierpnia 2011 roku</w:t>
            </w:r>
          </w:p>
        </w:tc>
        <w:tc>
          <w:tcPr>
            <w:tcW w:w="4819" w:type="dxa"/>
            <w:shd w:val="clear" w:color="auto" w:fill="F9D8CD" w:themeFill="accent1" w:themeFillTint="33"/>
            <w:vAlign w:val="center"/>
          </w:tcPr>
          <w:p w:rsidR="0039486E" w:rsidRPr="00305508" w:rsidRDefault="0039486E" w:rsidP="006D71C7">
            <w:pPr>
              <w:spacing w:before="120"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2"/>
              </w:rPr>
              <w:t xml:space="preserve">- </w:t>
            </w:r>
            <w:r w:rsidRPr="00305508">
              <w:rPr>
                <w:sz w:val="20"/>
                <w:szCs w:val="20"/>
              </w:rPr>
              <w:t xml:space="preserve">aktualizacja załączników finansowych na skutek przesunięcia środków z  alokacji konkursowej </w:t>
            </w:r>
            <w:r w:rsidR="00F26B25" w:rsidRPr="00305508">
              <w:rPr>
                <w:sz w:val="20"/>
                <w:szCs w:val="20"/>
              </w:rPr>
              <w:t>p</w:t>
            </w:r>
            <w:r w:rsidRPr="00305508">
              <w:rPr>
                <w:sz w:val="20"/>
                <w:szCs w:val="20"/>
              </w:rPr>
              <w:t>oddziałania 6.2.2 Rewitalizacja - „małe miasta" do alokacji konkursowej Poddziałania 6.2.1 Rewitalizacja - „duże miasta",</w:t>
            </w:r>
          </w:p>
          <w:p w:rsidR="0039486E" w:rsidRPr="00305508" w:rsidRDefault="0039486E"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 doprecyzowa</w:t>
            </w:r>
            <w:r w:rsidR="00962A0D" w:rsidRPr="00305508">
              <w:rPr>
                <w:sz w:val="20"/>
                <w:szCs w:val="20"/>
              </w:rPr>
              <w:t>nie zapisów dot.</w:t>
            </w:r>
            <w:r w:rsidRPr="00305508">
              <w:rPr>
                <w:sz w:val="20"/>
                <w:szCs w:val="20"/>
              </w:rPr>
              <w:t xml:space="preserve"> wydatków kwalifikowanych i niekwalifikowanych </w:t>
            </w:r>
            <w:r w:rsidRPr="00305508">
              <w:rPr>
                <w:sz w:val="20"/>
                <w:szCs w:val="20"/>
              </w:rPr>
              <w:br/>
              <w:t xml:space="preserve">w </w:t>
            </w:r>
            <w:r w:rsidR="00F26B25" w:rsidRPr="00305508">
              <w:rPr>
                <w:sz w:val="20"/>
                <w:szCs w:val="20"/>
              </w:rPr>
              <w:t>p</w:t>
            </w:r>
            <w:r w:rsidRPr="00305508">
              <w:rPr>
                <w:sz w:val="20"/>
                <w:szCs w:val="20"/>
              </w:rPr>
              <w:t xml:space="preserve">oddziałaniach 1.2.3 Innowacje w Mikroprzedsiębiorstwach i MŚP, 1.2.4 Mikro, małe i średnie przedsiębiorstwa, 3.1.1 Infrastruktura zaplecza turystycznego/ przedsiębiorstwa i 3.2.1 Infrastruktura okołoturystyczna/ przedsiębiorstwa w załączniku </w:t>
            </w:r>
            <w:r w:rsidRPr="00305508">
              <w:rPr>
                <w:sz w:val="20"/>
                <w:szCs w:val="20"/>
              </w:rPr>
              <w:br/>
              <w:t>nr 2 Wytyczne w sprawie kwalifikowalności wydatków w RPO WSL,</w:t>
            </w:r>
          </w:p>
          <w:p w:rsidR="00BF5159" w:rsidRPr="00305508" w:rsidRDefault="0039486E" w:rsidP="006D71C7">
            <w:pPr>
              <w:spacing w:after="120" w:line="240" w:lineRule="auto"/>
              <w:jc w:val="both"/>
              <w:cnfStyle w:val="000000100000" w:firstRow="0" w:lastRow="0" w:firstColumn="0" w:lastColumn="0" w:oddVBand="0" w:evenVBand="0" w:oddHBand="1" w:evenHBand="0" w:firstRowFirstColumn="0" w:firstRowLastColumn="0" w:lastRowFirstColumn="0" w:lastRowLastColumn="0"/>
              <w:rPr>
                <w:sz w:val="22"/>
              </w:rPr>
            </w:pPr>
            <w:r w:rsidRPr="00305508">
              <w:rPr>
                <w:sz w:val="20"/>
                <w:szCs w:val="20"/>
              </w:rPr>
              <w:t>-doprecyzowani</w:t>
            </w:r>
            <w:r w:rsidR="00962A0D" w:rsidRPr="00305508">
              <w:rPr>
                <w:sz w:val="20"/>
                <w:szCs w:val="20"/>
              </w:rPr>
              <w:t>e</w:t>
            </w:r>
            <w:r w:rsidRPr="00305508">
              <w:rPr>
                <w:sz w:val="20"/>
                <w:szCs w:val="20"/>
              </w:rPr>
              <w:t xml:space="preserve"> zapisów dotyczących kwalifikowalności kosztów nadzorów w załączniku nr 2 Wytyczne w sprawie kwalifikowalności wydatków w RPO WSL</w:t>
            </w:r>
            <w:r w:rsidRPr="00305508">
              <w:rPr>
                <w:sz w:val="22"/>
              </w:rPr>
              <w:t>.</w:t>
            </w:r>
          </w:p>
        </w:tc>
      </w:tr>
      <w:tr w:rsidR="00BF5159" w:rsidRPr="00305508" w:rsidTr="00C74054">
        <w:trPr>
          <w:trHeight w:val="2205"/>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39486E" w:rsidP="00C43B75">
            <w:pPr>
              <w:spacing w:after="0"/>
              <w:jc w:val="center"/>
              <w:rPr>
                <w:b w:val="0"/>
                <w:bCs w:val="0"/>
                <w:color w:val="auto"/>
                <w:sz w:val="20"/>
                <w:szCs w:val="20"/>
              </w:rPr>
            </w:pPr>
            <w:r w:rsidRPr="00305508">
              <w:rPr>
                <w:color w:val="auto"/>
                <w:sz w:val="20"/>
                <w:szCs w:val="20"/>
              </w:rPr>
              <w:t>Uchwała nr 2430/77/IV/2011</w:t>
            </w:r>
            <w:r w:rsidRPr="00305508">
              <w:rPr>
                <w:color w:val="auto"/>
              </w:rPr>
              <w:t xml:space="preserve"> </w:t>
            </w:r>
            <w:r w:rsidRPr="00305508">
              <w:rPr>
                <w:color w:val="auto"/>
                <w:sz w:val="20"/>
                <w:szCs w:val="20"/>
              </w:rPr>
              <w:t>Zarządu Województwa Śląskiego z dnia 13 września 2011 roku</w:t>
            </w:r>
          </w:p>
        </w:tc>
        <w:tc>
          <w:tcPr>
            <w:tcW w:w="4819" w:type="dxa"/>
            <w:tcBorders>
              <w:top w:val="single" w:sz="8" w:space="0" w:color="FFFFFF"/>
              <w:bottom w:val="single" w:sz="8" w:space="0" w:color="FFFFFF"/>
            </w:tcBorders>
            <w:shd w:val="clear" w:color="auto" w:fill="F9D8CD" w:themeFill="accent1" w:themeFillTint="33"/>
            <w:vAlign w:val="center"/>
          </w:tcPr>
          <w:p w:rsidR="0039486E" w:rsidRPr="00305508" w:rsidRDefault="0039486E" w:rsidP="00C74054">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Cs w:val="24"/>
              </w:rPr>
              <w:t>-</w:t>
            </w:r>
            <w:r w:rsidR="004B317C" w:rsidRPr="00305508">
              <w:rPr>
                <w:sz w:val="20"/>
                <w:szCs w:val="20"/>
              </w:rPr>
              <w:t>doprecyzowanie</w:t>
            </w:r>
            <w:r w:rsidRPr="00305508">
              <w:rPr>
                <w:sz w:val="20"/>
                <w:szCs w:val="20"/>
              </w:rPr>
              <w:t xml:space="preserve"> zapisów dotyczących kwalifikowalności wydatków w RPO WSL w załączniku nr 2 Wytyczne w sprawie kwalifikowalności wydatków w zakresie części I i II wytycznych,</w:t>
            </w:r>
          </w:p>
          <w:p w:rsidR="000304D8" w:rsidRPr="00305508" w:rsidRDefault="004B317C"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 xml:space="preserve">- </w:t>
            </w:r>
            <w:r w:rsidR="0039486E" w:rsidRPr="00305508">
              <w:rPr>
                <w:sz w:val="20"/>
                <w:szCs w:val="20"/>
              </w:rPr>
              <w:t>doprecyzowani</w:t>
            </w:r>
            <w:r w:rsidR="00962A0D" w:rsidRPr="00305508">
              <w:rPr>
                <w:sz w:val="20"/>
                <w:szCs w:val="20"/>
              </w:rPr>
              <w:t>e</w:t>
            </w:r>
            <w:r w:rsidR="0039486E" w:rsidRPr="00305508">
              <w:rPr>
                <w:sz w:val="20"/>
                <w:szCs w:val="20"/>
              </w:rPr>
              <w:t xml:space="preserve"> zapisów kryteriów w załączniku nr 6 Kryteria wyboru projektów, w związku z przyjęciem przez Komitet Monitorujący RPO WSL przedmiotowych zmian w kryteriach wyboru projektów dla działań wdrażanych przez IP2 RPO WSL.</w:t>
            </w:r>
          </w:p>
        </w:tc>
      </w:tr>
      <w:tr w:rsidR="00BF5159" w:rsidRPr="00305508" w:rsidTr="00C7405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4B317C" w:rsidP="00C43B75">
            <w:pPr>
              <w:spacing w:after="0"/>
              <w:jc w:val="center"/>
              <w:rPr>
                <w:b w:val="0"/>
                <w:bCs w:val="0"/>
                <w:color w:val="auto"/>
                <w:sz w:val="20"/>
                <w:szCs w:val="20"/>
              </w:rPr>
            </w:pPr>
            <w:r w:rsidRPr="00305508">
              <w:rPr>
                <w:color w:val="auto"/>
                <w:sz w:val="20"/>
                <w:szCs w:val="20"/>
              </w:rPr>
              <w:t>Uchwała nr 2842/88/IV/2011</w:t>
            </w:r>
            <w:r w:rsidRPr="00305508">
              <w:rPr>
                <w:color w:val="auto"/>
              </w:rPr>
              <w:t xml:space="preserve"> </w:t>
            </w:r>
            <w:r w:rsidRPr="00305508">
              <w:rPr>
                <w:color w:val="auto"/>
                <w:sz w:val="20"/>
                <w:szCs w:val="20"/>
              </w:rPr>
              <w:t>Zarządu Województwa Śląskiego z dnia 18 października 2011 roku</w:t>
            </w:r>
          </w:p>
        </w:tc>
        <w:tc>
          <w:tcPr>
            <w:tcW w:w="4819" w:type="dxa"/>
            <w:shd w:val="clear" w:color="auto" w:fill="F9D8CD" w:themeFill="accent1" w:themeFillTint="33"/>
            <w:vAlign w:val="center"/>
          </w:tcPr>
          <w:p w:rsidR="004B317C" w:rsidRPr="00305508" w:rsidRDefault="004B317C" w:rsidP="006D71C7">
            <w:pPr>
              <w:spacing w:before="120"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-dodanie zapisu dotyczącego skrócenia okresu wydatkowania przez beneficjentów IP2 RPO WSL (tj. mikro, małych i średnich przedsiębiorców) środków do roku od ich zakontraktowania tzw. reguła n+3 (n+2);</w:t>
            </w:r>
          </w:p>
          <w:p w:rsidR="00BF5159" w:rsidRPr="00305508" w:rsidRDefault="004B317C"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-doprecyzowani</w:t>
            </w:r>
            <w:r w:rsidR="00962A0D" w:rsidRPr="00305508">
              <w:rPr>
                <w:sz w:val="20"/>
                <w:szCs w:val="20"/>
              </w:rPr>
              <w:t>e</w:t>
            </w:r>
            <w:r w:rsidRPr="00305508">
              <w:rPr>
                <w:sz w:val="20"/>
                <w:szCs w:val="20"/>
              </w:rPr>
              <w:t xml:space="preserve"> zapisów zgodnie z dokumentem Linia demarkacyjna pomiędzy Programami Operacyjnymi Polityki Spójności, Wspólnej Polityki Rolnej i Wspólnej Polityki Rybackiej z dnia 8 października 2010r.  w opisie dla </w:t>
            </w:r>
            <w:r w:rsidR="00F26B25" w:rsidRPr="00305508">
              <w:rPr>
                <w:sz w:val="20"/>
                <w:szCs w:val="20"/>
              </w:rPr>
              <w:t>p</w:t>
            </w:r>
            <w:r w:rsidRPr="00305508">
              <w:rPr>
                <w:sz w:val="20"/>
                <w:szCs w:val="20"/>
              </w:rPr>
              <w:t>oddziałań: 1.2.3 Innowacje w mikroprzedsiębiorstwach i MŚP, 1.2.4. Mikro, małe i średnie przedsiębiorstwa, 3.1.1. Infrastruktura zaplecza turystycznego/przedsiębiorstwa, 3.2.1. Infrastruktura okołoturystyczna/przedsiębiorstwa.</w:t>
            </w:r>
          </w:p>
        </w:tc>
      </w:tr>
      <w:tr w:rsidR="00BF5159" w:rsidRPr="00305508" w:rsidTr="00C74054">
        <w:trPr>
          <w:trHeight w:val="4701"/>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4B317C" w:rsidP="00C43B75">
            <w:pPr>
              <w:spacing w:after="0"/>
              <w:jc w:val="center"/>
              <w:rPr>
                <w:b w:val="0"/>
                <w:bCs w:val="0"/>
                <w:color w:val="auto"/>
                <w:sz w:val="20"/>
                <w:szCs w:val="20"/>
              </w:rPr>
            </w:pPr>
            <w:r w:rsidRPr="00305508">
              <w:rPr>
                <w:color w:val="auto"/>
                <w:sz w:val="20"/>
                <w:szCs w:val="20"/>
              </w:rPr>
              <w:t>Uchwała nr 2842/88/IV/2011</w:t>
            </w:r>
            <w:r w:rsidRPr="00305508">
              <w:rPr>
                <w:color w:val="auto"/>
              </w:rPr>
              <w:t xml:space="preserve"> </w:t>
            </w:r>
            <w:r w:rsidRPr="00305508">
              <w:rPr>
                <w:color w:val="auto"/>
                <w:sz w:val="20"/>
                <w:szCs w:val="20"/>
              </w:rPr>
              <w:t>Zarządu Województwa Śląskiego z dnia 29 listopada 2011 roku</w:t>
            </w:r>
          </w:p>
        </w:tc>
        <w:tc>
          <w:tcPr>
            <w:tcW w:w="4819" w:type="dxa"/>
            <w:tcBorders>
              <w:top w:val="single" w:sz="8" w:space="0" w:color="FFFFFF"/>
              <w:bottom w:val="single" w:sz="8" w:space="0" w:color="FFFFFF"/>
            </w:tcBorders>
            <w:shd w:val="clear" w:color="auto" w:fill="F9D8CD" w:themeFill="accent1" w:themeFillTint="33"/>
            <w:vAlign w:val="center"/>
          </w:tcPr>
          <w:p w:rsidR="004B317C" w:rsidRPr="00305508" w:rsidRDefault="004B317C" w:rsidP="006D71C7">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 xml:space="preserve">- aktualizacja zał. nr 1, tj. Szczegółowego budżetu RPO WSL - tabela finansowa i zał. nr 3 do URPO WSL, tj. Indykatywnej tabeli finansowej zobowiązań w podziale na priorytety i działania (wraz z aktualizacją części finansowej URPO WSL) polegającej na przesunięciu środków pomiędzy działaniami w ramach </w:t>
            </w:r>
            <w:r w:rsidR="00F26B25" w:rsidRPr="00305508">
              <w:rPr>
                <w:sz w:val="20"/>
                <w:szCs w:val="20"/>
              </w:rPr>
              <w:t>p</w:t>
            </w:r>
            <w:r w:rsidRPr="00305508">
              <w:rPr>
                <w:sz w:val="20"/>
                <w:szCs w:val="20"/>
              </w:rPr>
              <w:t>riorytetu V Środowisko ze względu na efektywność wdrażania programu oraz konieczność  wzmocnienia finansowania kategorii interwencji związanych z realizacją Strategii Lizbońskiej,</w:t>
            </w:r>
          </w:p>
          <w:p w:rsidR="004B317C" w:rsidRPr="00305508" w:rsidRDefault="004B317C"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 doprecyzowanie zapisów zał. nr 2 do, tj. Wytycznych w sprawie kwalifikowalności wydatków w RPO WSL, związanych z możliwością finansowania ze środków RPO WSL wydatków związanych z przygotowaniem nowego okresu programowania 2014-2020 oraz kosztów wynikających z zastosowania procedur odwoławczych (dostosowanie wytycznych RPO WSL do Krajowych wytycznych dotyczących kwalifikowania wydatków w ramach funduszy strukturalnych i Funduszu Spójności w okresie programowania 2007-2013),</w:t>
            </w:r>
          </w:p>
          <w:p w:rsidR="00BF5159" w:rsidRPr="00305508" w:rsidRDefault="004B317C" w:rsidP="00DA56FE">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 uzupełnienie Indykatywnego Wykazu Indywidualnych Projektów Kluczowych o listę rezerwową  projektów realizowanych w celu odbudowy infrastruktury zniszczonej na skutek powodzi, zaakceptowaną przez MRR, zgodnie z pismem z 2.11.2011 r. o sygn. DKR-II-82625-12-MSZ/11.</w:t>
            </w:r>
          </w:p>
        </w:tc>
      </w:tr>
      <w:tr w:rsidR="004B317C" w:rsidRPr="00305508" w:rsidTr="00C74054">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4537" w:type="dxa"/>
            <w:shd w:val="clear" w:color="auto" w:fill="F4B29B" w:themeFill="accent1" w:themeFillTint="66"/>
            <w:vAlign w:val="center"/>
          </w:tcPr>
          <w:p w:rsidR="00C43B75" w:rsidRDefault="004B317C" w:rsidP="00C43B75">
            <w:pPr>
              <w:spacing w:after="0"/>
              <w:jc w:val="center"/>
              <w:rPr>
                <w:b w:val="0"/>
                <w:bCs w:val="0"/>
                <w:color w:val="auto"/>
                <w:sz w:val="20"/>
                <w:szCs w:val="20"/>
              </w:rPr>
            </w:pPr>
            <w:r w:rsidRPr="00305508">
              <w:rPr>
                <w:color w:val="auto"/>
                <w:sz w:val="20"/>
                <w:szCs w:val="20"/>
              </w:rPr>
              <w:t>Uchwała nr 3423/105/IV/2011</w:t>
            </w:r>
            <w:r w:rsidRPr="00305508">
              <w:rPr>
                <w:color w:val="auto"/>
              </w:rPr>
              <w:t xml:space="preserve"> </w:t>
            </w:r>
            <w:r w:rsidRPr="00305508">
              <w:rPr>
                <w:color w:val="auto"/>
                <w:sz w:val="20"/>
                <w:szCs w:val="20"/>
              </w:rPr>
              <w:t>Zarządu Województwa Śląskiego z dnia 13 grudnia 2011 roku</w:t>
            </w:r>
          </w:p>
        </w:tc>
        <w:tc>
          <w:tcPr>
            <w:tcW w:w="4819" w:type="dxa"/>
            <w:shd w:val="clear" w:color="auto" w:fill="F9D8CD" w:themeFill="accent1" w:themeFillTint="33"/>
            <w:vAlign w:val="center"/>
          </w:tcPr>
          <w:p w:rsidR="00AB7CF4" w:rsidRPr="00305508" w:rsidRDefault="00AB7CF4" w:rsidP="006D71C7">
            <w:pPr>
              <w:spacing w:before="120"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W związku z zakończeniem procedury renegocjacji i zmiany RPO WSL doprecyzowano zapisy:</w:t>
            </w:r>
          </w:p>
          <w:p w:rsidR="004B317C" w:rsidRPr="00305508" w:rsidRDefault="004B317C"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-rozdziału I Szczegółowego Opisu Priorytetów  pn.: „Podstawowe informacje na temat RPO województwa śląskiego na lata 2007-2013" polegającej na wskazaniu obszarów komplementarności między RPO WSL a Strategią Morza Bałtyckiego oraz zgodności z strategią UE 2020 i Raportem Polska 2030,</w:t>
            </w:r>
          </w:p>
          <w:p w:rsidR="004B317C" w:rsidRPr="00305508" w:rsidRDefault="004B317C"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i/>
                <w:iCs/>
                <w:sz w:val="20"/>
                <w:szCs w:val="20"/>
              </w:rPr>
            </w:pPr>
            <w:r w:rsidRPr="00305508">
              <w:rPr>
                <w:sz w:val="20"/>
                <w:szCs w:val="20"/>
              </w:rPr>
              <w:t xml:space="preserve"> - poszerzenie katalogu beneficjentów </w:t>
            </w:r>
            <w:r w:rsidR="00977372" w:rsidRPr="00305508">
              <w:rPr>
                <w:sz w:val="20"/>
                <w:szCs w:val="20"/>
              </w:rPr>
              <w:t>p</w:t>
            </w:r>
            <w:r w:rsidRPr="00305508">
              <w:rPr>
                <w:sz w:val="20"/>
                <w:szCs w:val="20"/>
              </w:rPr>
              <w:t>riorytetu II społeczeństwo informacyjne Działanie 2.1 </w:t>
            </w:r>
            <w:r w:rsidRPr="00305508">
              <w:rPr>
                <w:i/>
                <w:iCs/>
                <w:sz w:val="20"/>
                <w:szCs w:val="20"/>
              </w:rPr>
              <w:t>Infrastruktura społeczeństwa informacyjnego</w:t>
            </w:r>
            <w:r w:rsidRPr="00305508">
              <w:rPr>
                <w:sz w:val="20"/>
                <w:szCs w:val="20"/>
              </w:rPr>
              <w:t xml:space="preserve"> oraz rozszerzenie katalogu beneficjentów </w:t>
            </w:r>
            <w:r w:rsidR="00977372" w:rsidRPr="00305508">
              <w:rPr>
                <w:sz w:val="20"/>
                <w:szCs w:val="20"/>
              </w:rPr>
              <w:t>p</w:t>
            </w:r>
            <w:r w:rsidRPr="00305508">
              <w:rPr>
                <w:sz w:val="20"/>
                <w:szCs w:val="20"/>
              </w:rPr>
              <w:t xml:space="preserve">riorytetu V  Działanie 5.3 </w:t>
            </w:r>
            <w:r w:rsidRPr="00305508">
              <w:rPr>
                <w:b/>
                <w:bCs/>
                <w:sz w:val="20"/>
                <w:szCs w:val="20"/>
              </w:rPr>
              <w:t>  </w:t>
            </w:r>
            <w:r w:rsidRPr="00305508">
              <w:rPr>
                <w:i/>
                <w:iCs/>
                <w:sz w:val="20"/>
                <w:szCs w:val="20"/>
              </w:rPr>
              <w:t>Czyste powietrze i odnawialne źródła energii,</w:t>
            </w:r>
          </w:p>
          <w:p w:rsidR="004B317C" w:rsidRPr="00305508" w:rsidRDefault="004B317C"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i/>
                <w:iCs/>
                <w:sz w:val="20"/>
                <w:szCs w:val="20"/>
              </w:rPr>
              <w:t xml:space="preserve">- </w:t>
            </w:r>
            <w:r w:rsidRPr="00305508">
              <w:rPr>
                <w:sz w:val="20"/>
                <w:szCs w:val="20"/>
              </w:rPr>
              <w:t xml:space="preserve">zał. nr 1, tj. </w:t>
            </w:r>
            <w:r w:rsidRPr="00305508">
              <w:rPr>
                <w:i/>
                <w:iCs/>
                <w:sz w:val="20"/>
                <w:szCs w:val="20"/>
              </w:rPr>
              <w:t>Szczegółowego budżetu RPO WSL - tabela finansowa</w:t>
            </w:r>
            <w:r w:rsidRPr="00305508">
              <w:rPr>
                <w:sz w:val="20"/>
                <w:szCs w:val="20"/>
              </w:rPr>
              <w:t xml:space="preserve"> i zał. nr 3 do URPO WSL, tj. </w:t>
            </w:r>
            <w:r w:rsidRPr="00305508">
              <w:rPr>
                <w:i/>
                <w:iCs/>
                <w:sz w:val="20"/>
                <w:szCs w:val="20"/>
              </w:rPr>
              <w:t>Indykatywnej tabeli finansowej zobowiązań w podziale na priorytety i działania</w:t>
            </w:r>
            <w:r w:rsidRPr="00305508">
              <w:rPr>
                <w:sz w:val="20"/>
                <w:szCs w:val="20"/>
              </w:rPr>
              <w:t xml:space="preserve"> (wraz z aktualizacją części finansowej URPO WSL) polegającej na uwzględnieniu  w budżecie dodatkowych środków  przyznanych  przez </w:t>
            </w:r>
            <w:r w:rsidR="00C74054">
              <w:rPr>
                <w:sz w:val="20"/>
                <w:szCs w:val="20"/>
              </w:rPr>
              <w:t>MRR</w:t>
            </w:r>
            <w:r w:rsidRPr="00305508">
              <w:rPr>
                <w:sz w:val="20"/>
                <w:szCs w:val="20"/>
              </w:rPr>
              <w:t xml:space="preserve"> w ramach </w:t>
            </w:r>
            <w:r w:rsidR="00C74054">
              <w:rPr>
                <w:sz w:val="20"/>
                <w:szCs w:val="20"/>
              </w:rPr>
              <w:t>KRW</w:t>
            </w:r>
            <w:r w:rsidRPr="00305508">
              <w:rPr>
                <w:sz w:val="20"/>
                <w:szCs w:val="20"/>
              </w:rPr>
              <w:t xml:space="preserve"> oraz dostosowania technicznego,</w:t>
            </w:r>
          </w:p>
          <w:p w:rsidR="000304D8" w:rsidRPr="00305508" w:rsidRDefault="004B317C" w:rsidP="00C74054">
            <w:pPr>
              <w:spacing w:after="12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 xml:space="preserve">- zał.  nr 9 do URPO tj. </w:t>
            </w:r>
            <w:r w:rsidRPr="00305508">
              <w:rPr>
                <w:i/>
                <w:iCs/>
                <w:sz w:val="20"/>
                <w:szCs w:val="20"/>
              </w:rPr>
              <w:t xml:space="preserve">Zestawienia wskaźników produktu i rezultatu </w:t>
            </w:r>
            <w:r w:rsidRPr="00305508">
              <w:rPr>
                <w:sz w:val="20"/>
                <w:szCs w:val="20"/>
              </w:rPr>
              <w:t>w zakresie wartości docelowych wskaźników programowych w podziale na działania i </w:t>
            </w:r>
            <w:r w:rsidR="00AB7CF4" w:rsidRPr="00305508">
              <w:rPr>
                <w:sz w:val="20"/>
                <w:szCs w:val="20"/>
              </w:rPr>
              <w:t>poddziałania.</w:t>
            </w:r>
          </w:p>
        </w:tc>
      </w:tr>
    </w:tbl>
    <w:p w:rsidR="00BF5159" w:rsidRPr="006D71C7" w:rsidRDefault="00EA0946" w:rsidP="006D71C7">
      <w:pPr>
        <w:jc w:val="both"/>
        <w:rPr>
          <w:i/>
          <w:sz w:val="18"/>
          <w:szCs w:val="18"/>
        </w:rPr>
      </w:pPr>
      <w:r w:rsidRPr="006D71C7">
        <w:rPr>
          <w:i/>
          <w:sz w:val="18"/>
          <w:szCs w:val="18"/>
        </w:rPr>
        <w:t>Źródło: o</w:t>
      </w:r>
      <w:r w:rsidR="00BF5159" w:rsidRPr="006D71C7">
        <w:rPr>
          <w:i/>
          <w:sz w:val="18"/>
          <w:szCs w:val="18"/>
        </w:rPr>
        <w:t>pracowanie własne</w:t>
      </w:r>
    </w:p>
    <w:p w:rsidR="00240B07" w:rsidRPr="006D71C7" w:rsidRDefault="00BC638D" w:rsidP="006D71C7">
      <w:pPr>
        <w:pStyle w:val="Tekstpodstawowywcity"/>
        <w:spacing w:before="120" w:after="240"/>
        <w:ind w:left="0"/>
        <w:jc w:val="both"/>
      </w:pPr>
      <w:r w:rsidRPr="006D71C7">
        <w:rPr>
          <w:b/>
          <w:i/>
        </w:rPr>
        <w:t>Indykatywny Wykaz Indywidualnych Projektów Kluczowych</w:t>
      </w:r>
      <w:r w:rsidRPr="006D71C7">
        <w:t xml:space="preserve"> </w:t>
      </w:r>
    </w:p>
    <w:p w:rsidR="001F35B0" w:rsidRPr="006D71C7" w:rsidRDefault="00240B07" w:rsidP="006D71C7">
      <w:pPr>
        <w:pStyle w:val="Tekstpodstawowywcity"/>
        <w:ind w:left="0"/>
        <w:jc w:val="both"/>
      </w:pPr>
      <w:r w:rsidRPr="006D71C7">
        <w:t xml:space="preserve">W okresie sprawozdawczym </w:t>
      </w:r>
      <w:r w:rsidR="001F35B0" w:rsidRPr="006D71C7">
        <w:t>Indykatywny Wykaz Indywidualnych Projektów Kluczowych zmieniany był dwukrotnie:</w:t>
      </w:r>
    </w:p>
    <w:p w:rsidR="001F35B0" w:rsidRPr="006D71C7" w:rsidRDefault="001F35B0" w:rsidP="00BA2FE7">
      <w:pPr>
        <w:pStyle w:val="Tekstpodstawowywcity"/>
        <w:numPr>
          <w:ilvl w:val="0"/>
          <w:numId w:val="42"/>
        </w:numPr>
        <w:spacing w:after="0"/>
        <w:ind w:left="714" w:hanging="357"/>
        <w:jc w:val="both"/>
      </w:pPr>
      <w:r w:rsidRPr="006D71C7">
        <w:t xml:space="preserve">5 lipca 2011 r. wprowadzono do dokumentu zmiany wynikające z uchwały podjętej przez Radę Ministrów z dnia 27 maja 2011 r. w sprawie zakresu i warunków dofinansowania RPO WSL oraz zmian w </w:t>
      </w:r>
      <w:r w:rsidR="007338BD" w:rsidRPr="006D71C7">
        <w:rPr>
          <w:i/>
        </w:rPr>
        <w:t>Kontrakcie wojewódzkim dla Województwa Śląskiego</w:t>
      </w:r>
      <w:r w:rsidRPr="006D71C7">
        <w:t xml:space="preserve">. Zgodnie z treścią powyższych dokumentów Województwo Śląskie otrzymało dodatkową pulę środków w ramach „dostosowania technicznego" na realizację uzgodnionych z Ministerstwem Rozwoju Regionalnego projektów z zakresu usuwania skutków powodzi. Zgodnie z rekomendacją MRR, ww. inwestycje będą realizowane w trybie projektów kluczowych. </w:t>
      </w:r>
      <w:r w:rsidR="003C5FA3" w:rsidRPr="006D71C7">
        <w:t>Ponadto ze środków KRW n</w:t>
      </w:r>
      <w:r w:rsidRPr="006D71C7">
        <w:t>a</w:t>
      </w:r>
      <w:r w:rsidR="00D97AE2" w:rsidRPr="006D71C7">
        <w:t> </w:t>
      </w:r>
      <w:r w:rsidRPr="006D71C7">
        <w:t xml:space="preserve">realizację </w:t>
      </w:r>
      <w:r w:rsidR="009D39B4" w:rsidRPr="006D71C7">
        <w:t>p</w:t>
      </w:r>
      <w:r w:rsidRPr="006D71C7">
        <w:t xml:space="preserve">riorytetu VII </w:t>
      </w:r>
      <w:r w:rsidRPr="006D71C7">
        <w:rPr>
          <w:rStyle w:val="Uwydatnienie"/>
        </w:rPr>
        <w:t>Transport</w:t>
      </w:r>
      <w:r w:rsidRPr="006D71C7">
        <w:t xml:space="preserve">, </w:t>
      </w:r>
      <w:r w:rsidR="009D39B4" w:rsidRPr="006D71C7">
        <w:t>d</w:t>
      </w:r>
      <w:r w:rsidRPr="006D71C7">
        <w:t xml:space="preserve">ziałanie 7.1 </w:t>
      </w:r>
      <w:r w:rsidRPr="006D71C7">
        <w:rPr>
          <w:rStyle w:val="Uwydatnienie"/>
        </w:rPr>
        <w:t>Modernizacja i rozbudowa sieci drogowej</w:t>
      </w:r>
      <w:r w:rsidRPr="006D71C7">
        <w:t xml:space="preserve">, </w:t>
      </w:r>
      <w:r w:rsidR="009D39B4" w:rsidRPr="006D71C7">
        <w:t>p</w:t>
      </w:r>
      <w:r w:rsidRPr="006D71C7">
        <w:t xml:space="preserve">oddziałanie 7.1.2 </w:t>
      </w:r>
      <w:r w:rsidRPr="006D71C7">
        <w:rPr>
          <w:rStyle w:val="Uwydatnienie"/>
        </w:rPr>
        <w:t>Modernizacja i rozbudowa infrastruktury uzupełniającej kluczową  sieć drogową</w:t>
      </w:r>
      <w:r w:rsidRPr="006D71C7">
        <w:t xml:space="preserve"> przeznaczono dodatkową kwotę w wysokości: środki EFRR - 8 757 251 </w:t>
      </w:r>
      <w:r w:rsidR="009D39B4" w:rsidRPr="006D71C7">
        <w:t>EUR</w:t>
      </w:r>
      <w:r w:rsidRPr="006D71C7">
        <w:t xml:space="preserve">, środki wkładu krajowego - 1 545 397 </w:t>
      </w:r>
      <w:r w:rsidR="009D39B4" w:rsidRPr="006D71C7">
        <w:t>EUR</w:t>
      </w:r>
      <w:r w:rsidRPr="006D71C7">
        <w:t>,</w:t>
      </w:r>
    </w:p>
    <w:p w:rsidR="00240B07" w:rsidRPr="006D71C7" w:rsidRDefault="001F35B0" w:rsidP="00BA2FE7">
      <w:pPr>
        <w:pStyle w:val="Tekstpodstawowywcity"/>
        <w:numPr>
          <w:ilvl w:val="0"/>
          <w:numId w:val="42"/>
        </w:numPr>
        <w:spacing w:after="0"/>
        <w:ind w:left="714" w:hanging="357"/>
        <w:jc w:val="both"/>
      </w:pPr>
      <w:r w:rsidRPr="006D71C7">
        <w:t>29 listopada 2011 r. uzupełniono listę rezerwową  projektów realizowanych w celu odbudowy infrastruktury zniszczonej na skutek powodzi, zaakceptowaną przez MRR, zgodnie z pismem z 2 listopada 2011 r. o sygn. DKR-II-82625-12-MSZ/11.</w:t>
      </w:r>
    </w:p>
    <w:p w:rsidR="001F35B0" w:rsidRPr="006D71C7" w:rsidRDefault="001F35B0" w:rsidP="006D71C7">
      <w:pPr>
        <w:pStyle w:val="Tekstpodstawowywcity"/>
        <w:spacing w:after="0"/>
        <w:ind w:left="714"/>
        <w:jc w:val="both"/>
      </w:pPr>
    </w:p>
    <w:p w:rsidR="00240B07" w:rsidRPr="006D71C7" w:rsidRDefault="00240B07" w:rsidP="006D71C7">
      <w:pPr>
        <w:pStyle w:val="Tekstpodstawowywcity"/>
        <w:spacing w:after="0"/>
        <w:ind w:left="0"/>
        <w:jc w:val="both"/>
        <w:rPr>
          <w:b/>
          <w:i/>
        </w:rPr>
      </w:pPr>
      <w:r w:rsidRPr="006D71C7">
        <w:rPr>
          <w:b/>
          <w:i/>
        </w:rPr>
        <w:t>Zmiany systemu instytucjonalnego</w:t>
      </w:r>
    </w:p>
    <w:p w:rsidR="00240B07" w:rsidRPr="006D71C7" w:rsidRDefault="00240B07" w:rsidP="006D71C7">
      <w:pPr>
        <w:pStyle w:val="Tekstpodstawowywcity"/>
        <w:spacing w:after="0"/>
        <w:jc w:val="both"/>
        <w:rPr>
          <w:b/>
          <w:i/>
        </w:rPr>
      </w:pPr>
    </w:p>
    <w:p w:rsidR="00240B07" w:rsidRPr="006D71C7" w:rsidRDefault="00240B07" w:rsidP="006D71C7">
      <w:pPr>
        <w:pStyle w:val="Tekstpodstawowywcity"/>
        <w:ind w:left="0"/>
        <w:jc w:val="both"/>
        <w:rPr>
          <w:b/>
          <w:i/>
        </w:rPr>
      </w:pPr>
      <w:r w:rsidRPr="006D71C7">
        <w:rPr>
          <w:b/>
          <w:i/>
        </w:rPr>
        <w:t xml:space="preserve">Porozumienie </w:t>
      </w:r>
    </w:p>
    <w:p w:rsidR="00240B07" w:rsidRPr="006D71C7" w:rsidRDefault="00240B07" w:rsidP="006D71C7">
      <w:pPr>
        <w:tabs>
          <w:tab w:val="num" w:pos="0"/>
        </w:tabs>
        <w:spacing w:after="120"/>
        <w:jc w:val="both"/>
        <w:rPr>
          <w:szCs w:val="24"/>
        </w:rPr>
      </w:pPr>
      <w:r w:rsidRPr="006D71C7">
        <w:rPr>
          <w:i/>
          <w:szCs w:val="24"/>
        </w:rPr>
        <w:t>Porozumienie nr 115/RR/2007 z dnia 31 października 2007 roku zawarte pomiędzy Zarządem Województwa Śląskiego a Śląskim Centrum Przedsiębiorczości w sprawie zasad realizacji RPO WSL (zwanego dalej Porozumieniem),</w:t>
      </w:r>
      <w:r w:rsidRPr="006D71C7">
        <w:rPr>
          <w:szCs w:val="24"/>
        </w:rPr>
        <w:t xml:space="preserve"> określa szczegółowe zadania IP2 RPO WSL objęte środkami </w:t>
      </w:r>
      <w:r w:rsidRPr="006D71C7">
        <w:rPr>
          <w:i/>
          <w:szCs w:val="24"/>
        </w:rPr>
        <w:t>Programu</w:t>
      </w:r>
      <w:r w:rsidRPr="006D71C7">
        <w:rPr>
          <w:szCs w:val="24"/>
        </w:rPr>
        <w:t>, warunki przekazania środków o</w:t>
      </w:r>
      <w:r w:rsidR="00460F53" w:rsidRPr="006D71C7">
        <w:rPr>
          <w:szCs w:val="24"/>
        </w:rPr>
        <w:t>raz sposób wykonywania przez IZ </w:t>
      </w:r>
      <w:r w:rsidRPr="006D71C7">
        <w:rPr>
          <w:szCs w:val="24"/>
        </w:rPr>
        <w:t xml:space="preserve">RPO WSL nadzoru nad prawidłowością wykorzystania przekazanych środków. </w:t>
      </w:r>
    </w:p>
    <w:p w:rsidR="00962A0D" w:rsidRPr="006D71C7" w:rsidRDefault="00962A0D" w:rsidP="006D71C7">
      <w:pPr>
        <w:tabs>
          <w:tab w:val="num" w:pos="0"/>
        </w:tabs>
        <w:spacing w:after="120"/>
        <w:jc w:val="both"/>
        <w:rPr>
          <w:szCs w:val="24"/>
        </w:rPr>
      </w:pPr>
      <w:r w:rsidRPr="006D71C7">
        <w:rPr>
          <w:szCs w:val="24"/>
        </w:rPr>
        <w:t xml:space="preserve">W roku sprawozdawczym podpisano dwa aneksy do ww. </w:t>
      </w:r>
      <w:r w:rsidR="007338BD" w:rsidRPr="006D71C7">
        <w:rPr>
          <w:i/>
          <w:szCs w:val="24"/>
        </w:rPr>
        <w:t>Porozumienia:</w:t>
      </w:r>
    </w:p>
    <w:p w:rsidR="00245F70" w:rsidRPr="006D71C7" w:rsidRDefault="00962A0D" w:rsidP="00BA2FE7">
      <w:pPr>
        <w:pStyle w:val="Akapitzlist"/>
        <w:numPr>
          <w:ilvl w:val="0"/>
          <w:numId w:val="104"/>
        </w:numPr>
        <w:spacing w:after="120"/>
        <w:jc w:val="both"/>
        <w:rPr>
          <w:szCs w:val="24"/>
        </w:rPr>
      </w:pPr>
      <w:r w:rsidRPr="006D71C7">
        <w:rPr>
          <w:szCs w:val="24"/>
        </w:rPr>
        <w:t>aneks nr 4, 23 marca 2011 roku, w którym</w:t>
      </w:r>
      <w:r w:rsidRPr="006D71C7">
        <w:t xml:space="preserve"> w związku z nierozdysponowaniem wszystkich środków w konkursie dla </w:t>
      </w:r>
      <w:r w:rsidRPr="006D71C7">
        <w:rPr>
          <w:i/>
        </w:rPr>
        <w:t>poddziałania 1.1.1</w:t>
      </w:r>
      <w:r w:rsidRPr="006D71C7">
        <w:t xml:space="preserve"> </w:t>
      </w:r>
      <w:r w:rsidRPr="006D71C7">
        <w:rPr>
          <w:i/>
        </w:rPr>
        <w:t>Infrastruktura rozwoju gospodarczego</w:t>
      </w:r>
      <w:r w:rsidRPr="006D71C7">
        <w:t>, podjęto decyzję o przesunięciu ww. środków do </w:t>
      </w:r>
      <w:r w:rsidR="00732EB9" w:rsidRPr="006D71C7">
        <w:rPr>
          <w:i/>
        </w:rPr>
        <w:t>p</w:t>
      </w:r>
      <w:r w:rsidRPr="006D71C7">
        <w:rPr>
          <w:i/>
        </w:rPr>
        <w:t>oddziałania 1.2.4 Mikro, małe i średnie przedsiębiorstwa,</w:t>
      </w:r>
    </w:p>
    <w:p w:rsidR="00245F70" w:rsidRPr="006D71C7" w:rsidRDefault="007338BD" w:rsidP="00BA2FE7">
      <w:pPr>
        <w:pStyle w:val="Akapitzlist"/>
        <w:numPr>
          <w:ilvl w:val="0"/>
          <w:numId w:val="104"/>
        </w:numPr>
        <w:spacing w:after="120"/>
        <w:jc w:val="both"/>
        <w:rPr>
          <w:szCs w:val="24"/>
        </w:rPr>
      </w:pPr>
      <w:r w:rsidRPr="006D71C7">
        <w:t>aneks nr 5, 29 listopada</w:t>
      </w:r>
      <w:r w:rsidR="00962A0D" w:rsidRPr="006D71C7">
        <w:t xml:space="preserve"> 2011 roku, w którym w związku z nierozdysponowaniem wszystkich środków w konkursie dla </w:t>
      </w:r>
      <w:r w:rsidR="00962A0D" w:rsidRPr="006D71C7">
        <w:rPr>
          <w:i/>
          <w:iCs/>
        </w:rPr>
        <w:t>poddziałania 1.2.1 Mikroprzedsiębiorstwa</w:t>
      </w:r>
      <w:r w:rsidR="00962A0D" w:rsidRPr="006D71C7">
        <w:t xml:space="preserve">, podjęto decyzję o przesunięciu ww. środków do </w:t>
      </w:r>
      <w:r w:rsidR="00962A0D" w:rsidRPr="006D71C7">
        <w:rPr>
          <w:i/>
        </w:rPr>
        <w:t xml:space="preserve">poddziałania 1.2.4 Mikro, małe i średnie przedsiębiorstwa </w:t>
      </w:r>
      <w:r w:rsidR="00962A0D" w:rsidRPr="006D71C7">
        <w:t xml:space="preserve">oraz wprowadzono zmiany w treści §9  </w:t>
      </w:r>
      <w:r w:rsidR="00962A0D" w:rsidRPr="006D71C7">
        <w:rPr>
          <w:i/>
        </w:rPr>
        <w:t>Porozumienia</w:t>
      </w:r>
      <w:r w:rsidR="00962A0D" w:rsidRPr="006D71C7">
        <w:t xml:space="preserve"> wynikające z konieczności ujednolicenia zapisów z Wytycznymi IZ RPO WSL dla IP2 RPO WSL oraz Podręcznika procedur wdrażania IP2 RPO WSL.</w:t>
      </w:r>
    </w:p>
    <w:p w:rsidR="00240B07" w:rsidRPr="006D71C7" w:rsidRDefault="00240B07" w:rsidP="006D71C7">
      <w:pPr>
        <w:pStyle w:val="Tekstpodstawowywcity"/>
        <w:spacing w:after="0"/>
        <w:jc w:val="both"/>
        <w:rPr>
          <w:b/>
          <w:szCs w:val="24"/>
        </w:rPr>
      </w:pPr>
    </w:p>
    <w:p w:rsidR="001F35B0" w:rsidRPr="006D71C7" w:rsidRDefault="001F35B0" w:rsidP="006D71C7">
      <w:pPr>
        <w:spacing w:after="0" w:line="240" w:lineRule="auto"/>
        <w:jc w:val="both"/>
        <w:rPr>
          <w:b/>
          <w:i/>
          <w:szCs w:val="24"/>
        </w:rPr>
      </w:pPr>
      <w:r w:rsidRPr="006D71C7">
        <w:rPr>
          <w:b/>
          <w:i/>
          <w:szCs w:val="24"/>
        </w:rPr>
        <w:br w:type="page"/>
      </w:r>
    </w:p>
    <w:p w:rsidR="00240B07" w:rsidRPr="006D71C7" w:rsidRDefault="00240B07" w:rsidP="006D71C7">
      <w:pPr>
        <w:jc w:val="both"/>
        <w:rPr>
          <w:b/>
          <w:i/>
          <w:szCs w:val="24"/>
        </w:rPr>
      </w:pPr>
      <w:r w:rsidRPr="006D71C7">
        <w:rPr>
          <w:b/>
          <w:i/>
          <w:szCs w:val="24"/>
        </w:rPr>
        <w:t>Opis Systemu Zarządzania i Kontroli RPO WSL</w:t>
      </w:r>
    </w:p>
    <w:p w:rsidR="000169AC" w:rsidRPr="006D71C7" w:rsidRDefault="00240B07" w:rsidP="006D71C7">
      <w:pPr>
        <w:jc w:val="both"/>
        <w:rPr>
          <w:b/>
          <w:bCs/>
          <w:szCs w:val="24"/>
        </w:rPr>
      </w:pPr>
      <w:r w:rsidRPr="006D71C7">
        <w:rPr>
          <w:szCs w:val="24"/>
        </w:rPr>
        <w:t xml:space="preserve">Pierwsza wersja dokumentu przyjęta została uchwałą Zarządu Województwa Śląskiego dnia 27 grudnia 2007 roku. </w:t>
      </w:r>
      <w:r w:rsidRPr="006D71C7">
        <w:rPr>
          <w:bCs/>
          <w:szCs w:val="24"/>
        </w:rPr>
        <w:t xml:space="preserve">W wyniku doprecyzowania zadań i funkcji realizowanych przez IZ RPO WSL, IP2 RPO WSL, IC oraz Instytucję Audytową oraz dostosowania </w:t>
      </w:r>
      <w:r w:rsidR="00460F53" w:rsidRPr="006D71C7">
        <w:rPr>
          <w:bCs/>
          <w:szCs w:val="24"/>
        </w:rPr>
        <w:t xml:space="preserve">dokumentu </w:t>
      </w:r>
      <w:r w:rsidRPr="006D71C7">
        <w:rPr>
          <w:bCs/>
          <w:szCs w:val="24"/>
        </w:rPr>
        <w:t xml:space="preserve">do innych dokumentów programowych niezbędna była aktualizacja zapisów. </w:t>
      </w:r>
      <w:r w:rsidR="00EA1AE9" w:rsidRPr="006D71C7">
        <w:rPr>
          <w:bCs/>
          <w:szCs w:val="24"/>
        </w:rPr>
        <w:t xml:space="preserve">W okresie sprawozdawczym </w:t>
      </w:r>
      <w:r w:rsidR="00EA1AE9" w:rsidRPr="006D71C7">
        <w:rPr>
          <w:rStyle w:val="Pogrubienie"/>
          <w:b w:val="0"/>
        </w:rPr>
        <w:t xml:space="preserve">w związku z aktualizacją </w:t>
      </w:r>
      <w:r w:rsidR="00EA1AE9" w:rsidRPr="006D71C7">
        <w:rPr>
          <w:rStyle w:val="Pogrubienie"/>
          <w:b w:val="0"/>
          <w:i/>
        </w:rPr>
        <w:t xml:space="preserve">Regulaminu Organizacyjnego Urzędu Marszałkowskiego Województwa Śląskiego </w:t>
      </w:r>
      <w:r w:rsidR="00EA1AE9" w:rsidRPr="006D71C7">
        <w:rPr>
          <w:rStyle w:val="Pogrubienie"/>
          <w:b w:val="0"/>
        </w:rPr>
        <w:t xml:space="preserve">oraz aktualizacją rozdziału III przez Instytucję Pośredniczącą Drugiego Stopnia i rozdziału IV przez Instytucję Certyfikującą wystąpiła konieczność zmiany zapisów w dokumencie, które zostały wprowadzone uchwałą </w:t>
      </w:r>
      <w:r w:rsidR="00EA1AE9" w:rsidRPr="006D71C7">
        <w:rPr>
          <w:szCs w:val="24"/>
        </w:rPr>
        <w:t>nr/1570/56/IV/2011</w:t>
      </w:r>
      <w:r w:rsidR="00EA1AE9" w:rsidRPr="006D71C7">
        <w:rPr>
          <w:b/>
          <w:sz w:val="32"/>
          <w:szCs w:val="32"/>
        </w:rPr>
        <w:t xml:space="preserve"> </w:t>
      </w:r>
      <w:r w:rsidR="00EA1AE9" w:rsidRPr="006D71C7">
        <w:rPr>
          <w:rStyle w:val="Pogrubienie"/>
          <w:b w:val="0"/>
        </w:rPr>
        <w:t>Zarządu Województwa Śląskiego dnia 14 czerwca 2011 r.</w:t>
      </w:r>
    </w:p>
    <w:p w:rsidR="00240B07" w:rsidRPr="006D71C7" w:rsidRDefault="00240B07" w:rsidP="006D71C7">
      <w:pPr>
        <w:spacing w:before="120" w:after="120" w:line="360" w:lineRule="auto"/>
        <w:jc w:val="both"/>
        <w:rPr>
          <w:b/>
          <w:i/>
        </w:rPr>
      </w:pPr>
      <w:r w:rsidRPr="006D71C7">
        <w:rPr>
          <w:b/>
          <w:i/>
        </w:rPr>
        <w:t>Podręcznik Procedur Wdrażania RPO WSL</w:t>
      </w:r>
    </w:p>
    <w:p w:rsidR="00240B07" w:rsidRPr="006D71C7" w:rsidRDefault="00240B07" w:rsidP="006D71C7">
      <w:pPr>
        <w:spacing w:before="120" w:after="120"/>
        <w:jc w:val="both"/>
      </w:pPr>
      <w:r w:rsidRPr="006D71C7">
        <w:t xml:space="preserve">Pierwsza wersja dokumentu została przyjęta przez Zarząd Województwa Śląskiego 8 stycznia 2008 roku. W wyniku uszczegółowiania i doprecyzowania zadań i funkcji realizowanych przez IZ RPO WSL niezbędna była aktualizacja zapisów dokumentu. W okresie sprawozdawczym IZ RPO WSL </w:t>
      </w:r>
      <w:r w:rsidR="00EA1AE9" w:rsidRPr="006D71C7">
        <w:t>trzy (3</w:t>
      </w:r>
      <w:r w:rsidRPr="006D71C7">
        <w:t xml:space="preserve">) razy aktualizowała </w:t>
      </w:r>
      <w:r w:rsidRPr="006D71C7">
        <w:rPr>
          <w:i/>
        </w:rPr>
        <w:t xml:space="preserve">Podręcznik Procedur Wdrażania RPO WSL. </w:t>
      </w:r>
      <w:r w:rsidRPr="006D71C7">
        <w:t xml:space="preserve">Szczegółowe informacje dotyczące głównych przyczyn zmian </w:t>
      </w:r>
      <w:r w:rsidRPr="006D71C7">
        <w:rPr>
          <w:i/>
        </w:rPr>
        <w:t>Podręcznika Procedur…</w:t>
      </w:r>
      <w:r w:rsidRPr="006D71C7">
        <w:t xml:space="preserve"> w okresie sprawozdawczym zostały przedstawione </w:t>
      </w:r>
      <w:r w:rsidR="00612734" w:rsidRPr="006D71C7">
        <w:t>poniżej</w:t>
      </w:r>
      <w:r w:rsidRPr="006D71C7">
        <w:t>.</w:t>
      </w:r>
    </w:p>
    <w:p w:rsidR="00240B07" w:rsidRPr="006D71C7" w:rsidRDefault="001E656A" w:rsidP="006D71C7">
      <w:pPr>
        <w:pStyle w:val="Legenda"/>
        <w:spacing w:line="276" w:lineRule="auto"/>
        <w:jc w:val="both"/>
        <w:rPr>
          <w:b w:val="0"/>
          <w:i/>
          <w:color w:val="auto"/>
          <w:sz w:val="20"/>
          <w:szCs w:val="20"/>
        </w:rPr>
      </w:pPr>
      <w:bookmarkStart w:id="58" w:name="_Toc296427386"/>
      <w:bookmarkStart w:id="59" w:name="_Toc324853692"/>
      <w:bookmarkStart w:id="60" w:name="_Toc326046355"/>
      <w:r w:rsidRPr="006D71C7">
        <w:rPr>
          <w:color w:val="auto"/>
          <w:sz w:val="20"/>
          <w:szCs w:val="20"/>
        </w:rPr>
        <w:t>Tabela</w:t>
      </w:r>
      <w:r w:rsidR="007B4137" w:rsidRPr="006D71C7">
        <w:rPr>
          <w:color w:val="auto"/>
          <w:sz w:val="20"/>
          <w:szCs w:val="20"/>
        </w:rPr>
        <w:t xml:space="preserve">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w:t>
      </w:r>
      <w:r w:rsidR="008F7228" w:rsidRPr="006D71C7">
        <w:rPr>
          <w:color w:val="auto"/>
          <w:sz w:val="20"/>
          <w:szCs w:val="20"/>
        </w:rPr>
        <w:fldChar w:fldCharType="end"/>
      </w:r>
      <w:r w:rsidR="007B4137" w:rsidRPr="006D71C7">
        <w:rPr>
          <w:color w:val="auto"/>
        </w:rPr>
        <w:t xml:space="preserve"> </w:t>
      </w:r>
      <w:r w:rsidR="00240B07" w:rsidRPr="006D71C7">
        <w:rPr>
          <w:b w:val="0"/>
          <w:i/>
          <w:color w:val="auto"/>
          <w:sz w:val="20"/>
          <w:szCs w:val="20"/>
        </w:rPr>
        <w:t>Najważniejsze zmiany w Podręczniku Procedur Wdrażania RPO WSL</w:t>
      </w:r>
      <w:r w:rsidR="00CD5797" w:rsidRPr="006D71C7">
        <w:rPr>
          <w:b w:val="0"/>
          <w:i/>
          <w:color w:val="auto"/>
          <w:sz w:val="20"/>
          <w:szCs w:val="20"/>
        </w:rPr>
        <w:t xml:space="preserve"> wprowadzone w okresie sprawozdawczym</w:t>
      </w:r>
      <w:bookmarkEnd w:id="58"/>
      <w:bookmarkEnd w:id="59"/>
      <w:bookmarkEnd w:id="60"/>
    </w:p>
    <w:tbl>
      <w:tblPr>
        <w:tblStyle w:val="redniasiatka3akcent3"/>
        <w:tblW w:w="9356" w:type="dxa"/>
        <w:jc w:val="center"/>
        <w:tblInd w:w="-176" w:type="dxa"/>
        <w:shd w:val="clear" w:color="auto" w:fill="F4B29B" w:themeFill="accent1" w:themeFillTint="66"/>
        <w:tblLook w:val="04A0" w:firstRow="1" w:lastRow="0" w:firstColumn="1" w:lastColumn="0" w:noHBand="0" w:noVBand="1"/>
      </w:tblPr>
      <w:tblGrid>
        <w:gridCol w:w="4112"/>
        <w:gridCol w:w="5244"/>
      </w:tblGrid>
      <w:tr w:rsidR="00240B07" w:rsidRPr="00305508" w:rsidTr="00C74054">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4112" w:type="dxa"/>
            <w:shd w:val="clear" w:color="auto" w:fill="F4B29B" w:themeFill="accent1" w:themeFillTint="66"/>
            <w:vAlign w:val="center"/>
          </w:tcPr>
          <w:p w:rsidR="00C43B75" w:rsidRDefault="00240B07" w:rsidP="00C43B75">
            <w:pPr>
              <w:jc w:val="center"/>
              <w:rPr>
                <w:b w:val="0"/>
                <w:bCs w:val="0"/>
                <w:color w:val="auto"/>
                <w:sz w:val="20"/>
                <w:szCs w:val="20"/>
              </w:rPr>
            </w:pPr>
            <w:r w:rsidRPr="00305508">
              <w:rPr>
                <w:color w:val="auto"/>
                <w:sz w:val="20"/>
                <w:szCs w:val="20"/>
              </w:rPr>
              <w:t>PODSTAWA ZMIANY DOKUMENTU</w:t>
            </w:r>
          </w:p>
        </w:tc>
        <w:tc>
          <w:tcPr>
            <w:tcW w:w="5244" w:type="dxa"/>
            <w:shd w:val="clear" w:color="auto" w:fill="F4B29B" w:themeFill="accent1" w:themeFillTint="66"/>
            <w:vAlign w:val="center"/>
          </w:tcPr>
          <w:p w:rsidR="00C43B75" w:rsidRDefault="0090478A" w:rsidP="00C43B75">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305508">
              <w:rPr>
                <w:color w:val="auto"/>
                <w:sz w:val="20"/>
                <w:szCs w:val="20"/>
              </w:rPr>
              <w:t>NAJWAŻ</w:t>
            </w:r>
            <w:r w:rsidR="00240B07" w:rsidRPr="00305508">
              <w:rPr>
                <w:color w:val="auto"/>
                <w:sz w:val="20"/>
                <w:szCs w:val="20"/>
              </w:rPr>
              <w:t>NIEJSZE ZMIANY</w:t>
            </w:r>
          </w:p>
        </w:tc>
      </w:tr>
      <w:tr w:rsidR="00240B07" w:rsidRPr="00305508" w:rsidTr="00C74054">
        <w:trPr>
          <w:cnfStyle w:val="000000100000" w:firstRow="0" w:lastRow="0" w:firstColumn="0" w:lastColumn="0" w:oddVBand="0" w:evenVBand="0" w:oddHBand="1" w:evenHBand="0" w:firstRowFirstColumn="0" w:firstRowLastColumn="0" w:lastRowFirstColumn="0" w:lastRowLastColumn="0"/>
          <w:trHeight w:val="2549"/>
          <w:jc w:val="center"/>
        </w:trPr>
        <w:tc>
          <w:tcPr>
            <w:cnfStyle w:val="001000000000" w:firstRow="0" w:lastRow="0" w:firstColumn="1" w:lastColumn="0" w:oddVBand="0" w:evenVBand="0" w:oddHBand="0" w:evenHBand="0" w:firstRowFirstColumn="0" w:firstRowLastColumn="0" w:lastRowFirstColumn="0" w:lastRowLastColumn="0"/>
            <w:tcW w:w="4112" w:type="dxa"/>
            <w:shd w:val="clear" w:color="auto" w:fill="F4B29B" w:themeFill="accent1" w:themeFillTint="66"/>
            <w:vAlign w:val="center"/>
          </w:tcPr>
          <w:p w:rsidR="00C43B75" w:rsidRDefault="00C43B75" w:rsidP="00C43B75">
            <w:pPr>
              <w:jc w:val="center"/>
              <w:rPr>
                <w:b w:val="0"/>
                <w:bCs w:val="0"/>
                <w:color w:val="auto"/>
                <w:sz w:val="20"/>
                <w:szCs w:val="20"/>
              </w:rPr>
            </w:pPr>
          </w:p>
          <w:p w:rsidR="00C43B75" w:rsidRDefault="00317013" w:rsidP="00C43B75">
            <w:pPr>
              <w:jc w:val="center"/>
              <w:rPr>
                <w:b w:val="0"/>
                <w:bCs w:val="0"/>
                <w:color w:val="auto"/>
                <w:sz w:val="20"/>
                <w:szCs w:val="20"/>
              </w:rPr>
            </w:pPr>
            <w:r w:rsidRPr="00305508">
              <w:rPr>
                <w:color w:val="auto"/>
                <w:sz w:val="20"/>
                <w:szCs w:val="20"/>
              </w:rPr>
              <w:t>Uchwała nr 264/18/IV</w:t>
            </w:r>
            <w:r w:rsidR="0090478A" w:rsidRPr="00305508">
              <w:rPr>
                <w:color w:val="auto"/>
                <w:sz w:val="20"/>
                <w:szCs w:val="20"/>
              </w:rPr>
              <w:t>/2011</w:t>
            </w:r>
            <w:r w:rsidR="00240B07" w:rsidRPr="00305508">
              <w:rPr>
                <w:color w:val="auto"/>
                <w:sz w:val="20"/>
                <w:szCs w:val="20"/>
              </w:rPr>
              <w:t xml:space="preserve"> Zarządu Województwa Śląskiego z dnia </w:t>
            </w:r>
            <w:r w:rsidRPr="00305508">
              <w:rPr>
                <w:color w:val="auto"/>
                <w:sz w:val="20"/>
                <w:szCs w:val="20"/>
              </w:rPr>
              <w:t>08 lutego 2011</w:t>
            </w:r>
            <w:r w:rsidR="00240B07" w:rsidRPr="00305508">
              <w:rPr>
                <w:color w:val="auto"/>
                <w:sz w:val="20"/>
                <w:szCs w:val="20"/>
              </w:rPr>
              <w:t xml:space="preserve"> roku</w:t>
            </w:r>
          </w:p>
        </w:tc>
        <w:tc>
          <w:tcPr>
            <w:tcW w:w="5244" w:type="dxa"/>
            <w:tcBorders>
              <w:top w:val="single" w:sz="24" w:space="0" w:color="FFFFFF"/>
            </w:tcBorders>
            <w:shd w:val="clear" w:color="auto" w:fill="F9D8CD" w:themeFill="accent1" w:themeFillTint="33"/>
            <w:vAlign w:val="center"/>
          </w:tcPr>
          <w:p w:rsidR="008A4C52" w:rsidRPr="00305508" w:rsidRDefault="008A4C52" w:rsidP="006D71C7">
            <w:pPr>
              <w:pStyle w:val="Akapitzlist"/>
              <w:tabs>
                <w:tab w:val="left" w:pos="212"/>
              </w:tabs>
              <w:spacing w:before="120" w:after="0" w:line="240" w:lineRule="auto"/>
              <w:ind w:left="0"/>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 xml:space="preserve">-usprawnienie i doprecyzowanie procedur w zakresie nieprawidłowości, </w:t>
            </w:r>
          </w:p>
          <w:tbl>
            <w:tblPr>
              <w:tblW w:w="0" w:type="auto"/>
              <w:tblBorders>
                <w:top w:val="nil"/>
                <w:left w:val="nil"/>
                <w:bottom w:val="nil"/>
                <w:right w:val="nil"/>
              </w:tblBorders>
              <w:tblLook w:val="0000" w:firstRow="0" w:lastRow="0" w:firstColumn="0" w:lastColumn="0" w:noHBand="0" w:noVBand="0"/>
            </w:tblPr>
            <w:tblGrid>
              <w:gridCol w:w="5028"/>
            </w:tblGrid>
            <w:tr w:rsidR="008A4C52" w:rsidRPr="00305508">
              <w:trPr>
                <w:trHeight w:val="492"/>
              </w:trPr>
              <w:tc>
                <w:tcPr>
                  <w:tcW w:w="0" w:type="auto"/>
                </w:tcPr>
                <w:p w:rsidR="008A4C52" w:rsidRPr="00305508" w:rsidRDefault="008A4C52" w:rsidP="006D71C7">
                  <w:pPr>
                    <w:autoSpaceDE w:val="0"/>
                    <w:autoSpaceDN w:val="0"/>
                    <w:adjustRightInd w:val="0"/>
                    <w:spacing w:after="0" w:line="240" w:lineRule="auto"/>
                    <w:jc w:val="both"/>
                    <w:rPr>
                      <w:rFonts w:eastAsia="Calibri"/>
                      <w:sz w:val="20"/>
                      <w:szCs w:val="20"/>
                    </w:rPr>
                  </w:pPr>
                  <w:r w:rsidRPr="00305508">
                    <w:rPr>
                      <w:rFonts w:eastAsia="Calibri"/>
                      <w:sz w:val="20"/>
                      <w:szCs w:val="20"/>
                    </w:rPr>
                    <w:t>-doprecyzowanie opisu struktury Wydziału Rozwoju Regionalnego poprzez wprowadzenie podziału na zespoły zadaniowe funkcjonujące w WRR na mocy Zarządzenia Dyrektora WRR z dnia 1 lutego 2011 r.,</w:t>
                  </w:r>
                </w:p>
                <w:p w:rsidR="008A4C52" w:rsidRPr="00305508" w:rsidRDefault="008A4C52" w:rsidP="006D71C7">
                  <w:pPr>
                    <w:autoSpaceDE w:val="0"/>
                    <w:autoSpaceDN w:val="0"/>
                    <w:adjustRightInd w:val="0"/>
                    <w:spacing w:after="0" w:line="240" w:lineRule="auto"/>
                    <w:jc w:val="both"/>
                    <w:rPr>
                      <w:sz w:val="20"/>
                      <w:szCs w:val="20"/>
                    </w:rPr>
                  </w:pPr>
                  <w:r w:rsidRPr="00305508">
                    <w:rPr>
                      <w:rFonts w:eastAsia="Calibri"/>
                      <w:sz w:val="20"/>
                      <w:szCs w:val="20"/>
                    </w:rPr>
                    <w:t>-d</w:t>
                  </w:r>
                  <w:r w:rsidRPr="00305508">
                    <w:rPr>
                      <w:sz w:val="20"/>
                      <w:szCs w:val="20"/>
                    </w:rPr>
                    <w:t xml:space="preserve">oprecyzowanie zapisów związanych z realizacją w ramach RPO WSL projektów z pomocą publiczną </w:t>
                  </w:r>
                </w:p>
                <w:p w:rsidR="008A4C52" w:rsidRPr="00305508" w:rsidRDefault="008A4C52" w:rsidP="006D71C7">
                  <w:pPr>
                    <w:pStyle w:val="Default"/>
                    <w:jc w:val="both"/>
                    <w:rPr>
                      <w:color w:val="auto"/>
                      <w:sz w:val="20"/>
                      <w:szCs w:val="20"/>
                    </w:rPr>
                  </w:pPr>
                  <w:r w:rsidRPr="00305508">
                    <w:rPr>
                      <w:color w:val="auto"/>
                      <w:sz w:val="20"/>
                      <w:szCs w:val="20"/>
                    </w:rPr>
                    <w:t xml:space="preserve">-doprecyzowanie procedur wynikających z praktyki realizacji i rozliczenia projektów </w:t>
                  </w:r>
                </w:p>
                <w:p w:rsidR="008A4C52" w:rsidRPr="00305508" w:rsidRDefault="008A4C52" w:rsidP="006D71C7">
                  <w:pPr>
                    <w:autoSpaceDE w:val="0"/>
                    <w:autoSpaceDN w:val="0"/>
                    <w:adjustRightInd w:val="0"/>
                    <w:spacing w:after="0" w:line="240" w:lineRule="auto"/>
                    <w:jc w:val="both"/>
                    <w:rPr>
                      <w:rFonts w:eastAsia="Calibri"/>
                      <w:sz w:val="20"/>
                      <w:szCs w:val="20"/>
                    </w:rPr>
                  </w:pPr>
                </w:p>
              </w:tc>
            </w:tr>
          </w:tbl>
          <w:p w:rsidR="008A4C52" w:rsidRPr="00305508" w:rsidRDefault="008A4C52" w:rsidP="006D71C7">
            <w:pPr>
              <w:pStyle w:val="Akapitzlist"/>
              <w:tabs>
                <w:tab w:val="left" w:pos="212"/>
              </w:tabs>
              <w:spacing w:before="120" w:after="0" w:line="240" w:lineRule="auto"/>
              <w:ind w:left="0"/>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240B07" w:rsidRPr="00305508" w:rsidTr="00C74054">
        <w:trPr>
          <w:trHeight w:val="1677"/>
          <w:jc w:val="center"/>
        </w:trPr>
        <w:tc>
          <w:tcPr>
            <w:cnfStyle w:val="001000000000" w:firstRow="0" w:lastRow="0" w:firstColumn="1" w:lastColumn="0" w:oddVBand="0" w:evenVBand="0" w:oddHBand="0" w:evenHBand="0" w:firstRowFirstColumn="0" w:firstRowLastColumn="0" w:lastRowFirstColumn="0" w:lastRowLastColumn="0"/>
            <w:tcW w:w="4112" w:type="dxa"/>
            <w:shd w:val="clear" w:color="auto" w:fill="F4B29B" w:themeFill="accent1" w:themeFillTint="66"/>
            <w:vAlign w:val="center"/>
          </w:tcPr>
          <w:p w:rsidR="00C43B75" w:rsidRDefault="008A4C52" w:rsidP="00C43B75">
            <w:pPr>
              <w:jc w:val="center"/>
              <w:rPr>
                <w:b w:val="0"/>
                <w:bCs w:val="0"/>
                <w:color w:val="auto"/>
                <w:sz w:val="20"/>
                <w:szCs w:val="20"/>
              </w:rPr>
            </w:pPr>
            <w:r w:rsidRPr="00305508">
              <w:rPr>
                <w:color w:val="auto"/>
                <w:sz w:val="20"/>
                <w:szCs w:val="20"/>
              </w:rPr>
              <w:t>Uchwała nr 1572/56/IV</w:t>
            </w:r>
            <w:r w:rsidR="0090478A" w:rsidRPr="00305508">
              <w:rPr>
                <w:color w:val="auto"/>
                <w:sz w:val="20"/>
                <w:szCs w:val="20"/>
              </w:rPr>
              <w:t>/2011</w:t>
            </w:r>
            <w:r w:rsidRPr="00305508">
              <w:rPr>
                <w:color w:val="auto"/>
                <w:sz w:val="20"/>
                <w:szCs w:val="20"/>
              </w:rPr>
              <w:t xml:space="preserve"> Zarządu Województwa Śląskiego z dnia 14 czerwca 2011 roku</w:t>
            </w:r>
          </w:p>
        </w:tc>
        <w:tc>
          <w:tcPr>
            <w:tcW w:w="5244" w:type="dxa"/>
            <w:tcBorders>
              <w:top w:val="single" w:sz="8" w:space="0" w:color="FFFFFF"/>
              <w:bottom w:val="single" w:sz="8" w:space="0" w:color="FFFFFF"/>
            </w:tcBorders>
            <w:shd w:val="clear" w:color="auto" w:fill="F9D8CD" w:themeFill="accent1" w:themeFillTint="33"/>
            <w:vAlign w:val="center"/>
          </w:tcPr>
          <w:p w:rsidR="008A4C52" w:rsidRPr="00305508" w:rsidRDefault="008A4C52" w:rsidP="006D71C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szCs w:val="24"/>
              </w:rPr>
            </w:pPr>
          </w:p>
          <w:tbl>
            <w:tblPr>
              <w:tblW w:w="0" w:type="auto"/>
              <w:tblBorders>
                <w:top w:val="nil"/>
                <w:left w:val="nil"/>
                <w:bottom w:val="nil"/>
                <w:right w:val="nil"/>
              </w:tblBorders>
              <w:tblLook w:val="0000" w:firstRow="0" w:lastRow="0" w:firstColumn="0" w:lastColumn="0" w:noHBand="0" w:noVBand="0"/>
            </w:tblPr>
            <w:tblGrid>
              <w:gridCol w:w="5028"/>
            </w:tblGrid>
            <w:tr w:rsidR="008A4C52" w:rsidRPr="00305508">
              <w:trPr>
                <w:trHeight w:val="152"/>
              </w:trPr>
              <w:tc>
                <w:tcPr>
                  <w:tcW w:w="0" w:type="auto"/>
                </w:tcPr>
                <w:p w:rsidR="008A4C52" w:rsidRPr="00305508" w:rsidRDefault="008A4C52" w:rsidP="006D71C7">
                  <w:pPr>
                    <w:autoSpaceDE w:val="0"/>
                    <w:autoSpaceDN w:val="0"/>
                    <w:adjustRightInd w:val="0"/>
                    <w:spacing w:after="0" w:line="240" w:lineRule="auto"/>
                    <w:jc w:val="both"/>
                    <w:rPr>
                      <w:rFonts w:eastAsia="Calibri"/>
                      <w:sz w:val="20"/>
                      <w:szCs w:val="20"/>
                    </w:rPr>
                  </w:pPr>
                  <w:r w:rsidRPr="00305508">
                    <w:rPr>
                      <w:rFonts w:eastAsia="Calibri"/>
                      <w:szCs w:val="24"/>
                    </w:rPr>
                    <w:t>-</w:t>
                  </w:r>
                  <w:r w:rsidRPr="00305508">
                    <w:rPr>
                      <w:rFonts w:eastAsia="Calibri"/>
                      <w:sz w:val="20"/>
                      <w:szCs w:val="20"/>
                    </w:rPr>
                    <w:t>zmiana wynikająca ze zmiany struktury organizacyjnej WRR</w:t>
                  </w:r>
                  <w:r w:rsidR="00846B57" w:rsidRPr="00305508">
                    <w:rPr>
                      <w:rFonts w:eastAsia="Calibri"/>
                      <w:sz w:val="20"/>
                      <w:szCs w:val="20"/>
                    </w:rPr>
                    <w:t>,</w:t>
                  </w:r>
                </w:p>
                <w:p w:rsidR="00846B57" w:rsidRPr="00305508" w:rsidRDefault="00846B57" w:rsidP="006D71C7">
                  <w:pPr>
                    <w:autoSpaceDE w:val="0"/>
                    <w:autoSpaceDN w:val="0"/>
                    <w:adjustRightInd w:val="0"/>
                    <w:spacing w:after="0" w:line="240" w:lineRule="auto"/>
                    <w:jc w:val="both"/>
                    <w:rPr>
                      <w:rFonts w:eastAsia="Calibri"/>
                      <w:sz w:val="20"/>
                      <w:szCs w:val="20"/>
                    </w:rPr>
                  </w:pPr>
                  <w:r w:rsidRPr="00305508">
                    <w:rPr>
                      <w:rFonts w:eastAsia="Calibri"/>
                      <w:sz w:val="20"/>
                      <w:szCs w:val="20"/>
                    </w:rPr>
                    <w:t>- doprecyzowanie roli koordynatora zespołu w procedurach,</w:t>
                  </w:r>
                </w:p>
                <w:p w:rsidR="00E46960" w:rsidRPr="00305508" w:rsidRDefault="00E46960" w:rsidP="006D71C7">
                  <w:pPr>
                    <w:autoSpaceDE w:val="0"/>
                    <w:autoSpaceDN w:val="0"/>
                    <w:adjustRightInd w:val="0"/>
                    <w:spacing w:after="120" w:line="240" w:lineRule="auto"/>
                    <w:jc w:val="both"/>
                    <w:rPr>
                      <w:rFonts w:eastAsia="Calibri"/>
                      <w:sz w:val="20"/>
                      <w:szCs w:val="20"/>
                    </w:rPr>
                  </w:pPr>
                  <w:r w:rsidRPr="00305508">
                    <w:rPr>
                      <w:rFonts w:eastAsia="Calibri"/>
                      <w:sz w:val="20"/>
                      <w:szCs w:val="20"/>
                    </w:rPr>
                    <w:t>- doprecyzowanie zapisów w zakresie weryfikacji wniosków o płatność.</w:t>
                  </w:r>
                </w:p>
              </w:tc>
            </w:tr>
          </w:tbl>
          <w:p w:rsidR="00240B07" w:rsidRPr="00305508" w:rsidRDefault="00240B07" w:rsidP="006D71C7">
            <w:pPr>
              <w:pStyle w:val="Default"/>
              <w:tabs>
                <w:tab w:val="left" w:pos="215"/>
              </w:tabs>
              <w:spacing w:before="120"/>
              <w:ind w:left="72"/>
              <w:jc w:val="both"/>
              <w:cnfStyle w:val="000000000000" w:firstRow="0" w:lastRow="0" w:firstColumn="0" w:lastColumn="0" w:oddVBand="0" w:evenVBand="0" w:oddHBand="0" w:evenHBand="0" w:firstRowFirstColumn="0" w:firstRowLastColumn="0" w:lastRowFirstColumn="0" w:lastRowLastColumn="0"/>
              <w:rPr>
                <w:b/>
                <w:color w:val="auto"/>
                <w:sz w:val="20"/>
                <w:szCs w:val="20"/>
              </w:rPr>
            </w:pPr>
          </w:p>
        </w:tc>
      </w:tr>
      <w:tr w:rsidR="00240B07" w:rsidRPr="00305508" w:rsidTr="00C74054">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112" w:type="dxa"/>
            <w:shd w:val="clear" w:color="auto" w:fill="F4B29B" w:themeFill="accent1" w:themeFillTint="66"/>
            <w:vAlign w:val="center"/>
          </w:tcPr>
          <w:p w:rsidR="00C43B75" w:rsidRDefault="00E46960" w:rsidP="00C43B75">
            <w:pPr>
              <w:jc w:val="center"/>
              <w:rPr>
                <w:b w:val="0"/>
                <w:bCs w:val="0"/>
                <w:color w:val="auto"/>
                <w:sz w:val="20"/>
                <w:szCs w:val="20"/>
              </w:rPr>
            </w:pPr>
            <w:r w:rsidRPr="00305508">
              <w:rPr>
                <w:color w:val="auto"/>
                <w:sz w:val="20"/>
                <w:szCs w:val="20"/>
              </w:rPr>
              <w:t xml:space="preserve">Uchwała nr </w:t>
            </w:r>
            <w:r w:rsidR="004E631E" w:rsidRPr="00305508">
              <w:rPr>
                <w:color w:val="auto"/>
                <w:sz w:val="20"/>
                <w:szCs w:val="20"/>
              </w:rPr>
              <w:t>2912/90</w:t>
            </w:r>
            <w:r w:rsidRPr="00305508">
              <w:rPr>
                <w:color w:val="auto"/>
                <w:sz w:val="20"/>
                <w:szCs w:val="20"/>
              </w:rPr>
              <w:t>/IV</w:t>
            </w:r>
            <w:r w:rsidR="0090478A" w:rsidRPr="00305508">
              <w:rPr>
                <w:color w:val="auto"/>
                <w:sz w:val="20"/>
                <w:szCs w:val="20"/>
              </w:rPr>
              <w:t>/2011</w:t>
            </w:r>
            <w:r w:rsidRPr="00305508">
              <w:rPr>
                <w:color w:val="auto"/>
                <w:sz w:val="20"/>
                <w:szCs w:val="20"/>
              </w:rPr>
              <w:t xml:space="preserve"> Zarządu Województwa Śląskiego z dnia </w:t>
            </w:r>
            <w:r w:rsidR="004E631E" w:rsidRPr="00305508">
              <w:rPr>
                <w:color w:val="auto"/>
                <w:sz w:val="20"/>
                <w:szCs w:val="20"/>
              </w:rPr>
              <w:t>25 października</w:t>
            </w:r>
            <w:r w:rsidRPr="00305508">
              <w:rPr>
                <w:color w:val="auto"/>
                <w:sz w:val="20"/>
                <w:szCs w:val="20"/>
              </w:rPr>
              <w:t xml:space="preserve"> 2011 roku</w:t>
            </w:r>
          </w:p>
        </w:tc>
        <w:tc>
          <w:tcPr>
            <w:tcW w:w="5244" w:type="dxa"/>
            <w:shd w:val="clear" w:color="auto" w:fill="F9D8CD" w:themeFill="accent1" w:themeFillTint="33"/>
            <w:vAlign w:val="center"/>
          </w:tcPr>
          <w:p w:rsidR="004E631E" w:rsidRPr="00305508" w:rsidRDefault="004E631E" w:rsidP="006D71C7">
            <w:pPr>
              <w:pStyle w:val="Default"/>
              <w:spacing w:before="120"/>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305508">
              <w:rPr>
                <w:color w:val="auto"/>
                <w:sz w:val="20"/>
                <w:szCs w:val="20"/>
              </w:rPr>
              <w:t>-doprecyzowanie zapisów dotyczących procedury wyboru do dofinansowania projektów znajdujących się na listach rezerwowych,</w:t>
            </w:r>
          </w:p>
          <w:p w:rsidR="004E631E" w:rsidRPr="00305508" w:rsidRDefault="004E631E" w:rsidP="006D71C7">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305508">
              <w:rPr>
                <w:color w:val="auto"/>
                <w:sz w:val="20"/>
                <w:szCs w:val="20"/>
              </w:rPr>
              <w:t>-wprowadzenie nowego rozdziału celem ujednolicenia zapisów dot. zamknięcia realizacji projektu</w:t>
            </w:r>
            <w:r w:rsidRPr="00305508">
              <w:rPr>
                <w:color w:val="auto"/>
                <w:sz w:val="14"/>
                <w:szCs w:val="14"/>
              </w:rPr>
              <w:t>,</w:t>
            </w:r>
          </w:p>
          <w:p w:rsidR="00240B07" w:rsidRPr="00C74054" w:rsidRDefault="004E631E" w:rsidP="00C74054">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305508">
              <w:rPr>
                <w:color w:val="auto"/>
                <w:sz w:val="20"/>
                <w:szCs w:val="20"/>
              </w:rPr>
              <w:t xml:space="preserve"> - dostosowanie </w:t>
            </w:r>
            <w:r w:rsidR="0090478A" w:rsidRPr="00305508">
              <w:rPr>
                <w:color w:val="auto"/>
                <w:sz w:val="20"/>
                <w:szCs w:val="20"/>
              </w:rPr>
              <w:t>sprawozdawczości z Programu do zmian wytycznych MRR w zakresie sprawozdawczości.</w:t>
            </w:r>
          </w:p>
        </w:tc>
      </w:tr>
    </w:tbl>
    <w:p w:rsidR="000116F7" w:rsidRPr="006D71C7" w:rsidRDefault="000116F7" w:rsidP="006D71C7">
      <w:pPr>
        <w:autoSpaceDE w:val="0"/>
        <w:autoSpaceDN w:val="0"/>
        <w:adjustRightInd w:val="0"/>
        <w:spacing w:before="240" w:after="120"/>
        <w:jc w:val="both"/>
        <w:rPr>
          <w:b/>
          <w:i/>
        </w:rPr>
      </w:pPr>
      <w:r w:rsidRPr="006D71C7">
        <w:rPr>
          <w:b/>
          <w:i/>
        </w:rPr>
        <w:t>Wytyczne IZ RPO WSL</w:t>
      </w:r>
    </w:p>
    <w:p w:rsidR="000116F7" w:rsidRPr="006D71C7" w:rsidRDefault="000116F7" w:rsidP="006D71C7">
      <w:pPr>
        <w:autoSpaceDE w:val="0"/>
        <w:autoSpaceDN w:val="0"/>
        <w:adjustRightInd w:val="0"/>
        <w:spacing w:before="240" w:after="120"/>
        <w:jc w:val="both"/>
      </w:pPr>
      <w:r w:rsidRPr="006D71C7">
        <w:t>W okresie sprawozdawczym zaktualizowano wytyczne, które zostały przedstawione w poniższej tabeli.</w:t>
      </w:r>
    </w:p>
    <w:p w:rsidR="00A50DE5" w:rsidRDefault="001E656A" w:rsidP="006D71C7">
      <w:pPr>
        <w:pStyle w:val="Legenda"/>
        <w:jc w:val="both"/>
        <w:rPr>
          <w:b w:val="0"/>
          <w:i/>
          <w:color w:val="auto"/>
          <w:sz w:val="20"/>
          <w:szCs w:val="20"/>
        </w:rPr>
      </w:pPr>
      <w:bookmarkStart w:id="61" w:name="_Toc296427387"/>
      <w:bookmarkStart w:id="62" w:name="_Toc324853693"/>
      <w:bookmarkStart w:id="63" w:name="_Toc326046356"/>
      <w:r w:rsidRPr="006D71C7">
        <w:rPr>
          <w:color w:val="auto"/>
          <w:sz w:val="20"/>
          <w:szCs w:val="20"/>
        </w:rPr>
        <w:t>Tabela</w:t>
      </w:r>
      <w:r w:rsidR="00E8611D" w:rsidRPr="006D71C7">
        <w:rPr>
          <w:color w:val="auto"/>
          <w:sz w:val="20"/>
          <w:szCs w:val="20"/>
        </w:rPr>
        <w:t xml:space="preserve">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w:t>
      </w:r>
      <w:r w:rsidR="008F7228" w:rsidRPr="006D71C7">
        <w:rPr>
          <w:color w:val="auto"/>
          <w:sz w:val="20"/>
          <w:szCs w:val="20"/>
        </w:rPr>
        <w:fldChar w:fldCharType="end"/>
      </w:r>
      <w:r w:rsidR="00E8611D" w:rsidRPr="006D71C7">
        <w:rPr>
          <w:color w:val="auto"/>
        </w:rPr>
        <w:t xml:space="preserve"> </w:t>
      </w:r>
      <w:r w:rsidRPr="006D71C7">
        <w:rPr>
          <w:b w:val="0"/>
          <w:i/>
          <w:color w:val="auto"/>
          <w:sz w:val="20"/>
          <w:szCs w:val="20"/>
        </w:rPr>
        <w:t>Szczegółowe informacje dot.</w:t>
      </w:r>
      <w:r w:rsidR="000116F7" w:rsidRPr="006D71C7">
        <w:rPr>
          <w:b w:val="0"/>
          <w:i/>
          <w:color w:val="auto"/>
          <w:sz w:val="20"/>
          <w:szCs w:val="20"/>
        </w:rPr>
        <w:t xml:space="preserve"> aktualizowanych wytycznych</w:t>
      </w:r>
      <w:bookmarkEnd w:id="61"/>
      <w:r w:rsidR="00CD5797" w:rsidRPr="006D71C7">
        <w:rPr>
          <w:b w:val="0"/>
          <w:i/>
          <w:color w:val="auto"/>
          <w:sz w:val="20"/>
          <w:szCs w:val="20"/>
        </w:rPr>
        <w:t xml:space="preserve"> </w:t>
      </w:r>
      <w:r w:rsidR="00F26B25" w:rsidRPr="006D71C7">
        <w:rPr>
          <w:b w:val="0"/>
          <w:i/>
          <w:color w:val="auto"/>
          <w:sz w:val="20"/>
          <w:szCs w:val="20"/>
        </w:rPr>
        <w:t>w okresie sprawozdawczym</w:t>
      </w:r>
      <w:bookmarkEnd w:id="62"/>
      <w:bookmarkEnd w:id="63"/>
    </w:p>
    <w:tbl>
      <w:tblPr>
        <w:tblStyle w:val="redniasiatka3akcent1"/>
        <w:tblW w:w="0" w:type="auto"/>
        <w:jc w:val="center"/>
        <w:shd w:val="clear" w:color="auto" w:fill="F4B29B" w:themeFill="accent1" w:themeFillTint="66"/>
        <w:tblLook w:val="04A0" w:firstRow="1" w:lastRow="0" w:firstColumn="1" w:lastColumn="0" w:noHBand="0" w:noVBand="1"/>
      </w:tblPr>
      <w:tblGrid>
        <w:gridCol w:w="3070"/>
        <w:gridCol w:w="3071"/>
        <w:gridCol w:w="3071"/>
      </w:tblGrid>
      <w:tr w:rsidR="00CC06A3" w:rsidTr="00C740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4B29B" w:themeFill="accent1" w:themeFillTint="66"/>
            <w:vAlign w:val="center"/>
          </w:tcPr>
          <w:p w:rsidR="00CC06A3" w:rsidRPr="00305508" w:rsidRDefault="00CC06A3" w:rsidP="00CC06A3">
            <w:pPr>
              <w:jc w:val="center"/>
              <w:rPr>
                <w:bCs w:val="0"/>
                <w:color w:val="auto"/>
                <w:sz w:val="20"/>
                <w:szCs w:val="20"/>
              </w:rPr>
            </w:pPr>
            <w:r w:rsidRPr="00305508">
              <w:rPr>
                <w:color w:val="auto"/>
                <w:sz w:val="20"/>
                <w:szCs w:val="20"/>
              </w:rPr>
              <w:t>DOKUMENT</w:t>
            </w:r>
          </w:p>
        </w:tc>
        <w:tc>
          <w:tcPr>
            <w:tcW w:w="3071" w:type="dxa"/>
            <w:shd w:val="clear" w:color="auto" w:fill="F4B29B" w:themeFill="accent1" w:themeFillTint="66"/>
            <w:vAlign w:val="center"/>
          </w:tcPr>
          <w:p w:rsidR="00CC06A3" w:rsidRDefault="00CC06A3" w:rsidP="00CC06A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p>
          <w:p w:rsidR="00CC06A3" w:rsidRPr="00305508" w:rsidRDefault="00CC06A3" w:rsidP="00CC06A3">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305508">
              <w:rPr>
                <w:color w:val="auto"/>
                <w:sz w:val="20"/>
                <w:szCs w:val="20"/>
              </w:rPr>
              <w:t>PODSTAWA ZMIANY DOKUMENTU</w:t>
            </w:r>
          </w:p>
        </w:tc>
        <w:tc>
          <w:tcPr>
            <w:tcW w:w="3071" w:type="dxa"/>
            <w:shd w:val="clear" w:color="auto" w:fill="F4B29B" w:themeFill="accent1" w:themeFillTint="66"/>
            <w:vAlign w:val="center"/>
          </w:tcPr>
          <w:p w:rsidR="00CC06A3" w:rsidRPr="00305508" w:rsidRDefault="00CC06A3" w:rsidP="00CC06A3">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305508">
              <w:rPr>
                <w:color w:val="auto"/>
                <w:sz w:val="20"/>
                <w:szCs w:val="20"/>
              </w:rPr>
              <w:t>NAJWAŻNIEJSZE ZMIANY</w:t>
            </w:r>
          </w:p>
        </w:tc>
      </w:tr>
      <w:tr w:rsidR="00CC06A3" w:rsidTr="00C74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4B29B" w:themeFill="accent1" w:themeFillTint="66"/>
            <w:vAlign w:val="center"/>
          </w:tcPr>
          <w:p w:rsidR="00CC06A3" w:rsidRDefault="00CC06A3" w:rsidP="00CC06A3">
            <w:pPr>
              <w:spacing w:after="0" w:line="240" w:lineRule="auto"/>
              <w:rPr>
                <w:b w:val="0"/>
                <w:bCs w:val="0"/>
                <w:color w:val="auto"/>
                <w:sz w:val="20"/>
                <w:szCs w:val="20"/>
              </w:rPr>
            </w:pPr>
            <w:r w:rsidRPr="00305508">
              <w:rPr>
                <w:color w:val="auto"/>
                <w:sz w:val="20"/>
                <w:szCs w:val="20"/>
              </w:rPr>
              <w:t>WYTYCZNE OPRACOWANIA STUDIÓW WYKONALNOŚCI DLA PROJEKTÓW Z ZAKRESU CZYSTEGO POWIETRZA I ODNAWIALNYCH ŹRÓDEŁ ENERGII</w:t>
            </w:r>
          </w:p>
        </w:tc>
        <w:tc>
          <w:tcPr>
            <w:tcW w:w="3071" w:type="dxa"/>
            <w:tcBorders>
              <w:top w:val="single" w:sz="24" w:space="0" w:color="FFFFFF" w:themeColor="background1"/>
            </w:tcBorders>
            <w:shd w:val="clear" w:color="auto" w:fill="F9D8CD" w:themeFill="accent1" w:themeFillTint="33"/>
            <w:vAlign w:val="center"/>
          </w:tcPr>
          <w:p w:rsidR="00CC06A3" w:rsidRPr="00305508" w:rsidRDefault="00CC06A3" w:rsidP="00CC06A3">
            <w:pPr>
              <w:spacing w:before="12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Uchwała Zarządu Województwa nr 828/37/IV/2011 z dnia 5 kwietnia 2011 roku w sprawie: przyjęcia Pakietu aplikacyjnego w ramach konkursu o dofinansowanie projektów ze środków RPO WSL dla Działania 5.3 Czyste powietrze i odnawialne źródła energii Priorytet V Środowisko (nabór nr: 05.03.00-108/11).</w:t>
            </w:r>
          </w:p>
        </w:tc>
        <w:tc>
          <w:tcPr>
            <w:tcW w:w="3071" w:type="dxa"/>
            <w:tcBorders>
              <w:top w:val="single" w:sz="24" w:space="0" w:color="FFFFFF" w:themeColor="background1"/>
            </w:tcBorders>
            <w:shd w:val="clear" w:color="auto" w:fill="F9D8CD" w:themeFill="accent1" w:themeFillTint="33"/>
            <w:vAlign w:val="center"/>
          </w:tcPr>
          <w:p w:rsidR="00CC06A3" w:rsidRDefault="00CC06A3" w:rsidP="00CC06A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Doprecyzowanie zapisów wytycznych pod kątem specyfiki działania, m.in. w zakresie: wskaźników rezultatu, wykonalności instytucjonalnej projektu, analizy specyficznej, analizy efektywności kosztowej.</w:t>
            </w:r>
          </w:p>
        </w:tc>
      </w:tr>
      <w:tr w:rsidR="00CC06A3" w:rsidTr="00C74054">
        <w:trPr>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4B29B" w:themeFill="accent1" w:themeFillTint="66"/>
            <w:vAlign w:val="center"/>
          </w:tcPr>
          <w:p w:rsidR="00CC06A3" w:rsidRDefault="00CC06A3" w:rsidP="00CC06A3">
            <w:pPr>
              <w:spacing w:after="0" w:line="240" w:lineRule="auto"/>
              <w:rPr>
                <w:b w:val="0"/>
                <w:bCs w:val="0"/>
                <w:color w:val="auto"/>
                <w:sz w:val="20"/>
                <w:szCs w:val="20"/>
              </w:rPr>
            </w:pPr>
          </w:p>
          <w:p w:rsidR="00CC06A3" w:rsidRDefault="00CC06A3" w:rsidP="00CC06A3">
            <w:pPr>
              <w:spacing w:after="0" w:line="240" w:lineRule="auto"/>
              <w:rPr>
                <w:b w:val="0"/>
                <w:bCs w:val="0"/>
                <w:color w:val="auto"/>
                <w:sz w:val="20"/>
                <w:szCs w:val="20"/>
              </w:rPr>
            </w:pPr>
            <w:r w:rsidRPr="00305508">
              <w:rPr>
                <w:color w:val="auto"/>
                <w:sz w:val="20"/>
                <w:szCs w:val="20"/>
              </w:rPr>
              <w:t>WYTYCZNE DO OPRACOWANIA</w:t>
            </w:r>
          </w:p>
          <w:p w:rsidR="00CC06A3" w:rsidRDefault="00CC06A3" w:rsidP="00CC06A3">
            <w:pPr>
              <w:spacing w:after="0" w:line="240" w:lineRule="auto"/>
              <w:rPr>
                <w:b w:val="0"/>
                <w:bCs w:val="0"/>
                <w:color w:val="auto"/>
                <w:sz w:val="20"/>
                <w:szCs w:val="20"/>
              </w:rPr>
            </w:pPr>
            <w:r w:rsidRPr="00305508">
              <w:rPr>
                <w:color w:val="auto"/>
                <w:sz w:val="20"/>
                <w:szCs w:val="20"/>
              </w:rPr>
              <w:t>STUDIÓW WYKONALNOŚCI DLA PROJEKTÓW</w:t>
            </w:r>
          </w:p>
          <w:p w:rsidR="00CC06A3" w:rsidRDefault="00CC06A3" w:rsidP="00CC06A3">
            <w:pPr>
              <w:spacing w:after="0" w:line="240" w:lineRule="auto"/>
              <w:rPr>
                <w:b w:val="0"/>
                <w:bCs w:val="0"/>
                <w:color w:val="auto"/>
                <w:sz w:val="20"/>
                <w:szCs w:val="20"/>
              </w:rPr>
            </w:pPr>
            <w:r w:rsidRPr="00305508">
              <w:rPr>
                <w:color w:val="auto"/>
                <w:sz w:val="20"/>
                <w:szCs w:val="20"/>
              </w:rPr>
              <w:t>Z ZAKRESU INFRASTRUKTURY SPOŁECZEŃSTWA INFORMACYJNEGO</w:t>
            </w:r>
          </w:p>
        </w:tc>
        <w:tc>
          <w:tcPr>
            <w:tcW w:w="3071" w:type="dxa"/>
            <w:tcBorders>
              <w:top w:val="single" w:sz="8" w:space="0" w:color="FFFFFF" w:themeColor="background1"/>
              <w:bottom w:val="single" w:sz="8" w:space="0" w:color="FFFFFF" w:themeColor="background1"/>
            </w:tcBorders>
            <w:shd w:val="clear" w:color="auto" w:fill="F9D8CD" w:themeFill="accent1" w:themeFillTint="33"/>
            <w:vAlign w:val="center"/>
          </w:tcPr>
          <w:p w:rsidR="00CC06A3" w:rsidRPr="00305508" w:rsidRDefault="00CC06A3" w:rsidP="00CC06A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Uchwała Zarządu Województwa nr 827/37/IV/2011 z dnia 5 kwietnia 2011 roku w sprawie: przyjęcia Pakietu aplikacyjnego w ramach konkursu o dofinansowanie projektów środkami RPO WSL dla Działania 2.1 Infrastruktura społeczeństwa informacyjnego Priorytetu II. Społeczeństwo informacyjne.</w:t>
            </w:r>
          </w:p>
        </w:tc>
        <w:tc>
          <w:tcPr>
            <w:tcW w:w="3071" w:type="dxa"/>
            <w:tcBorders>
              <w:top w:val="single" w:sz="8" w:space="0" w:color="FFFFFF" w:themeColor="background1"/>
              <w:bottom w:val="single" w:sz="8" w:space="0" w:color="FFFFFF" w:themeColor="background1"/>
            </w:tcBorders>
            <w:shd w:val="clear" w:color="auto" w:fill="F9D8CD" w:themeFill="accent1" w:themeFillTint="33"/>
            <w:vAlign w:val="center"/>
          </w:tcPr>
          <w:p w:rsidR="00CC06A3" w:rsidRDefault="00CC06A3" w:rsidP="00CC06A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Doprecyzowanie zapisów wytycznych pod kątem specyfiki działania, m.in. w zakresie:  podstawowych pojęć dla działania 2.1, opisu lokalizacji projektu, opisu otoczenia społeczno – gospodarczego projektu, konsultacji społecznych, wskaźników projektu, analizy prawnej wykonalności projektu, pomocy publicznej, analizy specyficznej.</w:t>
            </w:r>
          </w:p>
        </w:tc>
      </w:tr>
      <w:tr w:rsidR="00CC06A3" w:rsidTr="00C74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4B29B" w:themeFill="accent1" w:themeFillTint="66"/>
            <w:vAlign w:val="center"/>
          </w:tcPr>
          <w:p w:rsidR="00CC06A3" w:rsidRDefault="00CC06A3" w:rsidP="00CC06A3">
            <w:pPr>
              <w:spacing w:after="0" w:line="240" w:lineRule="auto"/>
              <w:rPr>
                <w:b w:val="0"/>
                <w:bCs w:val="0"/>
                <w:color w:val="auto"/>
                <w:sz w:val="20"/>
                <w:szCs w:val="20"/>
              </w:rPr>
            </w:pPr>
            <w:r w:rsidRPr="00305508">
              <w:rPr>
                <w:color w:val="auto"/>
                <w:sz w:val="20"/>
                <w:szCs w:val="20"/>
              </w:rPr>
              <w:t>WYTYCZNE OPRACOWANIA</w:t>
            </w:r>
          </w:p>
          <w:p w:rsidR="00CC06A3" w:rsidRDefault="00CC06A3" w:rsidP="00CC06A3">
            <w:pPr>
              <w:spacing w:after="0" w:line="240" w:lineRule="auto"/>
              <w:rPr>
                <w:b w:val="0"/>
                <w:bCs w:val="0"/>
                <w:color w:val="auto"/>
                <w:sz w:val="20"/>
                <w:szCs w:val="20"/>
              </w:rPr>
            </w:pPr>
            <w:r w:rsidRPr="00305508">
              <w:rPr>
                <w:color w:val="auto"/>
                <w:sz w:val="20"/>
                <w:szCs w:val="20"/>
              </w:rPr>
              <w:t>STUDIÓW WYKONALNOŚCI DLA</w:t>
            </w:r>
          </w:p>
          <w:p w:rsidR="00CC06A3" w:rsidRDefault="00CC06A3" w:rsidP="00CC06A3">
            <w:pPr>
              <w:spacing w:after="0" w:line="240" w:lineRule="auto"/>
              <w:rPr>
                <w:b w:val="0"/>
                <w:bCs w:val="0"/>
                <w:color w:val="auto"/>
                <w:sz w:val="20"/>
                <w:szCs w:val="20"/>
              </w:rPr>
            </w:pPr>
            <w:r w:rsidRPr="00305508">
              <w:rPr>
                <w:color w:val="auto"/>
                <w:sz w:val="20"/>
                <w:szCs w:val="20"/>
              </w:rPr>
              <w:t>DZIAŁANIA 1.3. TYP PROJEKTU 1, 2, 5 Z ZAKRESU</w:t>
            </w:r>
          </w:p>
          <w:p w:rsidR="00CC06A3" w:rsidRDefault="00CC06A3" w:rsidP="00CC06A3">
            <w:pPr>
              <w:spacing w:after="0" w:line="240" w:lineRule="auto"/>
              <w:rPr>
                <w:b w:val="0"/>
                <w:bCs w:val="0"/>
                <w:color w:val="auto"/>
                <w:sz w:val="20"/>
                <w:szCs w:val="20"/>
              </w:rPr>
            </w:pPr>
            <w:r w:rsidRPr="00305508">
              <w:rPr>
                <w:color w:val="auto"/>
                <w:sz w:val="20"/>
                <w:szCs w:val="20"/>
              </w:rPr>
              <w:t>TRANSFERU TECHNOLOGII I INNOWACJI</w:t>
            </w:r>
          </w:p>
        </w:tc>
        <w:tc>
          <w:tcPr>
            <w:tcW w:w="3071" w:type="dxa"/>
            <w:shd w:val="clear" w:color="auto" w:fill="F9D8CD" w:themeFill="accent1" w:themeFillTint="33"/>
            <w:vAlign w:val="center"/>
          </w:tcPr>
          <w:p w:rsidR="00CC06A3" w:rsidRPr="00305508" w:rsidRDefault="00CC06A3" w:rsidP="00CC06A3">
            <w:pPr>
              <w:spacing w:before="12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 xml:space="preserve">Uchwała Zarządu Województwa nr 1486/54/IV/2011 z dnia 7 czerwca 2011 roku w sprawie: przyjęcia Pakietu aplikacyjnego w ramach konkursu o dofinansowanie projektów ze środków RPO WSL dla Działania 1.3 Transfer technologii i innowacji, typ projektu 1,2,5 w ramach Priorytetu I. Badania i rozwój technologiczny (B+R), innowacje i przedsiębiorczość (nabór nr: 01.03.00-118/11) </w:t>
            </w:r>
          </w:p>
        </w:tc>
        <w:tc>
          <w:tcPr>
            <w:tcW w:w="3071" w:type="dxa"/>
            <w:shd w:val="clear" w:color="auto" w:fill="F9D8CD" w:themeFill="accent1" w:themeFillTint="33"/>
            <w:vAlign w:val="center"/>
          </w:tcPr>
          <w:p w:rsidR="00CC06A3" w:rsidRDefault="00CC06A3" w:rsidP="00CC06A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Doprecyzowanie zapisów wytycznych pod kątem specyfiki działania, m.in. w zakresie: wskaźników projektu, pomocy publicznej oraz analizy specyficznej.</w:t>
            </w:r>
          </w:p>
        </w:tc>
      </w:tr>
      <w:tr w:rsidR="00CC06A3" w:rsidTr="00C74054">
        <w:trPr>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4B29B" w:themeFill="accent1" w:themeFillTint="66"/>
            <w:vAlign w:val="center"/>
          </w:tcPr>
          <w:p w:rsidR="00CC06A3" w:rsidRDefault="00CC06A3" w:rsidP="00CC06A3">
            <w:pPr>
              <w:spacing w:after="0" w:line="240" w:lineRule="auto"/>
              <w:rPr>
                <w:b w:val="0"/>
                <w:bCs w:val="0"/>
                <w:color w:val="auto"/>
                <w:sz w:val="20"/>
                <w:szCs w:val="20"/>
              </w:rPr>
            </w:pPr>
            <w:r w:rsidRPr="00305508">
              <w:rPr>
                <w:color w:val="auto"/>
                <w:sz w:val="20"/>
                <w:szCs w:val="20"/>
              </w:rPr>
              <w:t>WYTYCZNE OPRACOWANIA</w:t>
            </w:r>
          </w:p>
          <w:p w:rsidR="00CC06A3" w:rsidRDefault="00CC06A3" w:rsidP="00CC06A3">
            <w:pPr>
              <w:spacing w:after="0" w:line="240" w:lineRule="auto"/>
              <w:rPr>
                <w:b w:val="0"/>
                <w:bCs w:val="0"/>
                <w:color w:val="auto"/>
                <w:sz w:val="20"/>
                <w:szCs w:val="20"/>
              </w:rPr>
            </w:pPr>
            <w:r w:rsidRPr="00305508">
              <w:rPr>
                <w:color w:val="auto"/>
                <w:sz w:val="20"/>
                <w:szCs w:val="20"/>
              </w:rPr>
              <w:t>STUDIÓW WYKONALNOŚCI DLA</w:t>
            </w:r>
          </w:p>
          <w:p w:rsidR="00CC06A3" w:rsidRDefault="00CC06A3" w:rsidP="00CC06A3">
            <w:pPr>
              <w:spacing w:after="0" w:line="240" w:lineRule="auto"/>
              <w:rPr>
                <w:b w:val="0"/>
                <w:bCs w:val="0"/>
                <w:color w:val="auto"/>
                <w:sz w:val="20"/>
                <w:szCs w:val="20"/>
              </w:rPr>
            </w:pPr>
            <w:r w:rsidRPr="00305508">
              <w:rPr>
                <w:color w:val="auto"/>
                <w:sz w:val="20"/>
                <w:szCs w:val="20"/>
              </w:rPr>
              <w:t>DZIAŁANIA 1.3. TYP PROJEKTU 3, 4, 6 Z ZAKRESU TRANSFERU TECHNOLOGII I INNOWACJI</w:t>
            </w:r>
          </w:p>
        </w:tc>
        <w:tc>
          <w:tcPr>
            <w:tcW w:w="3071" w:type="dxa"/>
            <w:tcBorders>
              <w:top w:val="single" w:sz="8" w:space="0" w:color="FFFFFF" w:themeColor="background1"/>
              <w:bottom w:val="single" w:sz="8" w:space="0" w:color="FFFFFF" w:themeColor="background1"/>
            </w:tcBorders>
            <w:shd w:val="clear" w:color="auto" w:fill="F9D8CD" w:themeFill="accent1" w:themeFillTint="33"/>
            <w:vAlign w:val="center"/>
          </w:tcPr>
          <w:p w:rsidR="00CC06A3" w:rsidRPr="00305508" w:rsidRDefault="00CC06A3" w:rsidP="00CC06A3">
            <w:pPr>
              <w:spacing w:before="12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Uchwała Zarządu Województwa  nr 1487/54/IV/2011 z dnia 7 czerwca 2011 roku w sprawie: przyjęcia Pakietu aplikacyjnego w ramach konkursu o dofinansowanie projektów ze środków RPO WSL dla Działania 1.3 Transfer technologii i innowacji, typ projektu 3,4,6 w ramach Priorytetu I. Badania i rozwój technologiczny (B+R), innowacje i przedsiębiorczość (nabór nr: 01.03.00-119/11).</w:t>
            </w:r>
          </w:p>
        </w:tc>
        <w:tc>
          <w:tcPr>
            <w:tcW w:w="3071" w:type="dxa"/>
            <w:tcBorders>
              <w:top w:val="single" w:sz="8" w:space="0" w:color="FFFFFF" w:themeColor="background1"/>
              <w:bottom w:val="single" w:sz="8" w:space="0" w:color="FFFFFF" w:themeColor="background1"/>
            </w:tcBorders>
            <w:shd w:val="clear" w:color="auto" w:fill="F9D8CD" w:themeFill="accent1" w:themeFillTint="33"/>
            <w:vAlign w:val="center"/>
          </w:tcPr>
          <w:p w:rsidR="00CC06A3" w:rsidRDefault="00CC06A3" w:rsidP="00CC06A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Doprecyzowanie zapisów wytycznych pod kątem specyfiki działania, m.in. w zakresie: lokalizacji projektu, wskaźników projektu, wykonalności instytucjonalnej projektu, trwałości projektu, pomocy publicznej, analizy technicznej oraz analizy specyficznej.</w:t>
            </w:r>
          </w:p>
        </w:tc>
      </w:tr>
      <w:tr w:rsidR="00CC06A3" w:rsidTr="00C74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4B29B" w:themeFill="accent1" w:themeFillTint="66"/>
            <w:vAlign w:val="center"/>
          </w:tcPr>
          <w:p w:rsidR="00CC06A3" w:rsidRDefault="00CC06A3" w:rsidP="00CC06A3">
            <w:pPr>
              <w:spacing w:after="0" w:line="240" w:lineRule="auto"/>
              <w:rPr>
                <w:b w:val="0"/>
                <w:bCs w:val="0"/>
                <w:color w:val="auto"/>
                <w:sz w:val="20"/>
                <w:szCs w:val="20"/>
              </w:rPr>
            </w:pPr>
            <w:r w:rsidRPr="00305508">
              <w:rPr>
                <w:color w:val="auto"/>
                <w:sz w:val="20"/>
                <w:szCs w:val="20"/>
              </w:rPr>
              <w:t>WYTYCZNE OPRACOWANIA</w:t>
            </w:r>
          </w:p>
          <w:p w:rsidR="00CC06A3" w:rsidRDefault="00CC06A3" w:rsidP="00CC06A3">
            <w:pPr>
              <w:spacing w:after="0" w:line="240" w:lineRule="auto"/>
              <w:rPr>
                <w:b w:val="0"/>
                <w:bCs w:val="0"/>
                <w:color w:val="auto"/>
                <w:sz w:val="20"/>
                <w:szCs w:val="20"/>
              </w:rPr>
            </w:pPr>
            <w:r w:rsidRPr="00305508">
              <w:rPr>
                <w:color w:val="auto"/>
                <w:sz w:val="20"/>
                <w:szCs w:val="20"/>
              </w:rPr>
              <w:t>STUDIÓW WYKONALNOŚCI DLA PROJEKTÓW</w:t>
            </w:r>
          </w:p>
          <w:p w:rsidR="00CC06A3" w:rsidRDefault="00CC06A3" w:rsidP="00CC06A3">
            <w:pPr>
              <w:spacing w:after="0" w:line="240" w:lineRule="auto"/>
              <w:rPr>
                <w:b w:val="0"/>
                <w:bCs w:val="0"/>
                <w:color w:val="auto"/>
                <w:sz w:val="20"/>
                <w:szCs w:val="20"/>
              </w:rPr>
            </w:pPr>
            <w:r w:rsidRPr="00305508">
              <w:rPr>
                <w:color w:val="auto"/>
                <w:sz w:val="20"/>
                <w:szCs w:val="20"/>
              </w:rPr>
              <w:t>Z ZAKRESU TURYSTYKI</w:t>
            </w:r>
          </w:p>
        </w:tc>
        <w:tc>
          <w:tcPr>
            <w:tcW w:w="3071" w:type="dxa"/>
            <w:shd w:val="clear" w:color="auto" w:fill="F9D8CD" w:themeFill="accent1" w:themeFillTint="33"/>
            <w:vAlign w:val="center"/>
          </w:tcPr>
          <w:p w:rsidR="00CC06A3" w:rsidRPr="00305508" w:rsidRDefault="00CC06A3" w:rsidP="00CC06A3">
            <w:pPr>
              <w:spacing w:before="120"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Uchwała nr 1692/389/III/2010 Zarządu Województwa Śląskiego z dnia 6.07.2010 roku w sprawie: przyjęcia Pakietu aplikacyjnego w ramach konkursu o dofinansowanie projektów ze środków RPO WSL dla Poddziałania 3.1.2 Infrastruktura zaplecza turystycznego/podmioty publiczne w ramach Priorytetu III - Turystyka</w:t>
            </w:r>
          </w:p>
        </w:tc>
        <w:tc>
          <w:tcPr>
            <w:tcW w:w="3071" w:type="dxa"/>
            <w:shd w:val="clear" w:color="auto" w:fill="F9D8CD" w:themeFill="accent1" w:themeFillTint="33"/>
            <w:vAlign w:val="center"/>
          </w:tcPr>
          <w:p w:rsidR="00CC06A3" w:rsidRDefault="00CC06A3" w:rsidP="00CC06A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Doprecyzowanie zapisów wytycznych pod kątem specyfiki działania, m.in. w zakresie pomocy publicznej</w:t>
            </w:r>
          </w:p>
        </w:tc>
      </w:tr>
      <w:tr w:rsidR="00CC06A3" w:rsidTr="00C74054">
        <w:trPr>
          <w:jc w:val="center"/>
        </w:trPr>
        <w:tc>
          <w:tcPr>
            <w:cnfStyle w:val="001000000000" w:firstRow="0" w:lastRow="0" w:firstColumn="1" w:lastColumn="0" w:oddVBand="0" w:evenVBand="0" w:oddHBand="0" w:evenHBand="0" w:firstRowFirstColumn="0" w:firstRowLastColumn="0" w:lastRowFirstColumn="0" w:lastRowLastColumn="0"/>
            <w:tcW w:w="3070" w:type="dxa"/>
            <w:tcBorders>
              <w:bottom w:val="single" w:sz="8" w:space="0" w:color="FFFFFF" w:themeColor="background1"/>
            </w:tcBorders>
            <w:shd w:val="clear" w:color="auto" w:fill="F4B29B" w:themeFill="accent1" w:themeFillTint="66"/>
            <w:vAlign w:val="center"/>
          </w:tcPr>
          <w:p w:rsidR="00CC06A3" w:rsidRDefault="00CC06A3" w:rsidP="00CC06A3">
            <w:pPr>
              <w:spacing w:after="0" w:line="240" w:lineRule="auto"/>
              <w:rPr>
                <w:b w:val="0"/>
                <w:bCs w:val="0"/>
                <w:color w:val="auto"/>
                <w:sz w:val="20"/>
                <w:szCs w:val="20"/>
              </w:rPr>
            </w:pPr>
            <w:r w:rsidRPr="00305508">
              <w:rPr>
                <w:color w:val="auto"/>
                <w:sz w:val="20"/>
                <w:szCs w:val="20"/>
              </w:rPr>
              <w:t>WYTYCZNE OPRACOWANIA</w:t>
            </w:r>
          </w:p>
          <w:p w:rsidR="00CC06A3" w:rsidRDefault="00CC06A3" w:rsidP="00CC06A3">
            <w:pPr>
              <w:spacing w:after="0" w:line="240" w:lineRule="auto"/>
              <w:rPr>
                <w:b w:val="0"/>
                <w:bCs w:val="0"/>
                <w:color w:val="auto"/>
                <w:sz w:val="20"/>
                <w:szCs w:val="20"/>
              </w:rPr>
            </w:pPr>
            <w:r w:rsidRPr="00305508">
              <w:rPr>
                <w:color w:val="auto"/>
                <w:sz w:val="20"/>
                <w:szCs w:val="20"/>
              </w:rPr>
              <w:t>STUDIÓW WYKONALNOŚCI DLA PROJEKTÓW</w:t>
            </w:r>
          </w:p>
          <w:p w:rsidR="00CC06A3" w:rsidRDefault="00CC06A3" w:rsidP="00CC06A3">
            <w:pPr>
              <w:spacing w:after="0" w:line="240" w:lineRule="auto"/>
              <w:rPr>
                <w:b w:val="0"/>
                <w:bCs w:val="0"/>
                <w:color w:val="auto"/>
                <w:sz w:val="20"/>
                <w:szCs w:val="20"/>
              </w:rPr>
            </w:pPr>
            <w:r w:rsidRPr="00305508">
              <w:rPr>
                <w:color w:val="auto"/>
                <w:sz w:val="20"/>
                <w:szCs w:val="20"/>
              </w:rPr>
              <w:t>Z ZAKRESU</w:t>
            </w:r>
          </w:p>
          <w:p w:rsidR="00CC06A3" w:rsidRDefault="00CC06A3" w:rsidP="00CC06A3">
            <w:pPr>
              <w:spacing w:after="0" w:line="240" w:lineRule="auto"/>
              <w:rPr>
                <w:b w:val="0"/>
                <w:bCs w:val="0"/>
                <w:color w:val="auto"/>
                <w:sz w:val="20"/>
                <w:szCs w:val="20"/>
              </w:rPr>
            </w:pPr>
            <w:r w:rsidRPr="00305508">
              <w:rPr>
                <w:color w:val="auto"/>
                <w:sz w:val="20"/>
                <w:szCs w:val="20"/>
              </w:rPr>
              <w:t>MODERNIZACJI I ROZBUDOWY SIECI DROGOWEJ</w:t>
            </w:r>
          </w:p>
        </w:tc>
        <w:tc>
          <w:tcPr>
            <w:tcW w:w="3071" w:type="dxa"/>
            <w:tcBorders>
              <w:top w:val="single" w:sz="8" w:space="0" w:color="FFFFFF" w:themeColor="background1"/>
              <w:bottom w:val="single" w:sz="8" w:space="0" w:color="FFFFFF" w:themeColor="background1"/>
            </w:tcBorders>
            <w:shd w:val="clear" w:color="auto" w:fill="F9D8CD" w:themeFill="accent1" w:themeFillTint="33"/>
            <w:vAlign w:val="center"/>
          </w:tcPr>
          <w:p w:rsidR="00CC06A3" w:rsidRPr="00305508" w:rsidRDefault="00CC06A3" w:rsidP="00CC06A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 xml:space="preserve">Uchwała Zarządu Województwa nr 3425/105/IV/2011 z dnia 13 grudnia 2011 roku w sprawie: Uchwała nr 3425/105/IV/2011 Zarządu Województwa Śląskiego z dnia 13. 12. 2011 roku w sprawie przyjęcia Pakietu aplikacyjnego w ramach konkursu o dofinansowanie projektów ze środków RPO WSL dla Poddziałania 7.1.1. Modernizacja i rozbudowa kluczowych elementów sieci drogowej, Priorytet VII. Transport (nabór nr: 07.01.01-127/11). </w:t>
            </w:r>
          </w:p>
        </w:tc>
        <w:tc>
          <w:tcPr>
            <w:tcW w:w="3071" w:type="dxa"/>
            <w:tcBorders>
              <w:top w:val="single" w:sz="8" w:space="0" w:color="FFFFFF" w:themeColor="background1"/>
              <w:bottom w:val="single" w:sz="8" w:space="0" w:color="FFFFFF" w:themeColor="background1"/>
            </w:tcBorders>
            <w:shd w:val="clear" w:color="auto" w:fill="F9D8CD" w:themeFill="accent1" w:themeFillTint="33"/>
            <w:vAlign w:val="center"/>
          </w:tcPr>
          <w:p w:rsidR="00CC06A3" w:rsidRDefault="00CC06A3" w:rsidP="00CC06A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Doprecyzowanie zapisów wytycznych pod kątem specyfiki działania, m.in. w zakresie wskaźników, analizy specyficznej, analizy technicznej, analizy finansowej i ekonomicznej.</w:t>
            </w:r>
          </w:p>
        </w:tc>
      </w:tr>
    </w:tbl>
    <w:p w:rsidR="004D3E29" w:rsidRPr="006D71C7" w:rsidRDefault="004D3E29" w:rsidP="006D71C7">
      <w:pPr>
        <w:spacing w:after="0" w:line="240" w:lineRule="auto"/>
        <w:jc w:val="both"/>
        <w:rPr>
          <w:b/>
          <w:i/>
          <w:highlight w:val="yellow"/>
        </w:rPr>
      </w:pPr>
    </w:p>
    <w:p w:rsidR="000116F7" w:rsidRPr="006D71C7" w:rsidRDefault="007D4EE1" w:rsidP="006D71C7">
      <w:pPr>
        <w:spacing w:after="120" w:line="240" w:lineRule="auto"/>
        <w:jc w:val="both"/>
        <w:rPr>
          <w:b/>
          <w:i/>
        </w:rPr>
      </w:pPr>
      <w:r w:rsidRPr="006D71C7">
        <w:rPr>
          <w:b/>
          <w:i/>
        </w:rPr>
        <w:t>Kryteria wyboru projektów</w:t>
      </w:r>
    </w:p>
    <w:p w:rsidR="00DB71B2" w:rsidRPr="006D71C7" w:rsidRDefault="00DB71B2" w:rsidP="006D71C7">
      <w:pPr>
        <w:spacing w:after="120"/>
        <w:jc w:val="both"/>
        <w:rPr>
          <w:i/>
        </w:rPr>
      </w:pPr>
      <w:r w:rsidRPr="006D71C7">
        <w:t xml:space="preserve">W </w:t>
      </w:r>
      <w:r w:rsidR="00965DCF" w:rsidRPr="006D71C7">
        <w:t>okresie sprawozdawczym</w:t>
      </w:r>
      <w:r w:rsidRPr="006D71C7">
        <w:t xml:space="preserve"> odbyły się dwa posiedzenia KM RPO WSL na których członkowie dokonali zmian kryteriów wyboru projektów w części wdrażanej przez IP2 RPO WSL skierowanej do przedsiębiorców. Zmiany w kryteriach formalnych spowodowane były w głównej mierze aktualizacją przepisów prawnych m. in. </w:t>
      </w:r>
      <w:r w:rsidRPr="006D71C7">
        <w:rPr>
          <w:i/>
        </w:rPr>
        <w:t xml:space="preserve">Rozporządzenia Ministra Rozwoju Regionalnego w sprawie udzielania regionalnej pomocy inwestycyjnej w ramach regionalnych programów operacyjnych oraz udzielania pomocy de minimis w ramach programów regionalnych. </w:t>
      </w:r>
      <w:r w:rsidRPr="006D71C7">
        <w:t>Dodano także kryterium mówiące o przedsiębiorstwie zagrożonym w rozumieniu</w:t>
      </w:r>
      <w:r w:rsidRPr="006D71C7">
        <w:rPr>
          <w:i/>
        </w:rPr>
        <w:t xml:space="preserve"> art. 1 ust. 7 Rozporządzenia Komisji nr 800/2008. </w:t>
      </w:r>
      <w:r w:rsidRPr="006D71C7">
        <w:t>Modyfikacji uległy takż</w:t>
      </w:r>
      <w:r w:rsidR="00DB0467" w:rsidRPr="006D71C7">
        <w:t>e kryteria uszczegóławiające m.</w:t>
      </w:r>
      <w:r w:rsidRPr="006D71C7">
        <w:t>in. poprzez wprowadzenie zapisu mówiącego o kopii pozwolenia na budowę</w:t>
      </w:r>
      <w:r w:rsidR="00DB0467" w:rsidRPr="006D71C7">
        <w:t>,</w:t>
      </w:r>
      <w:r w:rsidRPr="006D71C7">
        <w:t xml:space="preserve"> którą należy dostarczyć już na etapie złożenia wniosku o</w:t>
      </w:r>
      <w:r w:rsidR="00965DCF" w:rsidRPr="006D71C7">
        <w:t> </w:t>
      </w:r>
      <w:r w:rsidRPr="006D71C7">
        <w:t>dofinansowani</w:t>
      </w:r>
      <w:r w:rsidR="00DB0467" w:rsidRPr="006D71C7">
        <w:t>a a nie jak to miało miejsce na </w:t>
      </w:r>
      <w:r w:rsidRPr="006D71C7">
        <w:t>etapie podpisywania umowy. Ponadto zmieniono formularz w zakresie OOŚ, zaświadczenie organu monitorującego obszary NATURA 2000</w:t>
      </w:r>
      <w:r w:rsidR="00DB0467" w:rsidRPr="006D71C7">
        <w:t>,</w:t>
      </w:r>
      <w:r w:rsidRPr="006D71C7">
        <w:t xml:space="preserve"> które również należy przedstawić na etapie złożenia wniosku o</w:t>
      </w:r>
      <w:r w:rsidR="00965DCF" w:rsidRPr="006D71C7">
        <w:t> </w:t>
      </w:r>
      <w:r w:rsidRPr="006D71C7">
        <w:t>dofinansowanie.</w:t>
      </w:r>
      <w:r w:rsidRPr="006D71C7">
        <w:rPr>
          <w:i/>
        </w:rPr>
        <w:t xml:space="preserve"> </w:t>
      </w:r>
      <w:r w:rsidRPr="006D71C7">
        <w:t>W ramach kryteriów merytoryczno</w:t>
      </w:r>
      <w:r w:rsidR="00DB0467" w:rsidRPr="006D71C7">
        <w:t xml:space="preserve"> -</w:t>
      </w:r>
      <w:r w:rsidRPr="006D71C7">
        <w:t xml:space="preserve"> technicz</w:t>
      </w:r>
      <w:r w:rsidR="00DB0467" w:rsidRPr="006D71C7">
        <w:t>nych dodano kryteria wprowadzające</w:t>
      </w:r>
      <w:r w:rsidRPr="006D71C7">
        <w:t xml:space="preserve"> możliwość dokonywania korekt wydatków przez ekspertów podczas oceny merytoryczno-technicz</w:t>
      </w:r>
      <w:r w:rsidR="00DB0467" w:rsidRPr="006D71C7">
        <w:t>nej, w przypadku stwierdzenia w </w:t>
      </w:r>
      <w:r w:rsidRPr="006D71C7">
        <w:t>projekcie wydatków nieuzasadnionych lub zawyżonych, w porównaniu ze stawkami rynkowymi. Wp</w:t>
      </w:r>
      <w:r w:rsidR="00DB0467" w:rsidRPr="006D71C7">
        <w:t>rowadzono także kryterium dot. u</w:t>
      </w:r>
      <w:r w:rsidRPr="006D71C7">
        <w:t>dzielonej pomocy publicznej, wpływu projektu na polityki horyzontalne. Ponadto dokonano zmian wag części z kryteriów merytoryczno-technicznych.</w:t>
      </w:r>
    </w:p>
    <w:p w:rsidR="00C74054" w:rsidRDefault="00C74054" w:rsidP="006D71C7">
      <w:pPr>
        <w:spacing w:after="120"/>
        <w:jc w:val="both"/>
        <w:rPr>
          <w:b/>
          <w:i/>
        </w:rPr>
      </w:pPr>
    </w:p>
    <w:p w:rsidR="00C74054" w:rsidRDefault="00C74054" w:rsidP="006D71C7">
      <w:pPr>
        <w:spacing w:after="120"/>
        <w:jc w:val="both"/>
        <w:rPr>
          <w:b/>
          <w:i/>
        </w:rPr>
      </w:pPr>
    </w:p>
    <w:p w:rsidR="007D4EE1" w:rsidRPr="006D71C7" w:rsidRDefault="005C2F42" w:rsidP="006D71C7">
      <w:pPr>
        <w:spacing w:after="120"/>
        <w:jc w:val="both"/>
        <w:rPr>
          <w:b/>
          <w:i/>
        </w:rPr>
      </w:pPr>
      <w:r w:rsidRPr="006D71C7">
        <w:rPr>
          <w:b/>
          <w:i/>
        </w:rPr>
        <w:t>Prace nad przygotowaniem</w:t>
      </w:r>
      <w:r w:rsidR="00743A66" w:rsidRPr="006D71C7">
        <w:rPr>
          <w:b/>
          <w:i/>
        </w:rPr>
        <w:t>/zmianą programów pomocowych</w:t>
      </w:r>
    </w:p>
    <w:p w:rsidR="00245F70" w:rsidRPr="006D71C7" w:rsidRDefault="00743A66" w:rsidP="006D71C7">
      <w:pPr>
        <w:spacing w:after="120"/>
        <w:jc w:val="both"/>
      </w:pPr>
      <w:r w:rsidRPr="006D71C7">
        <w:t xml:space="preserve">Przygotowaniem programów pomocowych zajmuje się Ministerstwo Rozwoju Regionalnego, IZ RPO WSL, w ramach konsultacji zgłasza ewentualne uwagi do ww. programów. </w:t>
      </w:r>
    </w:p>
    <w:p w:rsidR="0002581D" w:rsidRPr="006D71C7" w:rsidRDefault="0002581D" w:rsidP="006D71C7">
      <w:pPr>
        <w:spacing w:after="0"/>
        <w:jc w:val="both"/>
      </w:pPr>
      <w:r w:rsidRPr="006D71C7">
        <w:t>IZ RPO WSL udziela wsparcia zgodnie z poniższymi rozporządzeniami (programami pomocowymi):</w:t>
      </w:r>
    </w:p>
    <w:p w:rsidR="0002581D" w:rsidRPr="006D71C7" w:rsidRDefault="0002581D" w:rsidP="00BA2FE7">
      <w:pPr>
        <w:pStyle w:val="Akapitzlist"/>
        <w:numPr>
          <w:ilvl w:val="0"/>
          <w:numId w:val="106"/>
        </w:numPr>
        <w:spacing w:after="0"/>
        <w:jc w:val="both"/>
      </w:pPr>
      <w:r w:rsidRPr="006D71C7">
        <w:t>Rozporządzenie Ministra Rozwoju Regionalnego z dnia 20 maja 2009 r. w sprawie udzielania pomocy na wzmacnianie potencjału instytucji otoczenia biznesu w ramach regionalnych programów operacyjnych,</w:t>
      </w:r>
    </w:p>
    <w:p w:rsidR="0002581D" w:rsidRPr="006D71C7" w:rsidRDefault="0002581D" w:rsidP="00BA2FE7">
      <w:pPr>
        <w:pStyle w:val="Akapitzlist"/>
        <w:numPr>
          <w:ilvl w:val="0"/>
          <w:numId w:val="106"/>
        </w:numPr>
        <w:spacing w:after="0"/>
        <w:jc w:val="both"/>
      </w:pPr>
      <w:r w:rsidRPr="006D71C7">
        <w:t>Rozporządzenie Ministra Rozwoju Regionalnego z dnia 7 grudnia 2009 r. w sprawie udzielania pomocy na inwestycje w zakresie: energetyki, infrastruktury telekomunikacyjnej, infrastruktury sfery badawczo-rozwojowej, lecznictwa uzdrowiskowego w ramach regionalnych programów operacyjnych,</w:t>
      </w:r>
    </w:p>
    <w:p w:rsidR="0002581D" w:rsidRPr="006D71C7" w:rsidRDefault="0002581D" w:rsidP="00BA2FE7">
      <w:pPr>
        <w:pStyle w:val="Akapitzlist"/>
        <w:numPr>
          <w:ilvl w:val="0"/>
          <w:numId w:val="106"/>
        </w:numPr>
        <w:spacing w:after="0"/>
        <w:jc w:val="both"/>
      </w:pPr>
      <w:r w:rsidRPr="006D71C7">
        <w:t>Rozporządzenie Ministra Rozwoju Regionalnego z dnia 17 czerwca 2010 r. w sprawie udzielania pomocy na projekty w zakresie badań i rozwoju w ramach regionalnych programów operacyjnych,</w:t>
      </w:r>
    </w:p>
    <w:p w:rsidR="0002581D" w:rsidRPr="006D71C7" w:rsidRDefault="0002581D" w:rsidP="00BA2FE7">
      <w:pPr>
        <w:pStyle w:val="Akapitzlist"/>
        <w:numPr>
          <w:ilvl w:val="0"/>
          <w:numId w:val="106"/>
        </w:numPr>
        <w:spacing w:after="0"/>
        <w:jc w:val="both"/>
      </w:pPr>
      <w:r w:rsidRPr="006D71C7">
        <w:t>Rozporządzenie Ministra Rozwoju Regionalnego z dnia 9 czerwca 2010 r. w sprawie udzielania pomocy na rewitalizację w ramach regionalnych programów operacyjnych,</w:t>
      </w:r>
    </w:p>
    <w:p w:rsidR="0002581D" w:rsidRPr="006D71C7" w:rsidRDefault="0002581D" w:rsidP="00BA2FE7">
      <w:pPr>
        <w:pStyle w:val="Akapitzlist"/>
        <w:numPr>
          <w:ilvl w:val="0"/>
          <w:numId w:val="106"/>
        </w:numPr>
        <w:spacing w:after="0"/>
        <w:jc w:val="both"/>
      </w:pPr>
      <w:r w:rsidRPr="006D71C7">
        <w:t> Rozporządzenie Ministra Rozwoju Regionalnego z dnia 15 grudnia 2010 r. w sprawie udzielania regionalnej pomocy inwestycyjnej w ramach regionalnych programów operacyjnych,</w:t>
      </w:r>
    </w:p>
    <w:p w:rsidR="0002581D" w:rsidRPr="006D71C7" w:rsidRDefault="0002581D" w:rsidP="00BA2FE7">
      <w:pPr>
        <w:pStyle w:val="Akapitzlist"/>
        <w:numPr>
          <w:ilvl w:val="0"/>
          <w:numId w:val="106"/>
        </w:numPr>
        <w:spacing w:after="0"/>
        <w:jc w:val="both"/>
      </w:pPr>
      <w:r w:rsidRPr="006D71C7">
        <w:t>Rozporządzenie Ministra Rozwoju Regionalnego z dnia 8 grudnia 2010 r. w sprawie udzielania pomocy de minimis w ramach regionalnych programów operacyjnych,</w:t>
      </w:r>
    </w:p>
    <w:p w:rsidR="0002581D" w:rsidRPr="006D71C7" w:rsidRDefault="0002581D" w:rsidP="00BA2FE7">
      <w:pPr>
        <w:pStyle w:val="Akapitzlist"/>
        <w:numPr>
          <w:ilvl w:val="0"/>
          <w:numId w:val="106"/>
        </w:numPr>
        <w:spacing w:after="0"/>
        <w:jc w:val="both"/>
      </w:pPr>
      <w:r w:rsidRPr="006D71C7">
        <w:t>Rozporządzenie Ministra Rozwoju Regionalnego z dnia 21 grudnia 2010 r. w sprawie udzielania regionalnej pomocy inwestycyjnej przez fundusze rozwoju obszarów miejskich w ramach regionalnych programów operacyjnych,</w:t>
      </w:r>
    </w:p>
    <w:p w:rsidR="0002581D" w:rsidRPr="006D71C7" w:rsidRDefault="0002581D" w:rsidP="00BA2FE7">
      <w:pPr>
        <w:pStyle w:val="Akapitzlist"/>
        <w:numPr>
          <w:ilvl w:val="0"/>
          <w:numId w:val="106"/>
        </w:numPr>
        <w:spacing w:after="0"/>
        <w:jc w:val="both"/>
      </w:pPr>
      <w:r w:rsidRPr="006D71C7">
        <w:t>Rozporządzenie Ministra Rozwoju Regionalnego z dnia 1 grudnia 2010 r. w sprawie udzielania pomocy na usługi doradcze dla mikoprzedsiębiorców oraz małych i średnich przedsiębiorców w ramach regionalnych programów operacyjnych.</w:t>
      </w:r>
    </w:p>
    <w:p w:rsidR="0002581D" w:rsidRPr="006D71C7" w:rsidRDefault="0002581D" w:rsidP="006D71C7">
      <w:pPr>
        <w:spacing w:after="0"/>
        <w:jc w:val="both"/>
      </w:pPr>
    </w:p>
    <w:p w:rsidR="00424843" w:rsidRPr="006D71C7" w:rsidRDefault="00305508" w:rsidP="00BA2FE7">
      <w:pPr>
        <w:pStyle w:val="Nagwek1"/>
        <w:numPr>
          <w:ilvl w:val="3"/>
          <w:numId w:val="25"/>
        </w:numPr>
        <w:tabs>
          <w:tab w:val="left" w:pos="851"/>
        </w:tabs>
        <w:spacing w:before="0" w:after="120"/>
        <w:ind w:left="426" w:hanging="338"/>
        <w:jc w:val="both"/>
        <w:rPr>
          <w:sz w:val="22"/>
          <w:szCs w:val="22"/>
        </w:rPr>
      </w:pPr>
      <w:bookmarkStart w:id="64" w:name="_Toc292789245"/>
      <w:bookmarkStart w:id="65" w:name="_Toc292793530"/>
      <w:bookmarkStart w:id="66" w:name="_Toc327259214"/>
      <w:r>
        <w:rPr>
          <w:sz w:val="22"/>
          <w:szCs w:val="22"/>
        </w:rPr>
        <w:t>POST</w:t>
      </w:r>
      <w:r w:rsidR="007D4EE1" w:rsidRPr="006D71C7">
        <w:rPr>
          <w:sz w:val="22"/>
          <w:szCs w:val="22"/>
        </w:rPr>
        <w:t>P FINANSOWY I RZECZOWY</w:t>
      </w:r>
      <w:bookmarkEnd w:id="64"/>
      <w:bookmarkEnd w:id="65"/>
      <w:bookmarkEnd w:id="66"/>
    </w:p>
    <w:p w:rsidR="00286BDE" w:rsidRPr="006D71C7" w:rsidRDefault="00286BDE" w:rsidP="006D71C7">
      <w:pPr>
        <w:jc w:val="both"/>
        <w:rPr>
          <w:b/>
          <w:i/>
        </w:rPr>
      </w:pPr>
      <w:r w:rsidRPr="006D71C7">
        <w:rPr>
          <w:b/>
          <w:i/>
        </w:rPr>
        <w:t xml:space="preserve">Stan wdrażania RPO WSL </w:t>
      </w:r>
    </w:p>
    <w:p w:rsidR="00866982" w:rsidRPr="006D71C7" w:rsidRDefault="00866982" w:rsidP="006D71C7">
      <w:pPr>
        <w:spacing w:after="240"/>
        <w:jc w:val="both"/>
        <w:rPr>
          <w:szCs w:val="24"/>
        </w:rPr>
      </w:pPr>
      <w:r w:rsidRPr="006D71C7">
        <w:rPr>
          <w:szCs w:val="24"/>
        </w:rPr>
        <w:t>Wszystkie zmienne przedstawione na poniższym wykresie wykazują dodatnią dynamikę</w:t>
      </w:r>
      <w:r w:rsidR="00222605" w:rsidRPr="006D71C7">
        <w:rPr>
          <w:szCs w:val="24"/>
        </w:rPr>
        <w:t xml:space="preserve"> postępu finansowego</w:t>
      </w:r>
      <w:r w:rsidRPr="006D71C7">
        <w:rPr>
          <w:szCs w:val="24"/>
        </w:rPr>
        <w:t>. Na koniec 2011 roku poziomu 50% nie przekroczyły jeszcze płatności przekazane na rzecz beneficjentów. Należy jednak pamiętać o specyfice wdrażania programów unijnych. W pierwszym okresie ich realizacji, najszybciej rośnie wskaźnik projektów wybranych do dofinansowania (83,61%). Następnie, zgodnie z cyklem życia projektu tempa nabierają pozostałe wskaźniki m.in. kontraktacja (69,16%) i na końcu płatności.</w:t>
      </w:r>
    </w:p>
    <w:p w:rsidR="008F0AC7" w:rsidRPr="006D71C7" w:rsidRDefault="00866982" w:rsidP="006D71C7">
      <w:pPr>
        <w:jc w:val="both"/>
      </w:pPr>
      <w:r w:rsidRPr="006D71C7">
        <w:t>Na poniższym wykresie przedstawiono zbiorczą informację dot. postępu realizacji RPO W</w:t>
      </w:r>
      <w:r w:rsidR="008F0AC7" w:rsidRPr="006D71C7">
        <w:t xml:space="preserve">SL od uruchomienia </w:t>
      </w:r>
      <w:r w:rsidR="008F0AC7" w:rsidRPr="006D71C7">
        <w:rPr>
          <w:i/>
        </w:rPr>
        <w:t>Programu</w:t>
      </w:r>
      <w:r w:rsidR="008F0AC7" w:rsidRPr="006D71C7">
        <w:t xml:space="preserve"> oraz w okresie sprawozdawczym.</w:t>
      </w:r>
    </w:p>
    <w:p w:rsidR="00AF28EC" w:rsidRPr="006D71C7" w:rsidRDefault="008F0AC7" w:rsidP="00650BDB">
      <w:pPr>
        <w:pStyle w:val="Legenda"/>
        <w:spacing w:before="120"/>
        <w:ind w:left="-993" w:right="-851"/>
        <w:jc w:val="both"/>
        <w:rPr>
          <w:color w:val="auto"/>
          <w:sz w:val="20"/>
          <w:szCs w:val="20"/>
        </w:rPr>
      </w:pPr>
      <w:r w:rsidRPr="006D71C7">
        <w:rPr>
          <w:b w:val="0"/>
          <w:noProof/>
          <w:color w:val="auto"/>
        </w:rPr>
        <w:drawing>
          <wp:inline distT="0" distB="0" distL="0" distR="0">
            <wp:extent cx="6819900" cy="3659815"/>
            <wp:effectExtent l="38100" t="19050" r="19050" b="0"/>
            <wp:docPr id="25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5ACD" w:rsidRPr="006D71C7" w:rsidRDefault="00DD0C20" w:rsidP="006D71C7">
      <w:pPr>
        <w:pStyle w:val="Legenda"/>
        <w:spacing w:before="120"/>
        <w:ind w:left="-567"/>
        <w:jc w:val="both"/>
        <w:rPr>
          <w:b w:val="0"/>
          <w:i/>
          <w:color w:val="auto"/>
          <w:sz w:val="24"/>
          <w:szCs w:val="22"/>
        </w:rPr>
      </w:pPr>
      <w:bookmarkStart w:id="67" w:name="_Toc324786923"/>
      <w:bookmarkStart w:id="68" w:name="_Toc324854687"/>
      <w:bookmarkStart w:id="69" w:name="_Toc324854751"/>
      <w:bookmarkStart w:id="70" w:name="_Toc326055321"/>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3</w:t>
      </w:r>
      <w:r w:rsidR="008F7228">
        <w:rPr>
          <w:color w:val="auto"/>
          <w:sz w:val="20"/>
          <w:szCs w:val="20"/>
        </w:rPr>
        <w:fldChar w:fldCharType="end"/>
      </w:r>
      <w:r w:rsidR="00805ACD" w:rsidRPr="006D71C7">
        <w:rPr>
          <w:b w:val="0"/>
          <w:i/>
          <w:color w:val="auto"/>
          <w:sz w:val="20"/>
          <w:szCs w:val="20"/>
        </w:rPr>
        <w:t>Postęp realizacji RPO WSL</w:t>
      </w:r>
      <w:bookmarkEnd w:id="67"/>
      <w:r w:rsidR="00805ACD" w:rsidRPr="006D71C7">
        <w:rPr>
          <w:color w:val="auto"/>
          <w:sz w:val="20"/>
          <w:szCs w:val="20"/>
        </w:rPr>
        <w:t xml:space="preserve"> </w:t>
      </w:r>
      <w:r w:rsidR="007338BD" w:rsidRPr="006D71C7">
        <w:rPr>
          <w:b w:val="0"/>
          <w:i/>
          <w:color w:val="auto"/>
          <w:sz w:val="20"/>
          <w:szCs w:val="20"/>
        </w:rPr>
        <w:t>w okresie sprawozdawczym i od uruchomienia Programu</w:t>
      </w:r>
      <w:bookmarkEnd w:id="68"/>
      <w:bookmarkEnd w:id="69"/>
      <w:bookmarkEnd w:id="70"/>
    </w:p>
    <w:p w:rsidR="0076478E" w:rsidRPr="006D71C7" w:rsidRDefault="0076478E" w:rsidP="006D71C7">
      <w:pPr>
        <w:pStyle w:val="Akapitzlist"/>
        <w:widowControl w:val="0"/>
        <w:autoSpaceDE w:val="0"/>
        <w:autoSpaceDN w:val="0"/>
        <w:adjustRightInd w:val="0"/>
        <w:spacing w:after="240"/>
        <w:ind w:left="0"/>
        <w:jc w:val="both"/>
      </w:pPr>
      <w:r w:rsidRPr="006D71C7">
        <w:t xml:space="preserve">Dokonując analizy poziomu wdrażania poszczególnych </w:t>
      </w:r>
      <w:r w:rsidR="007130AA" w:rsidRPr="006D71C7">
        <w:t>priorytetów</w:t>
      </w:r>
      <w:r w:rsidRPr="006D71C7">
        <w:t>, warto przyjrzeć się strukturze ich alokacji, tj. wartości środków przeznaczo</w:t>
      </w:r>
      <w:r w:rsidR="007130AA" w:rsidRPr="006D71C7">
        <w:t>nych w ich ramach na projekty w </w:t>
      </w:r>
      <w:r w:rsidRPr="006D71C7">
        <w:t>trybie konkursowym, PRS i PK.</w:t>
      </w:r>
    </w:p>
    <w:p w:rsidR="0076478E" w:rsidRPr="006D71C7" w:rsidRDefault="0076478E" w:rsidP="006D71C7">
      <w:pPr>
        <w:pStyle w:val="Akapitzlist"/>
        <w:widowControl w:val="0"/>
        <w:autoSpaceDE w:val="0"/>
        <w:autoSpaceDN w:val="0"/>
        <w:adjustRightInd w:val="0"/>
        <w:spacing w:after="240"/>
        <w:ind w:left="0"/>
        <w:jc w:val="both"/>
      </w:pPr>
      <w:r w:rsidRPr="006D71C7">
        <w:rPr>
          <w:i/>
        </w:rPr>
        <w:t>Priorytet VI</w:t>
      </w:r>
      <w:r w:rsidRPr="006D71C7">
        <w:t xml:space="preserve"> i </w:t>
      </w:r>
      <w:r w:rsidR="00AF28EC" w:rsidRPr="006D71C7">
        <w:rPr>
          <w:i/>
        </w:rPr>
        <w:t>p</w:t>
      </w:r>
      <w:r w:rsidRPr="006D71C7">
        <w:rPr>
          <w:i/>
        </w:rPr>
        <w:t>riorytet VII</w:t>
      </w:r>
      <w:r w:rsidRPr="006D71C7">
        <w:t xml:space="preserve"> charakteryzują się bardzo zbliżonym udziałem PK, PRS i konkursów w strukturze ich alokacji (</w:t>
      </w:r>
      <w:r w:rsidR="00AF28EC" w:rsidRPr="006D71C7">
        <w:t>p</w:t>
      </w:r>
      <w:r w:rsidR="006E538F" w:rsidRPr="006D71C7">
        <w:t>riorytet VI: PK -4</w:t>
      </w:r>
      <w:r w:rsidR="00AF28EC" w:rsidRPr="006D71C7">
        <w:t>1%, PRS - 13%, konkursowa-47%, p</w:t>
      </w:r>
      <w:r w:rsidR="006E538F" w:rsidRPr="006D71C7">
        <w:t xml:space="preserve">riorytet VII: PK -42%, PRS -11%, konkursowa-48%) i w 2011 r. poziom ich wdrażania jest na podobnym poziomie w odróżnieniu do roku 2010. Wynikało to z faktu, </w:t>
      </w:r>
      <w:r w:rsidR="007130AA" w:rsidRPr="006D71C7">
        <w:t>że w ramach</w:t>
      </w:r>
      <w:r w:rsidR="006E538F" w:rsidRPr="006D71C7">
        <w:t xml:space="preserve"> </w:t>
      </w:r>
      <w:r w:rsidR="00AF28EC" w:rsidRPr="006D71C7">
        <w:rPr>
          <w:i/>
        </w:rPr>
        <w:t>p</w:t>
      </w:r>
      <w:r w:rsidR="006E538F" w:rsidRPr="006D71C7">
        <w:rPr>
          <w:i/>
        </w:rPr>
        <w:t>riorytetu VI</w:t>
      </w:r>
      <w:r w:rsidR="006E538F" w:rsidRPr="006D71C7">
        <w:t xml:space="preserve"> wstrzyman</w:t>
      </w:r>
      <w:r w:rsidR="00732EB9" w:rsidRPr="006D71C7">
        <w:t>o</w:t>
      </w:r>
      <w:r w:rsidR="006E538F" w:rsidRPr="006D71C7">
        <w:t xml:space="preserve"> </w:t>
      </w:r>
      <w:r w:rsidR="00D97AE2" w:rsidRPr="006D71C7">
        <w:t>ogłaszanie</w:t>
      </w:r>
      <w:r w:rsidR="006E538F" w:rsidRPr="006D71C7">
        <w:t xml:space="preserve"> konkursów w związku z brakiem rozporządzenia regulującego </w:t>
      </w:r>
      <w:r w:rsidR="00BB61CA" w:rsidRPr="006D71C7">
        <w:t xml:space="preserve">zasady </w:t>
      </w:r>
      <w:r w:rsidR="006E538F" w:rsidRPr="006D71C7">
        <w:t>udzielani</w:t>
      </w:r>
      <w:r w:rsidR="00BB61CA" w:rsidRPr="006D71C7">
        <w:t>a</w:t>
      </w:r>
      <w:r w:rsidR="006E538F" w:rsidRPr="006D71C7">
        <w:t xml:space="preserve"> pomocy projekt</w:t>
      </w:r>
      <w:r w:rsidR="00BB61CA" w:rsidRPr="006D71C7">
        <w:t>om</w:t>
      </w:r>
      <w:r w:rsidR="006E538F" w:rsidRPr="006D71C7">
        <w:t xml:space="preserve"> z zakresu rewitalizacji. </w:t>
      </w:r>
      <w:r w:rsidR="00AF28EC" w:rsidRPr="006D71C7">
        <w:t>Po </w:t>
      </w:r>
      <w:r w:rsidR="007130AA" w:rsidRPr="006D71C7">
        <w:t xml:space="preserve">zatwierdzeniu </w:t>
      </w:r>
      <w:r w:rsidR="006076C6" w:rsidRPr="006D71C7">
        <w:t>stosownego</w:t>
      </w:r>
      <w:r w:rsidR="007130AA" w:rsidRPr="006D71C7">
        <w:t xml:space="preserve"> rozporządzenia w</w:t>
      </w:r>
      <w:r w:rsidR="006E538F" w:rsidRPr="006D71C7">
        <w:t xml:space="preserve"> roku 2011 nastąpiło przyśpieszenie wdrażania </w:t>
      </w:r>
      <w:r w:rsidR="00AF28EC" w:rsidRPr="006D71C7">
        <w:rPr>
          <w:i/>
        </w:rPr>
        <w:t>p</w:t>
      </w:r>
      <w:r w:rsidR="008C2067" w:rsidRPr="006D71C7">
        <w:rPr>
          <w:i/>
        </w:rPr>
        <w:t>riorytetu VI</w:t>
      </w:r>
      <w:r w:rsidR="006E538F" w:rsidRPr="006D71C7">
        <w:t>.</w:t>
      </w:r>
    </w:p>
    <w:p w:rsidR="006E538F" w:rsidRPr="006D71C7" w:rsidRDefault="006E538F" w:rsidP="006D71C7">
      <w:pPr>
        <w:pStyle w:val="Akapitzlist"/>
        <w:widowControl w:val="0"/>
        <w:autoSpaceDE w:val="0"/>
        <w:autoSpaceDN w:val="0"/>
        <w:adjustRightInd w:val="0"/>
        <w:spacing w:after="240"/>
        <w:ind w:left="0"/>
        <w:jc w:val="both"/>
      </w:pPr>
      <w:r w:rsidRPr="006D71C7">
        <w:t xml:space="preserve">Nie zauważono także, aby na poziom </w:t>
      </w:r>
      <w:r w:rsidR="00AA1CFC" w:rsidRPr="006D71C7">
        <w:t>wdrażania</w:t>
      </w:r>
      <w:r w:rsidRPr="006D71C7">
        <w:t xml:space="preserve"> poszczególnych priorytet</w:t>
      </w:r>
      <w:r w:rsidR="007130AA" w:rsidRPr="006D71C7">
        <w:t xml:space="preserve">ów większy wpływ miał udział w ich strukturze PK. Dla przykładu, stan wdrażania </w:t>
      </w:r>
      <w:r w:rsidR="00AF28EC" w:rsidRPr="006D71C7">
        <w:rPr>
          <w:i/>
        </w:rPr>
        <w:t>p</w:t>
      </w:r>
      <w:r w:rsidR="007130AA" w:rsidRPr="006D71C7">
        <w:rPr>
          <w:i/>
        </w:rPr>
        <w:t>riorytety VII</w:t>
      </w:r>
      <w:r w:rsidR="007130AA" w:rsidRPr="006D71C7">
        <w:t>, pomimo, iż PK stanowią 42% jego alokacji na tle pozostałych priorytetów należy ocenić wysoko.</w:t>
      </w:r>
    </w:p>
    <w:p w:rsidR="007130AA" w:rsidRPr="006D71C7" w:rsidRDefault="007130AA" w:rsidP="006D71C7">
      <w:pPr>
        <w:pStyle w:val="Akapitzlist"/>
        <w:widowControl w:val="0"/>
        <w:autoSpaceDE w:val="0"/>
        <w:autoSpaceDN w:val="0"/>
        <w:adjustRightInd w:val="0"/>
        <w:spacing w:after="240"/>
        <w:ind w:left="0"/>
        <w:jc w:val="both"/>
      </w:pPr>
      <w:r w:rsidRPr="006D71C7">
        <w:t xml:space="preserve">PRS z kolei największy udział w strukturze środków przeznaczonych na wdrażanie poszczególnych priorytetów stanowią kolejno w priorytecie: II, IV i V, a poziom wdrażania tych priorytetów, zwłaszcza porównując </w:t>
      </w:r>
      <w:r w:rsidR="00C37961" w:rsidRPr="006D71C7">
        <w:rPr>
          <w:i/>
        </w:rPr>
        <w:t>p</w:t>
      </w:r>
      <w:r w:rsidRPr="006D71C7">
        <w:rPr>
          <w:i/>
        </w:rPr>
        <w:t>riorytet II</w:t>
      </w:r>
      <w:r w:rsidRPr="006D71C7">
        <w:t xml:space="preserve"> z </w:t>
      </w:r>
      <w:r w:rsidR="00C37961" w:rsidRPr="006D71C7">
        <w:rPr>
          <w:i/>
        </w:rPr>
        <w:t>p</w:t>
      </w:r>
      <w:r w:rsidRPr="006D71C7">
        <w:rPr>
          <w:i/>
        </w:rPr>
        <w:t>riorytetem IV i V</w:t>
      </w:r>
      <w:r w:rsidRPr="006D71C7">
        <w:t xml:space="preserve">, wygląda zgoła inaczej. </w:t>
      </w:r>
      <w:r w:rsidR="008C2067" w:rsidRPr="006D71C7">
        <w:t>Jednak w</w:t>
      </w:r>
      <w:r w:rsidRPr="006D71C7">
        <w:t xml:space="preserve">yjaśnienia zaistniałego stanu rzeczy należy doszukiwać się w innych przyczynach, głównie </w:t>
      </w:r>
      <w:r w:rsidR="00F969C2" w:rsidRPr="006D71C7">
        <w:t>w</w:t>
      </w:r>
      <w:r w:rsidR="008C2067" w:rsidRPr="006D71C7">
        <w:t xml:space="preserve"> </w:t>
      </w:r>
      <w:r w:rsidRPr="006D71C7">
        <w:t xml:space="preserve">braku </w:t>
      </w:r>
      <w:r w:rsidR="003C34BD" w:rsidRPr="006D71C7">
        <w:t>stosownego</w:t>
      </w:r>
      <w:r w:rsidRPr="006D71C7">
        <w:t xml:space="preserve"> rozporządzenia.</w:t>
      </w:r>
    </w:p>
    <w:p w:rsidR="0076478E" w:rsidRPr="006D71C7" w:rsidRDefault="0076478E" w:rsidP="006D71C7">
      <w:pPr>
        <w:pStyle w:val="Akapitzlist"/>
        <w:widowControl w:val="0"/>
        <w:autoSpaceDE w:val="0"/>
        <w:autoSpaceDN w:val="0"/>
        <w:adjustRightInd w:val="0"/>
        <w:spacing w:after="240"/>
        <w:ind w:left="0"/>
        <w:jc w:val="both"/>
      </w:pPr>
    </w:p>
    <w:p w:rsidR="00805ACD" w:rsidRPr="006D71C7" w:rsidRDefault="00F969C2" w:rsidP="006D71C7">
      <w:pPr>
        <w:pStyle w:val="Akapitzlist"/>
        <w:widowControl w:val="0"/>
        <w:autoSpaceDE w:val="0"/>
        <w:autoSpaceDN w:val="0"/>
        <w:adjustRightInd w:val="0"/>
        <w:spacing w:after="240"/>
        <w:ind w:left="0"/>
        <w:jc w:val="both"/>
      </w:pPr>
      <w:r w:rsidRPr="006D71C7">
        <w:t>Najbardziej zaawansowany</w:t>
      </w:r>
      <w:r w:rsidR="00943B0F" w:rsidRPr="006D71C7">
        <w:t xml:space="preserve"> pod względem wdrażania jest </w:t>
      </w:r>
      <w:r w:rsidR="00C37961" w:rsidRPr="006D71C7">
        <w:t>p</w:t>
      </w:r>
      <w:r w:rsidRPr="006D71C7">
        <w:t>riorytet</w:t>
      </w:r>
      <w:r w:rsidR="00805ACD" w:rsidRPr="006D71C7">
        <w:t xml:space="preserve"> </w:t>
      </w:r>
      <w:r w:rsidR="00943B0F" w:rsidRPr="006D71C7">
        <w:rPr>
          <w:i/>
        </w:rPr>
        <w:t>IX Zdrowie i </w:t>
      </w:r>
      <w:r w:rsidR="00805ACD" w:rsidRPr="006D71C7">
        <w:rPr>
          <w:i/>
        </w:rPr>
        <w:t>rekreacja,</w:t>
      </w:r>
      <w:r w:rsidR="00943B0F" w:rsidRPr="006D71C7">
        <w:rPr>
          <w:i/>
        </w:rPr>
        <w:t xml:space="preserve"> </w:t>
      </w:r>
      <w:r w:rsidR="00943B0F" w:rsidRPr="006D71C7">
        <w:t>gdzie poziom kontraktacji</w:t>
      </w:r>
      <w:r w:rsidR="00943B0F" w:rsidRPr="006D71C7">
        <w:rPr>
          <w:i/>
        </w:rPr>
        <w:t xml:space="preserve"> </w:t>
      </w:r>
      <w:r w:rsidR="00943B0F" w:rsidRPr="006D71C7">
        <w:t>przekroczył 92%, zaś poziom płatności 71%.</w:t>
      </w:r>
      <w:r w:rsidR="00EF1EAF" w:rsidRPr="006D71C7">
        <w:t xml:space="preserve"> </w:t>
      </w:r>
      <w:r w:rsidR="00805ACD" w:rsidRPr="006D71C7">
        <w:t xml:space="preserve">Wysoki postęp wdrażania widoczny jest także w </w:t>
      </w:r>
      <w:r w:rsidR="00C37961" w:rsidRPr="006D71C7">
        <w:rPr>
          <w:i/>
        </w:rPr>
        <w:t>p</w:t>
      </w:r>
      <w:r w:rsidRPr="006D71C7">
        <w:rPr>
          <w:i/>
        </w:rPr>
        <w:t>riorytecie</w:t>
      </w:r>
      <w:r w:rsidR="00805ACD" w:rsidRPr="006D71C7">
        <w:rPr>
          <w:i/>
        </w:rPr>
        <w:t xml:space="preserve"> IV Kultura.</w:t>
      </w:r>
    </w:p>
    <w:p w:rsidR="00805ACD" w:rsidRPr="006D71C7" w:rsidRDefault="00805ACD" w:rsidP="006D71C7">
      <w:pPr>
        <w:pStyle w:val="Akapitzlist"/>
        <w:widowControl w:val="0"/>
        <w:autoSpaceDE w:val="0"/>
        <w:autoSpaceDN w:val="0"/>
        <w:adjustRightInd w:val="0"/>
        <w:spacing w:after="240"/>
        <w:ind w:left="0"/>
        <w:jc w:val="both"/>
        <w:rPr>
          <w:i/>
        </w:rPr>
      </w:pPr>
    </w:p>
    <w:p w:rsidR="00805ACD" w:rsidRPr="006D71C7" w:rsidRDefault="00805ACD" w:rsidP="006D71C7">
      <w:pPr>
        <w:pStyle w:val="Akapitzlist"/>
        <w:widowControl w:val="0"/>
        <w:autoSpaceDE w:val="0"/>
        <w:autoSpaceDN w:val="0"/>
        <w:adjustRightInd w:val="0"/>
        <w:spacing w:after="240"/>
        <w:ind w:left="0"/>
        <w:jc w:val="both"/>
      </w:pPr>
      <w:r w:rsidRPr="006D71C7">
        <w:t>Do końca 2011 roku najsłabszy postęp we wdrażaniu</w:t>
      </w:r>
      <w:r w:rsidR="00222605" w:rsidRPr="006D71C7">
        <w:t>,</w:t>
      </w:r>
      <w:r w:rsidRPr="006D71C7">
        <w:t xml:space="preserve"> nie biorąc pod uwagę </w:t>
      </w:r>
      <w:r w:rsidR="00C37961" w:rsidRPr="006D71C7">
        <w:t>p</w:t>
      </w:r>
      <w:r w:rsidR="00F969C2" w:rsidRPr="006D71C7">
        <w:t xml:space="preserve">riorytetu </w:t>
      </w:r>
      <w:r w:rsidR="00F969C2" w:rsidRPr="006D71C7">
        <w:rPr>
          <w:i/>
        </w:rPr>
        <w:t>X </w:t>
      </w:r>
      <w:r w:rsidRPr="006D71C7">
        <w:rPr>
          <w:i/>
        </w:rPr>
        <w:t>Pomoc techniczna</w:t>
      </w:r>
      <w:r w:rsidR="00222605" w:rsidRPr="006D71C7">
        <w:rPr>
          <w:i/>
        </w:rPr>
        <w:t>,</w:t>
      </w:r>
      <w:r w:rsidRPr="006D71C7">
        <w:t xml:space="preserve"> wykazuje </w:t>
      </w:r>
      <w:r w:rsidR="00C37961" w:rsidRPr="006D71C7">
        <w:t>p</w:t>
      </w:r>
      <w:r w:rsidR="00F969C2" w:rsidRPr="006D71C7">
        <w:t>riorytet</w:t>
      </w:r>
      <w:r w:rsidRPr="006D71C7">
        <w:t xml:space="preserve"> </w:t>
      </w:r>
      <w:r w:rsidRPr="006D71C7">
        <w:rPr>
          <w:i/>
        </w:rPr>
        <w:t>II Społeczeństwo informacyjne</w:t>
      </w:r>
      <w:r w:rsidRPr="006D71C7">
        <w:t xml:space="preserve">. Głównym powodem opóźnienia we wdrażaniu są konsekwencje problemów z pomocą publiczną. </w:t>
      </w:r>
      <w:r w:rsidR="00D8415B" w:rsidRPr="006D71C7">
        <w:t xml:space="preserve">W okresie sprawozdawczym widoczny jest znaczny </w:t>
      </w:r>
      <w:r w:rsidR="00F969C2" w:rsidRPr="006D71C7">
        <w:t>wzrost realizacji przedmiotowego priorytetu na </w:t>
      </w:r>
      <w:r w:rsidR="00D8415B" w:rsidRPr="006D71C7">
        <w:t xml:space="preserve">każdym poziomie. </w:t>
      </w:r>
    </w:p>
    <w:p w:rsidR="00805ACD" w:rsidRPr="006D71C7" w:rsidRDefault="00C37961" w:rsidP="006D71C7">
      <w:pPr>
        <w:pStyle w:val="Akapitzlist"/>
        <w:widowControl w:val="0"/>
        <w:autoSpaceDE w:val="0"/>
        <w:autoSpaceDN w:val="0"/>
        <w:adjustRightInd w:val="0"/>
        <w:spacing w:after="240"/>
        <w:ind w:left="0"/>
        <w:jc w:val="both"/>
      </w:pPr>
      <w:r w:rsidRPr="006D71C7">
        <w:t>W ramach p</w:t>
      </w:r>
      <w:r w:rsidR="00805ACD" w:rsidRPr="006D71C7">
        <w:t xml:space="preserve">riorytetu </w:t>
      </w:r>
      <w:r w:rsidR="00805ACD" w:rsidRPr="006D71C7">
        <w:rPr>
          <w:i/>
        </w:rPr>
        <w:t>VI Zrównoważony rozwój miast</w:t>
      </w:r>
      <w:r w:rsidR="00805ACD" w:rsidRPr="006D71C7">
        <w:t xml:space="preserve"> % wykorzystania alokacji na podstawie podpisanych umów jest większy niż na poziomie wybranych wniosków o dofinansowanie w związku z wdrażaniem Instrumentu JESSICA, </w:t>
      </w:r>
      <w:r w:rsidR="00222605" w:rsidRPr="006D71C7">
        <w:t>co wynika z różnic kursowych oraz odmiennej specyfiki wdrażania instrumentów inżynierii finansowej</w:t>
      </w:r>
      <w:r w:rsidR="00805ACD" w:rsidRPr="006D71C7">
        <w:t>.</w:t>
      </w:r>
    </w:p>
    <w:p w:rsidR="00805ACD" w:rsidRPr="006D71C7" w:rsidRDefault="00866982" w:rsidP="006D71C7">
      <w:pPr>
        <w:pStyle w:val="Akapitzlist"/>
        <w:widowControl w:val="0"/>
        <w:autoSpaceDE w:val="0"/>
        <w:autoSpaceDN w:val="0"/>
        <w:adjustRightInd w:val="0"/>
        <w:spacing w:after="240"/>
        <w:ind w:left="0"/>
        <w:jc w:val="both"/>
      </w:pPr>
      <w:r w:rsidRPr="006D71C7">
        <w:t xml:space="preserve">Na poniższych Rys. przedstawiono postęp wdrażania RPO WSL w podziale na priorytety i kwartały. </w:t>
      </w:r>
      <w:r w:rsidR="00805ACD" w:rsidRPr="006D71C7">
        <w:t xml:space="preserve">Szczegółowe informacje dot. poziomu wdrażania poszczególnych </w:t>
      </w:r>
      <w:r w:rsidR="00F969C2" w:rsidRPr="006D71C7">
        <w:t>priorytetów</w:t>
      </w:r>
      <w:r w:rsidR="00805ACD" w:rsidRPr="006D71C7">
        <w:t xml:space="preserve"> zostały zaprezentowane w pkt. 3 niniejszego </w:t>
      </w:r>
      <w:r w:rsidR="00805ACD" w:rsidRPr="006D71C7">
        <w:rPr>
          <w:i/>
        </w:rPr>
        <w:t>Sprawozdania</w:t>
      </w:r>
      <w:r w:rsidR="00805ACD" w:rsidRPr="006D71C7">
        <w:t>.</w:t>
      </w:r>
    </w:p>
    <w:p w:rsidR="00451170" w:rsidRPr="006D71C7" w:rsidRDefault="00805ACD" w:rsidP="006D71C7">
      <w:pPr>
        <w:jc w:val="both"/>
        <w:rPr>
          <w:sz w:val="20"/>
          <w:szCs w:val="20"/>
        </w:rPr>
      </w:pPr>
      <w:r w:rsidRPr="006D71C7">
        <w:rPr>
          <w:noProof/>
          <w:sz w:val="20"/>
          <w:szCs w:val="20"/>
        </w:rPr>
        <w:drawing>
          <wp:inline distT="0" distB="0" distL="0" distR="0">
            <wp:extent cx="5746485" cy="4042587"/>
            <wp:effectExtent l="38100" t="19050" r="25665"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D3265" w:rsidRPr="006D71C7" w:rsidRDefault="00DD0C20" w:rsidP="006D71C7">
      <w:pPr>
        <w:pStyle w:val="Legenda"/>
        <w:jc w:val="both"/>
        <w:rPr>
          <w:color w:val="auto"/>
          <w:sz w:val="20"/>
          <w:szCs w:val="20"/>
        </w:rPr>
      </w:pPr>
      <w:bookmarkStart w:id="71" w:name="_Toc324786924"/>
      <w:bookmarkStart w:id="72" w:name="_Toc324854688"/>
      <w:bookmarkStart w:id="73" w:name="_Toc324854752"/>
      <w:bookmarkStart w:id="74" w:name="_Toc326055322"/>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4</w:t>
      </w:r>
      <w:r w:rsidR="008F7228">
        <w:rPr>
          <w:color w:val="auto"/>
          <w:sz w:val="20"/>
          <w:szCs w:val="20"/>
        </w:rPr>
        <w:fldChar w:fldCharType="end"/>
      </w:r>
      <w:r w:rsidR="00C37961" w:rsidRPr="006D71C7">
        <w:rPr>
          <w:color w:val="auto"/>
        </w:rPr>
        <w:t xml:space="preserve"> </w:t>
      </w:r>
      <w:r w:rsidR="00866982" w:rsidRPr="006D71C7">
        <w:rPr>
          <w:b w:val="0"/>
          <w:i/>
          <w:color w:val="auto"/>
          <w:sz w:val="20"/>
          <w:szCs w:val="20"/>
        </w:rPr>
        <w:t xml:space="preserve">Postęp realizacji RPO WSL w podziale na </w:t>
      </w:r>
      <w:r w:rsidR="00C37961" w:rsidRPr="006D71C7">
        <w:rPr>
          <w:b w:val="0"/>
          <w:i/>
          <w:color w:val="auto"/>
          <w:sz w:val="20"/>
          <w:szCs w:val="20"/>
        </w:rPr>
        <w:t>osie priorytetowe</w:t>
      </w:r>
      <w:bookmarkEnd w:id="71"/>
      <w:bookmarkEnd w:id="72"/>
      <w:bookmarkEnd w:id="73"/>
      <w:bookmarkEnd w:id="74"/>
    </w:p>
    <w:p w:rsidR="00F22A2F" w:rsidRPr="006D71C7" w:rsidRDefault="00F22A2F" w:rsidP="006D71C7">
      <w:pPr>
        <w:jc w:val="both"/>
        <w:rPr>
          <w:szCs w:val="24"/>
        </w:rPr>
      </w:pPr>
      <w:r w:rsidRPr="006D71C7">
        <w:rPr>
          <w:noProof/>
          <w:szCs w:val="24"/>
        </w:rPr>
        <w:drawing>
          <wp:inline distT="0" distB="0" distL="0" distR="0">
            <wp:extent cx="5741242" cy="4255238"/>
            <wp:effectExtent l="38100" t="19050" r="11858" b="0"/>
            <wp:docPr id="7"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22A2F" w:rsidRPr="006D71C7" w:rsidRDefault="00DD0C20" w:rsidP="006D71C7">
      <w:pPr>
        <w:pStyle w:val="Legenda"/>
        <w:jc w:val="both"/>
        <w:rPr>
          <w:b w:val="0"/>
          <w:i/>
          <w:color w:val="auto"/>
          <w:sz w:val="20"/>
          <w:szCs w:val="20"/>
        </w:rPr>
      </w:pPr>
      <w:bookmarkStart w:id="75" w:name="_Toc324786925"/>
      <w:bookmarkStart w:id="76" w:name="_Toc324854689"/>
      <w:bookmarkStart w:id="77" w:name="_Toc324854753"/>
      <w:bookmarkStart w:id="78" w:name="_Toc326055323"/>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5</w:t>
      </w:r>
      <w:r w:rsidR="008F7228">
        <w:rPr>
          <w:color w:val="auto"/>
          <w:sz w:val="20"/>
          <w:szCs w:val="20"/>
        </w:rPr>
        <w:fldChar w:fldCharType="end"/>
      </w:r>
      <w:r w:rsidR="00C37961" w:rsidRPr="006D71C7">
        <w:rPr>
          <w:color w:val="auto"/>
        </w:rPr>
        <w:t xml:space="preserve"> </w:t>
      </w:r>
      <w:r w:rsidR="00460822" w:rsidRPr="006D71C7">
        <w:rPr>
          <w:b w:val="0"/>
          <w:i/>
          <w:color w:val="auto"/>
          <w:sz w:val="20"/>
          <w:szCs w:val="20"/>
        </w:rPr>
        <w:t>Postęp realizacji RPO WSL w podziale na kwartały</w:t>
      </w:r>
      <w:bookmarkEnd w:id="75"/>
      <w:bookmarkEnd w:id="76"/>
      <w:bookmarkEnd w:id="77"/>
      <w:bookmarkEnd w:id="78"/>
    </w:p>
    <w:p w:rsidR="00B74356" w:rsidRPr="006D71C7" w:rsidRDefault="00B74356" w:rsidP="006D71C7">
      <w:pPr>
        <w:jc w:val="both"/>
        <w:rPr>
          <w:szCs w:val="24"/>
        </w:rPr>
      </w:pPr>
      <w:r w:rsidRPr="006D71C7">
        <w:rPr>
          <w:szCs w:val="24"/>
        </w:rPr>
        <w:t xml:space="preserve">Poniżej poziom wykorzystania alokacji na różnych etapach rozwoju projektów. Na koniec 2011 roku najwięcej projektów zakończonych odnotowano w ramach priorytetu </w:t>
      </w:r>
      <w:r w:rsidRPr="006D71C7">
        <w:rPr>
          <w:i/>
          <w:szCs w:val="24"/>
        </w:rPr>
        <w:t xml:space="preserve">IV Kultura </w:t>
      </w:r>
      <w:r w:rsidRPr="006D71C7">
        <w:rPr>
          <w:szCs w:val="24"/>
        </w:rPr>
        <w:t xml:space="preserve"> (18,7%), najmniej w ramach priorytetu </w:t>
      </w:r>
      <w:r w:rsidRPr="006D71C7">
        <w:rPr>
          <w:i/>
          <w:szCs w:val="24"/>
        </w:rPr>
        <w:t>VI</w:t>
      </w:r>
      <w:r w:rsidR="00FA639A" w:rsidRPr="006D71C7">
        <w:rPr>
          <w:i/>
          <w:szCs w:val="24"/>
        </w:rPr>
        <w:t xml:space="preserve"> Zrównoważony rozwój miast</w:t>
      </w:r>
      <w:r w:rsidR="00FA639A" w:rsidRPr="006D71C7">
        <w:rPr>
          <w:szCs w:val="24"/>
        </w:rPr>
        <w:t xml:space="preserve"> (0,54%)</w:t>
      </w:r>
      <w:r w:rsidRPr="006D71C7">
        <w:rPr>
          <w:szCs w:val="24"/>
        </w:rPr>
        <w:t xml:space="preserve">. </w:t>
      </w:r>
      <w:r w:rsidR="00D1789F" w:rsidRPr="006D71C7">
        <w:rPr>
          <w:szCs w:val="24"/>
        </w:rPr>
        <w:t xml:space="preserve">Przyczyną niskiego poziomu projektów zakończonych </w:t>
      </w:r>
      <w:r w:rsidR="008861C4" w:rsidRPr="006D71C7">
        <w:rPr>
          <w:szCs w:val="24"/>
        </w:rPr>
        <w:t xml:space="preserve">dla tego priorytetu </w:t>
      </w:r>
      <w:r w:rsidR="00D1789F" w:rsidRPr="006D71C7">
        <w:rPr>
          <w:szCs w:val="24"/>
        </w:rPr>
        <w:t>był</w:t>
      </w:r>
      <w:r w:rsidR="00D97AE2" w:rsidRPr="006D71C7">
        <w:rPr>
          <w:szCs w:val="24"/>
        </w:rPr>
        <w:t>y opóźnienia w </w:t>
      </w:r>
      <w:r w:rsidR="00783CB7" w:rsidRPr="006D71C7">
        <w:rPr>
          <w:szCs w:val="24"/>
        </w:rPr>
        <w:t xml:space="preserve">zatwierdzeniu </w:t>
      </w:r>
      <w:r w:rsidR="00D1789F" w:rsidRPr="006D71C7">
        <w:rPr>
          <w:i/>
          <w:szCs w:val="24"/>
        </w:rPr>
        <w:t>Rozporządzenia,</w:t>
      </w:r>
      <w:r w:rsidR="00D1789F" w:rsidRPr="006D71C7">
        <w:rPr>
          <w:szCs w:val="24"/>
        </w:rPr>
        <w:t xml:space="preserve"> które spowodowały, że pierwszy nabór ogłoszono dopiero w 2010 roku, ponadto realizowane projekty są czasochłonne i na efekty rz</w:t>
      </w:r>
      <w:r w:rsidR="00ED471A" w:rsidRPr="006D71C7">
        <w:rPr>
          <w:szCs w:val="24"/>
        </w:rPr>
        <w:t>eczowe potrzeba czasu. Nabory w </w:t>
      </w:r>
      <w:r w:rsidR="00D1789F" w:rsidRPr="006D71C7">
        <w:rPr>
          <w:szCs w:val="24"/>
        </w:rPr>
        <w:t>ramach priorytetu IV były ogłaszane jako jedne z pierwszych na początku 2008 roku, stąd</w:t>
      </w:r>
      <w:r w:rsidR="008861C4" w:rsidRPr="006D71C7">
        <w:rPr>
          <w:szCs w:val="24"/>
        </w:rPr>
        <w:t xml:space="preserve"> zaawansowany postęp rzeczowy</w:t>
      </w:r>
      <w:r w:rsidR="00D1789F" w:rsidRPr="006D71C7">
        <w:rPr>
          <w:szCs w:val="24"/>
        </w:rPr>
        <w:t>.</w:t>
      </w:r>
    </w:p>
    <w:p w:rsidR="00423F74" w:rsidRPr="006D71C7" w:rsidRDefault="00423F74" w:rsidP="006D71C7">
      <w:pPr>
        <w:spacing w:after="0" w:line="240" w:lineRule="auto"/>
        <w:jc w:val="both"/>
        <w:rPr>
          <w:b/>
          <w:i/>
          <w:u w:val="single"/>
        </w:rPr>
      </w:pPr>
      <w:r w:rsidRPr="006D71C7">
        <w:rPr>
          <w:b/>
          <w:i/>
          <w:noProof/>
          <w:u w:val="single"/>
        </w:rPr>
        <w:drawing>
          <wp:inline distT="0" distB="0" distL="0" distR="0">
            <wp:extent cx="5617461" cy="4669908"/>
            <wp:effectExtent l="38100" t="19050" r="21339" b="0"/>
            <wp:docPr id="24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63837" w:rsidRPr="006D71C7" w:rsidRDefault="00D63837" w:rsidP="006D71C7">
      <w:pPr>
        <w:spacing w:after="0" w:line="240" w:lineRule="auto"/>
        <w:jc w:val="both"/>
        <w:rPr>
          <w:b/>
          <w:i/>
          <w:u w:val="single"/>
        </w:rPr>
      </w:pPr>
    </w:p>
    <w:p w:rsidR="00A76CE7" w:rsidRPr="006D71C7" w:rsidRDefault="00DD0C20" w:rsidP="006D71C7">
      <w:pPr>
        <w:pStyle w:val="Legenda"/>
        <w:jc w:val="both"/>
        <w:rPr>
          <w:color w:val="auto"/>
          <w:sz w:val="20"/>
          <w:szCs w:val="20"/>
        </w:rPr>
      </w:pPr>
      <w:bookmarkStart w:id="79" w:name="_Toc324786926"/>
      <w:bookmarkStart w:id="80" w:name="_Toc324854690"/>
      <w:bookmarkStart w:id="81" w:name="_Toc324854754"/>
      <w:bookmarkStart w:id="82" w:name="_Toc326055324"/>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6</w:t>
      </w:r>
      <w:r w:rsidR="008F7228">
        <w:rPr>
          <w:color w:val="auto"/>
          <w:sz w:val="20"/>
          <w:szCs w:val="20"/>
        </w:rPr>
        <w:fldChar w:fldCharType="end"/>
      </w:r>
      <w:r w:rsidR="00ED471A" w:rsidRPr="006D71C7">
        <w:rPr>
          <w:color w:val="auto"/>
        </w:rPr>
        <w:t xml:space="preserve"> </w:t>
      </w:r>
      <w:r w:rsidR="00A76CE7" w:rsidRPr="006D71C7">
        <w:rPr>
          <w:b w:val="0"/>
          <w:i/>
          <w:color w:val="auto"/>
          <w:sz w:val="20"/>
          <w:szCs w:val="20"/>
        </w:rPr>
        <w:t>Postęp realizacji RPO WSL</w:t>
      </w:r>
      <w:bookmarkEnd w:id="79"/>
      <w:r w:rsidR="00A76CE7" w:rsidRPr="006D71C7">
        <w:rPr>
          <w:color w:val="auto"/>
          <w:sz w:val="20"/>
          <w:szCs w:val="20"/>
        </w:rPr>
        <w:t xml:space="preserve"> </w:t>
      </w:r>
      <w:r w:rsidR="007338BD" w:rsidRPr="006D71C7">
        <w:rPr>
          <w:b w:val="0"/>
          <w:i/>
          <w:color w:val="auto"/>
          <w:sz w:val="20"/>
          <w:szCs w:val="20"/>
        </w:rPr>
        <w:t>w podziale na projekty na różnych etapach rozwoju</w:t>
      </w:r>
      <w:bookmarkEnd w:id="80"/>
      <w:bookmarkEnd w:id="81"/>
      <w:bookmarkEnd w:id="82"/>
    </w:p>
    <w:p w:rsidR="000409F0" w:rsidRPr="006D71C7" w:rsidRDefault="000409F0" w:rsidP="006D71C7">
      <w:pPr>
        <w:spacing w:after="240"/>
        <w:jc w:val="both"/>
      </w:pPr>
      <w:r w:rsidRPr="006D71C7">
        <w:t xml:space="preserve">Poniżej na wykresie przedstawiono postęp realizacji RPO WSL w podziale na lata. </w:t>
      </w:r>
      <w:r w:rsidRPr="006D71C7">
        <w:rPr>
          <w:szCs w:val="24"/>
        </w:rPr>
        <w:t xml:space="preserve">Przełom </w:t>
      </w:r>
      <w:r w:rsidR="00732EB9" w:rsidRPr="006D71C7">
        <w:rPr>
          <w:szCs w:val="24"/>
        </w:rPr>
        <w:t xml:space="preserve">lat </w:t>
      </w:r>
      <w:r w:rsidRPr="006D71C7">
        <w:rPr>
          <w:szCs w:val="24"/>
        </w:rPr>
        <w:t xml:space="preserve">2007/2008 był okresem instytucjonalnego przygotowania województwa śląskiego do wdrażania RPO WSL </w:t>
      </w:r>
      <w:r w:rsidR="00732EB9" w:rsidRPr="006D71C7">
        <w:rPr>
          <w:szCs w:val="24"/>
        </w:rPr>
        <w:t xml:space="preserve">oraz </w:t>
      </w:r>
      <w:r w:rsidRPr="006D71C7">
        <w:rPr>
          <w:szCs w:val="24"/>
        </w:rPr>
        <w:t>tworzenie</w:t>
      </w:r>
      <w:r w:rsidR="00732EB9" w:rsidRPr="006D71C7">
        <w:rPr>
          <w:szCs w:val="24"/>
        </w:rPr>
        <w:t>m</w:t>
      </w:r>
      <w:r w:rsidRPr="006D71C7">
        <w:rPr>
          <w:szCs w:val="24"/>
        </w:rPr>
        <w:t xml:space="preserve"> procedur</w:t>
      </w:r>
      <w:r w:rsidR="00783CB7" w:rsidRPr="006D71C7">
        <w:rPr>
          <w:szCs w:val="24"/>
        </w:rPr>
        <w:t xml:space="preserve"> i</w:t>
      </w:r>
      <w:r w:rsidRPr="006D71C7">
        <w:rPr>
          <w:szCs w:val="24"/>
        </w:rPr>
        <w:t xml:space="preserve"> dokumentów potrzebnych do właściwej obsługi beneficjentów. Trzeci rok wdrażania RPO WSL charakteryzował się wysoką dynamiką w zakresie wnioskowania przez beneficjentów o</w:t>
      </w:r>
      <w:r w:rsidR="00783CB7" w:rsidRPr="006D71C7">
        <w:rPr>
          <w:szCs w:val="24"/>
        </w:rPr>
        <w:t> </w:t>
      </w:r>
      <w:r w:rsidRPr="006D71C7">
        <w:rPr>
          <w:szCs w:val="24"/>
        </w:rPr>
        <w:t>środki unijne</w:t>
      </w:r>
      <w:r w:rsidR="00665538" w:rsidRPr="006D71C7">
        <w:rPr>
          <w:szCs w:val="24"/>
        </w:rPr>
        <w:t>, wynika to głównie z faktu, że w 2009 roku ogłoszono najwięcej naborów w</w:t>
      </w:r>
      <w:r w:rsidR="00783CB7" w:rsidRPr="006D71C7">
        <w:rPr>
          <w:szCs w:val="24"/>
        </w:rPr>
        <w:t> </w:t>
      </w:r>
      <w:r w:rsidR="00665538" w:rsidRPr="006D71C7">
        <w:rPr>
          <w:szCs w:val="24"/>
        </w:rPr>
        <w:t>ramach RPO WSL (ok. 24 naborów).</w:t>
      </w:r>
      <w:r w:rsidR="00C57709" w:rsidRPr="006D71C7">
        <w:rPr>
          <w:szCs w:val="24"/>
        </w:rPr>
        <w:t xml:space="preserve"> </w:t>
      </w:r>
      <w:r w:rsidRPr="006D71C7">
        <w:rPr>
          <w:szCs w:val="24"/>
        </w:rPr>
        <w:t>W roku 2010 odnotowano znaczący wzrost kontraktacji, poziom płatności w dalszym ciągu był na niskim poziomie.</w:t>
      </w:r>
      <w:r w:rsidR="00C57709" w:rsidRPr="006D71C7">
        <w:rPr>
          <w:szCs w:val="24"/>
        </w:rPr>
        <w:t xml:space="preserve"> </w:t>
      </w:r>
      <w:r w:rsidR="00161122" w:rsidRPr="006D71C7">
        <w:rPr>
          <w:szCs w:val="24"/>
        </w:rPr>
        <w:t>Wskaźnik płatności w</w:t>
      </w:r>
      <w:r w:rsidR="00783CB7" w:rsidRPr="006D71C7">
        <w:rPr>
          <w:szCs w:val="24"/>
        </w:rPr>
        <w:t> </w:t>
      </w:r>
      <w:r w:rsidR="00161122" w:rsidRPr="006D71C7">
        <w:rPr>
          <w:szCs w:val="24"/>
        </w:rPr>
        <w:t>2010 i 2011 roku utrzymywał się</w:t>
      </w:r>
      <w:r w:rsidR="00ED471A" w:rsidRPr="006D71C7">
        <w:rPr>
          <w:szCs w:val="24"/>
        </w:rPr>
        <w:t xml:space="preserve"> na podobnym poziomie, jednak w </w:t>
      </w:r>
      <w:r w:rsidR="00161122" w:rsidRPr="006D71C7">
        <w:rPr>
          <w:szCs w:val="24"/>
        </w:rPr>
        <w:t>związku z</w:t>
      </w:r>
      <w:r w:rsidR="003075B9" w:rsidRPr="006D71C7">
        <w:rPr>
          <w:szCs w:val="24"/>
        </w:rPr>
        <w:t> </w:t>
      </w:r>
      <w:r w:rsidR="00161122" w:rsidRPr="006D71C7">
        <w:rPr>
          <w:szCs w:val="24"/>
        </w:rPr>
        <w:t>faktem zbliża</w:t>
      </w:r>
      <w:r w:rsidR="00ED471A" w:rsidRPr="006D71C7">
        <w:rPr>
          <w:szCs w:val="24"/>
        </w:rPr>
        <w:t>nia</w:t>
      </w:r>
      <w:r w:rsidR="00161122" w:rsidRPr="006D71C7">
        <w:rPr>
          <w:szCs w:val="24"/>
        </w:rPr>
        <w:t xml:space="preserve"> się ku końcowi perspektywy 2007-2013 w kolejnych latach</w:t>
      </w:r>
      <w:r w:rsidR="00ED471A" w:rsidRPr="006D71C7">
        <w:rPr>
          <w:szCs w:val="24"/>
        </w:rPr>
        <w:t xml:space="preserve"> to </w:t>
      </w:r>
      <w:r w:rsidR="00161122" w:rsidRPr="006D71C7">
        <w:rPr>
          <w:szCs w:val="24"/>
        </w:rPr>
        <w:t>ten wskaźnik będzie najwyższy. Przy tej okazji należy także wspomnieć o</w:t>
      </w:r>
      <w:r w:rsidR="00965DCF" w:rsidRPr="006D71C7">
        <w:rPr>
          <w:szCs w:val="24"/>
        </w:rPr>
        <w:t> </w:t>
      </w:r>
      <w:r w:rsidR="00161122" w:rsidRPr="006D71C7">
        <w:rPr>
          <w:szCs w:val="24"/>
        </w:rPr>
        <w:t>charakterze</w:t>
      </w:r>
      <w:r w:rsidR="00D64176" w:rsidRPr="006D71C7">
        <w:rPr>
          <w:szCs w:val="24"/>
        </w:rPr>
        <w:t xml:space="preserve"> realizowa</w:t>
      </w:r>
      <w:r w:rsidR="00161122" w:rsidRPr="006D71C7">
        <w:rPr>
          <w:szCs w:val="24"/>
        </w:rPr>
        <w:t>nych projektów w ramach RPO WSL - projekty infrastrukturalne są</w:t>
      </w:r>
      <w:r w:rsidR="00965DCF" w:rsidRPr="006D71C7">
        <w:rPr>
          <w:szCs w:val="24"/>
        </w:rPr>
        <w:t> </w:t>
      </w:r>
      <w:r w:rsidR="00161122" w:rsidRPr="006D71C7">
        <w:rPr>
          <w:szCs w:val="24"/>
        </w:rPr>
        <w:t>bardz</w:t>
      </w:r>
      <w:r w:rsidR="008861C4" w:rsidRPr="006D71C7">
        <w:rPr>
          <w:szCs w:val="24"/>
        </w:rPr>
        <w:t>iej</w:t>
      </w:r>
      <w:r w:rsidR="00161122" w:rsidRPr="006D71C7">
        <w:rPr>
          <w:szCs w:val="24"/>
        </w:rPr>
        <w:t xml:space="preserve"> czasochłonne i w związku z tym na efekt rzeczowy potrzeba czasu.</w:t>
      </w:r>
    </w:p>
    <w:p w:rsidR="00A76CE7" w:rsidRPr="006D71C7" w:rsidRDefault="00A76CE7" w:rsidP="006D71C7">
      <w:pPr>
        <w:jc w:val="both"/>
      </w:pPr>
      <w:r w:rsidRPr="006D71C7">
        <w:rPr>
          <w:noProof/>
        </w:rPr>
        <w:drawing>
          <wp:inline distT="0" distB="0" distL="0" distR="0">
            <wp:extent cx="5742512" cy="3500326"/>
            <wp:effectExtent l="38100" t="19050" r="10588" b="4874"/>
            <wp:docPr id="247"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61122" w:rsidRPr="006D71C7" w:rsidRDefault="00DD0C20" w:rsidP="006D71C7">
      <w:pPr>
        <w:pStyle w:val="Legenda"/>
        <w:jc w:val="both"/>
        <w:rPr>
          <w:b w:val="0"/>
          <w:i/>
          <w:color w:val="auto"/>
          <w:sz w:val="20"/>
          <w:szCs w:val="20"/>
        </w:rPr>
      </w:pPr>
      <w:bookmarkStart w:id="83" w:name="_Toc324786927"/>
      <w:bookmarkStart w:id="84" w:name="_Toc324854691"/>
      <w:bookmarkStart w:id="85" w:name="_Toc324854755"/>
      <w:bookmarkStart w:id="86" w:name="_Toc326055325"/>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7</w:t>
      </w:r>
      <w:r w:rsidR="008F7228">
        <w:rPr>
          <w:color w:val="auto"/>
          <w:sz w:val="20"/>
          <w:szCs w:val="20"/>
        </w:rPr>
        <w:fldChar w:fldCharType="end"/>
      </w:r>
      <w:r w:rsidR="00ED471A" w:rsidRPr="006D71C7">
        <w:rPr>
          <w:color w:val="auto"/>
        </w:rPr>
        <w:t xml:space="preserve"> </w:t>
      </w:r>
      <w:r w:rsidR="00161122" w:rsidRPr="006D71C7">
        <w:rPr>
          <w:b w:val="0"/>
          <w:i/>
          <w:color w:val="auto"/>
          <w:sz w:val="20"/>
          <w:szCs w:val="20"/>
        </w:rPr>
        <w:t>Realizacja RPO WSL w podziale na lata</w:t>
      </w:r>
      <w:bookmarkEnd w:id="83"/>
      <w:bookmarkEnd w:id="84"/>
      <w:bookmarkEnd w:id="85"/>
      <w:bookmarkEnd w:id="86"/>
    </w:p>
    <w:p w:rsidR="00C219DA" w:rsidRPr="006D71C7" w:rsidRDefault="00C219DA" w:rsidP="006D71C7">
      <w:pPr>
        <w:jc w:val="both"/>
      </w:pPr>
      <w:r w:rsidRPr="006D71C7">
        <w:t xml:space="preserve">Poniżej na diagramie przedstawiono postęp wdrażania (kontraktacja i płatności) RPO WSL w podziale na ścieżki </w:t>
      </w:r>
      <w:r w:rsidR="009762DB" w:rsidRPr="006D71C7">
        <w:t>wyboru projektów</w:t>
      </w:r>
      <w:r w:rsidRPr="006D71C7">
        <w:t>.</w:t>
      </w:r>
    </w:p>
    <w:p w:rsidR="00C219DA" w:rsidRPr="006D71C7" w:rsidRDefault="00C219DA" w:rsidP="006D71C7">
      <w:pPr>
        <w:jc w:val="both"/>
      </w:pPr>
      <w:r w:rsidRPr="006D71C7">
        <w:t xml:space="preserve">Na wdrażanie Inicjatywy JESSICA w województwie śląskim przeznaczono 60 mln EUR – 51 mln EUR z </w:t>
      </w:r>
      <w:r w:rsidR="00F26B25" w:rsidRPr="006D71C7">
        <w:rPr>
          <w:i/>
        </w:rPr>
        <w:t>d</w:t>
      </w:r>
      <w:r w:rsidRPr="006D71C7">
        <w:rPr>
          <w:i/>
        </w:rPr>
        <w:t>ziałania 6.2 Rewitalizacja Obszarów Zdegradowanych RPO WSL</w:t>
      </w:r>
      <w:r w:rsidRPr="006D71C7">
        <w:t xml:space="preserve"> i 9 mln EUR z budżetu państwa. W okresie sprawozdawczym według kursu 1 </w:t>
      </w:r>
      <w:r w:rsidR="00ED471A" w:rsidRPr="006D71C7">
        <w:t>EUR</w:t>
      </w:r>
      <w:r w:rsidRPr="006D71C7">
        <w:t xml:space="preserve"> =  4,5270 PLN, kwota przeznaczona na Inicjatywę JESSICA wynosi 55,14 mln EUR (249,62 mln PLN), stąd na poniższym diagramie kwota dofinansowania dla JESSICA różni się od kwoty zapisanej w </w:t>
      </w:r>
      <w:r w:rsidRPr="006D71C7">
        <w:rPr>
          <w:i/>
        </w:rPr>
        <w:t>Umowie o finansowaniu pomiędzy EBI a Województwem Śląskim</w:t>
      </w:r>
      <w:r w:rsidRPr="006D71C7">
        <w:t>.</w:t>
      </w:r>
    </w:p>
    <w:p w:rsidR="00C219DA" w:rsidRPr="006D71C7" w:rsidRDefault="00C219DA" w:rsidP="006D71C7">
      <w:pPr>
        <w:jc w:val="both"/>
      </w:pPr>
    </w:p>
    <w:p w:rsidR="00C219DA" w:rsidRPr="006D71C7" w:rsidRDefault="00C219DA" w:rsidP="006D71C7">
      <w:pPr>
        <w:jc w:val="both"/>
        <w:sectPr w:rsidR="00C219DA" w:rsidRPr="006D71C7" w:rsidSect="00650BDB">
          <w:endnotePr>
            <w:numFmt w:val="decimal"/>
          </w:endnotePr>
          <w:pgSz w:w="11906" w:h="16838" w:code="9"/>
          <w:pgMar w:top="1417" w:right="1274" w:bottom="1417" w:left="1417" w:header="0" w:footer="726" w:gutter="0"/>
          <w:cols w:space="708"/>
          <w:noEndnote/>
          <w:titlePg/>
          <w:docGrid w:linePitch="326"/>
        </w:sectPr>
      </w:pPr>
    </w:p>
    <w:p w:rsidR="007934B8" w:rsidRPr="006D71C7" w:rsidRDefault="003A086B" w:rsidP="00650BDB">
      <w:pPr>
        <w:keepNext/>
        <w:tabs>
          <w:tab w:val="left" w:pos="1843"/>
        </w:tabs>
        <w:spacing w:after="0" w:line="240" w:lineRule="auto"/>
        <w:ind w:right="-456"/>
        <w:jc w:val="both"/>
      </w:pPr>
      <w:r w:rsidRPr="006D71C7">
        <w:rPr>
          <w:b/>
          <w:i/>
          <w:noProof/>
          <w:u w:val="single"/>
        </w:rPr>
        <w:drawing>
          <wp:inline distT="0" distB="0" distL="0" distR="0">
            <wp:extent cx="9115883" cy="5284381"/>
            <wp:effectExtent l="38100" t="0" r="952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7934B8" w:rsidRPr="006D71C7" w:rsidRDefault="00DD0C20" w:rsidP="006D71C7">
      <w:pPr>
        <w:pStyle w:val="Legenda"/>
        <w:jc w:val="both"/>
        <w:rPr>
          <w:color w:val="auto"/>
          <w:sz w:val="20"/>
          <w:szCs w:val="20"/>
        </w:rPr>
      </w:pPr>
      <w:bookmarkStart w:id="87" w:name="_Toc324786928"/>
      <w:bookmarkStart w:id="88" w:name="_Toc324854692"/>
      <w:bookmarkStart w:id="89" w:name="_Toc324854756"/>
      <w:bookmarkStart w:id="90" w:name="_Toc326055326"/>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8</w:t>
      </w:r>
      <w:r w:rsidR="008F7228">
        <w:rPr>
          <w:color w:val="auto"/>
          <w:sz w:val="20"/>
          <w:szCs w:val="20"/>
        </w:rPr>
        <w:fldChar w:fldCharType="end"/>
      </w:r>
      <w:r w:rsidR="00ED471A" w:rsidRPr="006D71C7">
        <w:rPr>
          <w:color w:val="auto"/>
        </w:rPr>
        <w:t xml:space="preserve"> </w:t>
      </w:r>
      <w:r w:rsidR="007934B8" w:rsidRPr="006D71C7">
        <w:rPr>
          <w:b w:val="0"/>
          <w:i/>
          <w:color w:val="auto"/>
          <w:sz w:val="20"/>
          <w:szCs w:val="20"/>
        </w:rPr>
        <w:t>Postęp realizacji RPO WSL w podziale na ścieżki wyboru projektów</w:t>
      </w:r>
      <w:bookmarkEnd w:id="87"/>
      <w:bookmarkEnd w:id="88"/>
      <w:bookmarkEnd w:id="89"/>
      <w:bookmarkEnd w:id="90"/>
    </w:p>
    <w:p w:rsidR="00866982" w:rsidRPr="006D71C7" w:rsidRDefault="00866982" w:rsidP="006D71C7">
      <w:pPr>
        <w:spacing w:after="0" w:line="240" w:lineRule="auto"/>
        <w:jc w:val="both"/>
        <w:rPr>
          <w:b/>
          <w:i/>
          <w:u w:val="single"/>
        </w:rPr>
      </w:pPr>
      <w:r w:rsidRPr="006D71C7">
        <w:rPr>
          <w:b/>
          <w:i/>
          <w:u w:val="single"/>
        </w:rPr>
        <w:br w:type="page"/>
      </w:r>
    </w:p>
    <w:p w:rsidR="00D63837" w:rsidRPr="006D71C7" w:rsidRDefault="00D63837" w:rsidP="006D71C7">
      <w:pPr>
        <w:pStyle w:val="Tekstpodstawowywcity"/>
        <w:spacing w:before="120" w:after="240"/>
        <w:ind w:left="0"/>
        <w:jc w:val="both"/>
        <w:rPr>
          <w:b/>
          <w:i/>
          <w:u w:val="single"/>
        </w:rPr>
        <w:sectPr w:rsidR="00D63837" w:rsidRPr="006D71C7" w:rsidSect="00CC06A3">
          <w:endnotePr>
            <w:numFmt w:val="decimal"/>
          </w:endnotePr>
          <w:pgSz w:w="16838" w:h="11906" w:orient="landscape" w:code="9"/>
          <w:pgMar w:top="1134" w:right="1134" w:bottom="1418" w:left="1418" w:header="0" w:footer="726" w:gutter="0"/>
          <w:cols w:space="708"/>
          <w:noEndnote/>
          <w:titlePg/>
          <w:docGrid w:linePitch="326"/>
        </w:sectPr>
      </w:pPr>
    </w:p>
    <w:p w:rsidR="00AE00CD" w:rsidRPr="006D71C7" w:rsidRDefault="00AE00CD" w:rsidP="006D71C7">
      <w:pPr>
        <w:pStyle w:val="Tekstpodstawowywcity"/>
        <w:spacing w:before="120" w:after="240"/>
        <w:ind w:left="0"/>
        <w:jc w:val="both"/>
        <w:rPr>
          <w:b/>
          <w:i/>
        </w:rPr>
      </w:pPr>
      <w:r w:rsidRPr="006D71C7">
        <w:rPr>
          <w:b/>
          <w:i/>
        </w:rPr>
        <w:t>Pozakonkursowa ścieżka wyboru projektów</w:t>
      </w:r>
    </w:p>
    <w:p w:rsidR="00E45130" w:rsidRPr="006D71C7" w:rsidRDefault="00E45130" w:rsidP="006D71C7">
      <w:pPr>
        <w:autoSpaceDE w:val="0"/>
        <w:autoSpaceDN w:val="0"/>
        <w:adjustRightInd w:val="0"/>
        <w:spacing w:after="0"/>
        <w:jc w:val="both"/>
        <w:rPr>
          <w:rFonts w:eastAsia="Calibri"/>
          <w:szCs w:val="24"/>
        </w:rPr>
      </w:pPr>
      <w:r w:rsidRPr="006D71C7">
        <w:rPr>
          <w:rFonts w:eastAsia="Calibri"/>
          <w:szCs w:val="24"/>
        </w:rPr>
        <w:t>W ramach RPO WSL przewidziano dwie pozakonkursowe ścieżki wyboru projektów</w:t>
      </w:r>
      <w:r w:rsidR="00286BDE" w:rsidRPr="006D71C7">
        <w:rPr>
          <w:rFonts w:eastAsia="Calibri"/>
          <w:szCs w:val="24"/>
        </w:rPr>
        <w:t xml:space="preserve">: PRS i IWIPK. </w:t>
      </w:r>
      <w:r w:rsidR="008861C4" w:rsidRPr="006D71C7">
        <w:rPr>
          <w:rFonts w:eastAsia="Calibri"/>
          <w:szCs w:val="24"/>
        </w:rPr>
        <w:t xml:space="preserve">W 2010r. </w:t>
      </w:r>
      <w:r w:rsidR="00AE00CD" w:rsidRPr="006D71C7">
        <w:rPr>
          <w:rFonts w:eastAsia="Calibri"/>
          <w:szCs w:val="24"/>
        </w:rPr>
        <w:t xml:space="preserve">IZ RPO WSL </w:t>
      </w:r>
      <w:r w:rsidR="00F42EA5" w:rsidRPr="006D71C7">
        <w:rPr>
          <w:rFonts w:eastAsia="Calibri"/>
          <w:szCs w:val="24"/>
        </w:rPr>
        <w:t>zleciła wykonanie b</w:t>
      </w:r>
      <w:r w:rsidR="00AE00CD" w:rsidRPr="006D71C7">
        <w:rPr>
          <w:rFonts w:eastAsia="Calibri"/>
          <w:szCs w:val="24"/>
        </w:rPr>
        <w:t>adanie ewaluacyjne</w:t>
      </w:r>
      <w:r w:rsidR="00F42EA5" w:rsidRPr="006D71C7">
        <w:rPr>
          <w:rFonts w:eastAsia="Calibri"/>
          <w:szCs w:val="24"/>
        </w:rPr>
        <w:t>go</w:t>
      </w:r>
      <w:r w:rsidR="00ED471A" w:rsidRPr="006D71C7">
        <w:rPr>
          <w:rFonts w:eastAsia="Calibri"/>
          <w:szCs w:val="24"/>
        </w:rPr>
        <w:t xml:space="preserve"> pt. </w:t>
      </w:r>
      <w:r w:rsidR="00AE00CD" w:rsidRPr="006D71C7">
        <w:rPr>
          <w:rFonts w:eastAsia="Calibri"/>
          <w:i/>
          <w:iCs/>
          <w:szCs w:val="24"/>
        </w:rPr>
        <w:t>Pozakonkursowe ścieżki wyboru projektów w ramach Regionalnego Programu</w:t>
      </w:r>
      <w:r w:rsidR="00F42EA5" w:rsidRPr="006D71C7">
        <w:rPr>
          <w:rFonts w:eastAsia="Calibri"/>
          <w:i/>
          <w:iCs/>
          <w:szCs w:val="24"/>
        </w:rPr>
        <w:t xml:space="preserve"> </w:t>
      </w:r>
      <w:r w:rsidR="00AE00CD" w:rsidRPr="006D71C7">
        <w:rPr>
          <w:rFonts w:eastAsia="Calibri"/>
          <w:i/>
          <w:iCs/>
          <w:szCs w:val="24"/>
        </w:rPr>
        <w:t>Operacyjnego Województwa Śląskiego na lata 2007-2013: Indykatywny Wykaz Projektów Kluczowych oraz</w:t>
      </w:r>
      <w:r w:rsidR="00F42EA5" w:rsidRPr="006D71C7">
        <w:rPr>
          <w:rFonts w:eastAsia="Calibri"/>
          <w:i/>
          <w:iCs/>
          <w:szCs w:val="24"/>
        </w:rPr>
        <w:t xml:space="preserve"> </w:t>
      </w:r>
      <w:r w:rsidR="00AE00CD" w:rsidRPr="006D71C7">
        <w:rPr>
          <w:rFonts w:eastAsia="Calibri"/>
          <w:i/>
          <w:iCs/>
          <w:szCs w:val="24"/>
        </w:rPr>
        <w:t>Programy Rozwoju Subregionów</w:t>
      </w:r>
      <w:r w:rsidR="00F42EA5" w:rsidRPr="006D71C7">
        <w:rPr>
          <w:rFonts w:eastAsia="Calibri"/>
          <w:szCs w:val="24"/>
        </w:rPr>
        <w:t xml:space="preserve">. </w:t>
      </w:r>
      <w:r w:rsidRPr="006D71C7">
        <w:rPr>
          <w:rFonts w:eastAsia="Calibri"/>
          <w:szCs w:val="24"/>
        </w:rPr>
        <w:t xml:space="preserve">Wynikiem przeprowadzonego badania </w:t>
      </w:r>
      <w:r w:rsidR="008861C4" w:rsidRPr="006D71C7">
        <w:rPr>
          <w:rFonts w:eastAsia="Calibri"/>
          <w:szCs w:val="24"/>
        </w:rPr>
        <w:t xml:space="preserve">były </w:t>
      </w:r>
      <w:r w:rsidRPr="006D71C7">
        <w:rPr>
          <w:rFonts w:eastAsia="Calibri"/>
          <w:szCs w:val="24"/>
        </w:rPr>
        <w:t>rekomendacje odnoszą</w:t>
      </w:r>
      <w:r w:rsidR="008861C4" w:rsidRPr="006D71C7">
        <w:rPr>
          <w:rFonts w:eastAsia="Calibri"/>
          <w:szCs w:val="24"/>
        </w:rPr>
        <w:t>ce</w:t>
      </w:r>
      <w:r w:rsidRPr="006D71C7">
        <w:rPr>
          <w:rFonts w:eastAsia="Calibri"/>
          <w:szCs w:val="24"/>
        </w:rPr>
        <w:t xml:space="preserve"> się </w:t>
      </w:r>
      <w:r w:rsidR="008861C4" w:rsidRPr="006D71C7">
        <w:rPr>
          <w:rFonts w:eastAsia="Calibri"/>
          <w:szCs w:val="24"/>
        </w:rPr>
        <w:t xml:space="preserve">w dużej mierze </w:t>
      </w:r>
      <w:r w:rsidRPr="006D71C7">
        <w:rPr>
          <w:rFonts w:eastAsia="Calibri"/>
          <w:szCs w:val="24"/>
        </w:rPr>
        <w:t>do przyszłego okresu programowania (lata 2014-2020). Badanie wykazało, iż należy kontynuować wybór części projektów w trybie pozakonkursowym, ponieważ dzięki realizacji pr</w:t>
      </w:r>
      <w:r w:rsidR="003C34BD" w:rsidRPr="006D71C7">
        <w:rPr>
          <w:rFonts w:eastAsia="Calibri"/>
          <w:szCs w:val="24"/>
        </w:rPr>
        <w:t>ojektów pozakonkursowych możliwe</w:t>
      </w:r>
      <w:r w:rsidRPr="006D71C7">
        <w:rPr>
          <w:rFonts w:eastAsia="Calibri"/>
          <w:szCs w:val="24"/>
        </w:rPr>
        <w:t xml:space="preserve"> jes</w:t>
      </w:r>
      <w:r w:rsidR="00D97AE2" w:rsidRPr="006D71C7">
        <w:rPr>
          <w:rFonts w:eastAsia="Calibri"/>
          <w:szCs w:val="24"/>
        </w:rPr>
        <w:t xml:space="preserve">t </w:t>
      </w:r>
      <w:r w:rsidR="003C34BD" w:rsidRPr="006D71C7">
        <w:rPr>
          <w:szCs w:val="24"/>
        </w:rPr>
        <w:t>wydatkowanie środków unijnych na przedsięwzięcia o dużej wadze strategicznej identyfikowanej zarówno w skali całego regionu, jak i poszczególnych subregionów.</w:t>
      </w:r>
      <w:r w:rsidR="003C5FA3" w:rsidRPr="006D71C7">
        <w:rPr>
          <w:rFonts w:eastAsia="Calibri"/>
          <w:szCs w:val="24"/>
        </w:rPr>
        <w:t xml:space="preserve"> </w:t>
      </w:r>
      <w:r w:rsidRPr="006D71C7">
        <w:rPr>
          <w:rFonts w:eastAsia="Calibri"/>
          <w:szCs w:val="24"/>
        </w:rPr>
        <w:t xml:space="preserve">Realizowane projekty </w:t>
      </w:r>
      <w:r w:rsidR="00D97AE2" w:rsidRPr="006D71C7">
        <w:rPr>
          <w:rFonts w:eastAsia="Calibri"/>
          <w:szCs w:val="24"/>
        </w:rPr>
        <w:t>w </w:t>
      </w:r>
      <w:r w:rsidRPr="006D71C7">
        <w:rPr>
          <w:rFonts w:eastAsia="Calibri"/>
          <w:szCs w:val="24"/>
        </w:rPr>
        <w:t xml:space="preserve">większym stopniu odpowiadają potrzebom mieszkańców. Ponadto zarekomendowano upowszechnienie modelu zastosowanego w Subregionie Zachodnim, gdzie rolę Lidera Subregionu pełni Związek Subregionu Zachodniego, powołany przez samorządy subregionu. Rozwiązanie to zapewniło większą obiektywność </w:t>
      </w:r>
      <w:r w:rsidR="008861C4" w:rsidRPr="006D71C7">
        <w:rPr>
          <w:rFonts w:eastAsia="Calibri"/>
          <w:szCs w:val="24"/>
        </w:rPr>
        <w:t xml:space="preserve">oraz sprawność operacyjna </w:t>
      </w:r>
      <w:r w:rsidRPr="006D71C7">
        <w:rPr>
          <w:rFonts w:eastAsia="Calibri"/>
          <w:szCs w:val="24"/>
        </w:rPr>
        <w:t xml:space="preserve">Lidera Subregionu w koordynacji wdrażania PRS oraz reprezentowania beneficjentów przed IZ. </w:t>
      </w:r>
    </w:p>
    <w:p w:rsidR="00E45130" w:rsidRPr="006D71C7" w:rsidRDefault="00E45130" w:rsidP="006D71C7">
      <w:pPr>
        <w:autoSpaceDE w:val="0"/>
        <w:autoSpaceDN w:val="0"/>
        <w:adjustRightInd w:val="0"/>
        <w:spacing w:after="0"/>
        <w:jc w:val="both"/>
        <w:rPr>
          <w:rFonts w:eastAsia="Calibri"/>
          <w:i/>
          <w:iCs/>
          <w:szCs w:val="24"/>
        </w:rPr>
      </w:pPr>
    </w:p>
    <w:p w:rsidR="002934BF" w:rsidRPr="006D71C7" w:rsidRDefault="00F9789F" w:rsidP="006D71C7">
      <w:pPr>
        <w:pStyle w:val="Tekstpodstawowywcity"/>
        <w:spacing w:before="120" w:after="240"/>
        <w:ind w:left="0"/>
        <w:jc w:val="both"/>
        <w:rPr>
          <w:b/>
          <w:i/>
        </w:rPr>
      </w:pPr>
      <w:r w:rsidRPr="006D71C7">
        <w:rPr>
          <w:b/>
        </w:rPr>
        <w:t>Indykatywny Wykaz Indywidualnych Projektów Kluczowych</w:t>
      </w:r>
      <w:r w:rsidR="00460837" w:rsidRPr="006D71C7">
        <w:rPr>
          <w:b/>
        </w:rPr>
        <w:t xml:space="preserve"> (IWIPK</w:t>
      </w:r>
      <w:r w:rsidR="00460837" w:rsidRPr="006D71C7">
        <w:rPr>
          <w:b/>
          <w:i/>
        </w:rPr>
        <w:t>)</w:t>
      </w:r>
    </w:p>
    <w:p w:rsidR="007F6A6E" w:rsidRPr="006D71C7" w:rsidRDefault="007F6A6E" w:rsidP="006D71C7">
      <w:pPr>
        <w:pStyle w:val="Tekstpodstawowy2"/>
        <w:tabs>
          <w:tab w:val="left" w:pos="284"/>
        </w:tabs>
        <w:spacing w:before="120" w:after="120" w:line="276" w:lineRule="auto"/>
        <w:jc w:val="both"/>
        <w:rPr>
          <w:i/>
          <w:szCs w:val="24"/>
        </w:rPr>
      </w:pPr>
      <w:r w:rsidRPr="006D71C7">
        <w:t>Najważniejsze przedsięwzięcia, majace fundamentalne znaczenie dla rozwoju regionów, realizowane są w trybie pozakonkursowym. To projekty szczególne, mające największy wpływ na funkcjonowanie lokalnych społeczności, wybrane w drodze szerokich konsultacji. Takie inwestycje, najistotniejsze z punktu widzenia interesów województw, tworzą sieć powiązań z innymi, strategicznymi przedsięwzięciami w kraju. Najczęściej dotyczą one ulepszenia takich dziedzin, jak infrastruktura, zwłaszcza transportowa.</w:t>
      </w:r>
      <w:r w:rsidR="00340CC2" w:rsidRPr="006D71C7">
        <w:t xml:space="preserve"> </w:t>
      </w:r>
      <w:r w:rsidR="002E76DD" w:rsidRPr="006D71C7">
        <w:t>Dla przykładu d</w:t>
      </w:r>
      <w:r w:rsidR="00340CC2" w:rsidRPr="006D71C7">
        <w:t xml:space="preserve">zięki budowie obwodnicy Bytomia transport ciężarowy zostanie wyprowadzony na obrzeża </w:t>
      </w:r>
      <w:r w:rsidR="00ED471A" w:rsidRPr="006D71C7">
        <w:t>miasta, przez co </w:t>
      </w:r>
      <w:r w:rsidR="00340CC2" w:rsidRPr="006D71C7">
        <w:t>dodatkowo poprawi się bezpieczeństwo wszystkich uczestników śródmiejskiego ruchu kołowego (projekt kluczowy:</w:t>
      </w:r>
      <w:r w:rsidR="00340CC2" w:rsidRPr="006D71C7">
        <w:rPr>
          <w:i/>
        </w:rPr>
        <w:t xml:space="preserve"> Budowa bytomskiego odcinka Obwodnicy Północnej Aglomeracji Górnośląskiej</w:t>
      </w:r>
      <w:r w:rsidR="00340CC2" w:rsidRPr="006D71C7">
        <w:t>). Układ komunikacyjny przecinający Bielsko – Białą obfito</w:t>
      </w:r>
      <w:r w:rsidR="00ED471A" w:rsidRPr="006D71C7">
        <w:t xml:space="preserve">wał w tzw. </w:t>
      </w:r>
      <w:r w:rsidR="00ED471A" w:rsidRPr="006D71C7">
        <w:rPr>
          <w:i/>
        </w:rPr>
        <w:t>w</w:t>
      </w:r>
      <w:r w:rsidR="00340CC2" w:rsidRPr="006D71C7">
        <w:rPr>
          <w:i/>
        </w:rPr>
        <w:t>ąskie gardła</w:t>
      </w:r>
      <w:r w:rsidR="00340CC2" w:rsidRPr="006D71C7">
        <w:t>, receptą na ich rozwiązanie była przebudowa odcinka drogi krajowej nr 52 (projekt kluczowy:</w:t>
      </w:r>
      <w:r w:rsidR="00340CC2" w:rsidRPr="006D71C7">
        <w:rPr>
          <w:i/>
        </w:rPr>
        <w:t xml:space="preserve"> Przebudowa odcinka drogi krajowej nr 52).</w:t>
      </w:r>
    </w:p>
    <w:p w:rsidR="00B61E28" w:rsidRPr="006D71C7" w:rsidRDefault="005A5814" w:rsidP="006D71C7">
      <w:pPr>
        <w:pStyle w:val="Tekstpodstawowy2"/>
        <w:tabs>
          <w:tab w:val="left" w:pos="284"/>
        </w:tabs>
        <w:spacing w:before="120" w:after="120" w:line="276" w:lineRule="auto"/>
        <w:jc w:val="both"/>
      </w:pPr>
      <w:r w:rsidRPr="006D71C7">
        <w:rPr>
          <w:szCs w:val="24"/>
        </w:rPr>
        <w:t>W rama</w:t>
      </w:r>
      <w:r w:rsidR="00ED471A" w:rsidRPr="006D71C7">
        <w:rPr>
          <w:szCs w:val="24"/>
        </w:rPr>
        <w:t>ch RPO WSL realizowanych jest 17</w:t>
      </w:r>
      <w:r w:rsidRPr="006D71C7">
        <w:rPr>
          <w:szCs w:val="24"/>
        </w:rPr>
        <w:t xml:space="preserve"> projektów kluczowych w </w:t>
      </w:r>
      <w:r w:rsidR="00DD0C20" w:rsidRPr="006D71C7">
        <w:rPr>
          <w:szCs w:val="24"/>
        </w:rPr>
        <w:t xml:space="preserve">oraz </w:t>
      </w:r>
      <w:r w:rsidRPr="006D71C7">
        <w:rPr>
          <w:szCs w:val="24"/>
        </w:rPr>
        <w:t xml:space="preserve">jeden </w:t>
      </w:r>
      <w:r w:rsidR="00DD0C20" w:rsidRPr="006D71C7">
        <w:rPr>
          <w:szCs w:val="24"/>
        </w:rPr>
        <w:t xml:space="preserve">projekt </w:t>
      </w:r>
      <w:r w:rsidRPr="006D71C7">
        <w:rPr>
          <w:szCs w:val="24"/>
        </w:rPr>
        <w:t>znajdujący się na liście projektów rezerwowych.</w:t>
      </w:r>
      <w:r w:rsidR="00387C19" w:rsidRPr="006D71C7">
        <w:rPr>
          <w:szCs w:val="24"/>
        </w:rPr>
        <w:t xml:space="preserve"> </w:t>
      </w:r>
      <w:r w:rsidR="00CE0C5E" w:rsidRPr="006D71C7">
        <w:rPr>
          <w:szCs w:val="24"/>
        </w:rPr>
        <w:t xml:space="preserve">Ponadto w 2011 r. </w:t>
      </w:r>
      <w:r w:rsidR="002E76DD" w:rsidRPr="006D71C7">
        <w:t>dodano</w:t>
      </w:r>
      <w:r w:rsidR="00CE0C5E" w:rsidRPr="006D71C7">
        <w:t xml:space="preserve"> </w:t>
      </w:r>
      <w:r w:rsidR="00555190" w:rsidRPr="006D71C7">
        <w:t>8 </w:t>
      </w:r>
      <w:r w:rsidR="00CE0C5E" w:rsidRPr="006D71C7">
        <w:t>projekt</w:t>
      </w:r>
      <w:r w:rsidR="00555190" w:rsidRPr="006D71C7">
        <w:t>ów</w:t>
      </w:r>
      <w:r w:rsidR="00B61E28" w:rsidRPr="006D71C7">
        <w:t xml:space="preserve"> z z</w:t>
      </w:r>
      <w:r w:rsidR="00CE0C5E" w:rsidRPr="006D71C7">
        <w:t xml:space="preserve">akresu usuwania skutków powodzi, </w:t>
      </w:r>
      <w:r w:rsidR="002E76DD" w:rsidRPr="006D71C7">
        <w:t>(</w:t>
      </w:r>
      <w:r w:rsidR="00CE0C5E" w:rsidRPr="006D71C7">
        <w:t>z</w:t>
      </w:r>
      <w:r w:rsidR="00B61E28" w:rsidRPr="006D71C7">
        <w:t xml:space="preserve">godnie z rekomendacją MRR, ww. inwestycje </w:t>
      </w:r>
      <w:r w:rsidR="00B47EC9" w:rsidRPr="006D71C7">
        <w:t>są</w:t>
      </w:r>
      <w:r w:rsidR="002E76DD" w:rsidRPr="006D71C7">
        <w:t> </w:t>
      </w:r>
      <w:r w:rsidR="00387C19" w:rsidRPr="006D71C7">
        <w:t>realizowane w </w:t>
      </w:r>
      <w:r w:rsidR="00B61E28" w:rsidRPr="006D71C7">
        <w:t>trybie projektów kluczowych</w:t>
      </w:r>
      <w:r w:rsidR="002E76DD" w:rsidRPr="006D71C7">
        <w:t>)</w:t>
      </w:r>
      <w:r w:rsidR="00B61E28" w:rsidRPr="006D71C7">
        <w:t xml:space="preserve">. Na realizację </w:t>
      </w:r>
      <w:r w:rsidR="00CE0C5E" w:rsidRPr="006D71C7">
        <w:t>ww. projektów przeznaczono dodatkową kwotę w </w:t>
      </w:r>
      <w:r w:rsidR="00B61E28" w:rsidRPr="006D71C7">
        <w:t xml:space="preserve">wysokości: środki EFRR - 8 757 251 </w:t>
      </w:r>
      <w:r w:rsidR="00FA1115" w:rsidRPr="006D71C7">
        <w:t>EUR</w:t>
      </w:r>
      <w:r w:rsidR="00DD0C20" w:rsidRPr="006D71C7">
        <w:t>, środki wkładu krajowego – 1 </w:t>
      </w:r>
      <w:r w:rsidR="00B61E28" w:rsidRPr="006D71C7">
        <w:t xml:space="preserve">545 397 </w:t>
      </w:r>
      <w:r w:rsidR="00FA1115" w:rsidRPr="006D71C7">
        <w:t>EUR</w:t>
      </w:r>
      <w:r w:rsidR="00CE0C5E" w:rsidRPr="006D71C7">
        <w:t>.</w:t>
      </w:r>
      <w:r w:rsidR="00B47EC9" w:rsidRPr="006D71C7">
        <w:rPr>
          <w:szCs w:val="24"/>
        </w:rPr>
        <w:t xml:space="preserve"> </w:t>
      </w:r>
      <w:r w:rsidR="00CE0C5E" w:rsidRPr="006D71C7">
        <w:t>Dodatkowo</w:t>
      </w:r>
      <w:r w:rsidR="00B61E28" w:rsidRPr="006D71C7">
        <w:t xml:space="preserve"> uzupełniono </w:t>
      </w:r>
      <w:r w:rsidR="00CE0C5E" w:rsidRPr="006D71C7">
        <w:t xml:space="preserve">także </w:t>
      </w:r>
      <w:r w:rsidR="00B61E28" w:rsidRPr="006D71C7">
        <w:t>listę rezerwową </w:t>
      </w:r>
      <w:r w:rsidR="00DD0C20" w:rsidRPr="006D71C7">
        <w:t>o </w:t>
      </w:r>
      <w:r w:rsidR="00555190" w:rsidRPr="006D71C7">
        <w:t>4 projekty realizowane</w:t>
      </w:r>
      <w:r w:rsidR="00DD0C20" w:rsidRPr="006D71C7">
        <w:t xml:space="preserve"> w </w:t>
      </w:r>
      <w:r w:rsidR="00B61E28" w:rsidRPr="006D71C7">
        <w:t>celu odbudowy infrastruktur</w:t>
      </w:r>
      <w:r w:rsidR="00CE0C5E" w:rsidRPr="006D71C7">
        <w:t>y zniszczonej na skutek powodzi.</w:t>
      </w:r>
      <w:r w:rsidR="00B61E28" w:rsidRPr="006D71C7">
        <w:t xml:space="preserve"> </w:t>
      </w:r>
    </w:p>
    <w:p w:rsidR="00FA1115" w:rsidRPr="006D71C7" w:rsidRDefault="00460837" w:rsidP="006D71C7">
      <w:pPr>
        <w:pStyle w:val="Tekstpodstawowy2"/>
        <w:tabs>
          <w:tab w:val="left" w:pos="284"/>
        </w:tabs>
        <w:spacing w:before="120" w:after="120" w:line="276" w:lineRule="auto"/>
        <w:jc w:val="both"/>
      </w:pPr>
      <w:r w:rsidRPr="006D71C7">
        <w:rPr>
          <w:szCs w:val="24"/>
        </w:rPr>
        <w:t>Do końca okresu sprawozdawczego</w:t>
      </w:r>
      <w:r w:rsidR="000322C3" w:rsidRPr="006D71C7">
        <w:rPr>
          <w:szCs w:val="24"/>
        </w:rPr>
        <w:t xml:space="preserve"> z</w:t>
      </w:r>
      <w:r w:rsidRPr="006D71C7">
        <w:rPr>
          <w:szCs w:val="24"/>
        </w:rPr>
        <w:t>łożono i zatwierdzono</w:t>
      </w:r>
      <w:r w:rsidR="000322C3" w:rsidRPr="006D71C7">
        <w:rPr>
          <w:szCs w:val="24"/>
        </w:rPr>
        <w:t xml:space="preserve"> wszystkie wn</w:t>
      </w:r>
      <w:r w:rsidRPr="006D71C7">
        <w:rPr>
          <w:szCs w:val="24"/>
        </w:rPr>
        <w:t>ioski o dofinansowanie z IWIPK</w:t>
      </w:r>
      <w:r w:rsidR="00BD1364" w:rsidRPr="006D71C7">
        <w:rPr>
          <w:szCs w:val="24"/>
        </w:rPr>
        <w:t xml:space="preserve"> (70), z czego </w:t>
      </w:r>
      <w:r w:rsidR="008E6E4A" w:rsidRPr="006D71C7">
        <w:rPr>
          <w:szCs w:val="24"/>
        </w:rPr>
        <w:t xml:space="preserve"> </w:t>
      </w:r>
      <w:r w:rsidR="00BD1364" w:rsidRPr="006D71C7">
        <w:rPr>
          <w:szCs w:val="24"/>
        </w:rPr>
        <w:t>podpisano 68</w:t>
      </w:r>
      <w:r w:rsidRPr="006D71C7">
        <w:rPr>
          <w:szCs w:val="24"/>
        </w:rPr>
        <w:t xml:space="preserve"> </w:t>
      </w:r>
      <w:r w:rsidR="008E6E4A" w:rsidRPr="006D71C7">
        <w:rPr>
          <w:szCs w:val="24"/>
        </w:rPr>
        <w:t>umów</w:t>
      </w:r>
      <w:r w:rsidR="00FA1115" w:rsidRPr="006D71C7">
        <w:rPr>
          <w:szCs w:val="24"/>
        </w:rPr>
        <w:t xml:space="preserve"> o </w:t>
      </w:r>
      <w:r w:rsidR="000322C3" w:rsidRPr="006D71C7">
        <w:rPr>
          <w:szCs w:val="24"/>
        </w:rPr>
        <w:t>dofinansowanie</w:t>
      </w:r>
      <w:r w:rsidR="00BD1364" w:rsidRPr="006D71C7">
        <w:rPr>
          <w:szCs w:val="24"/>
        </w:rPr>
        <w:t>. Do podpisania pozostały umowy w ramach</w:t>
      </w:r>
      <w:r w:rsidR="000322C3" w:rsidRPr="006D71C7">
        <w:rPr>
          <w:szCs w:val="24"/>
        </w:rPr>
        <w:t xml:space="preserve"> </w:t>
      </w:r>
      <w:r w:rsidR="00BD1364" w:rsidRPr="006D71C7">
        <w:rPr>
          <w:szCs w:val="24"/>
        </w:rPr>
        <w:t>projektu</w:t>
      </w:r>
      <w:r w:rsidR="00FA1115" w:rsidRPr="006D71C7">
        <w:t xml:space="preserve"> k</w:t>
      </w:r>
      <w:r w:rsidR="00BD1364" w:rsidRPr="006D71C7">
        <w:t>luczowego</w:t>
      </w:r>
      <w:r w:rsidR="00952C78" w:rsidRPr="006D71C7">
        <w:t xml:space="preserve"> duż</w:t>
      </w:r>
      <w:r w:rsidR="00BD1364" w:rsidRPr="006D71C7">
        <w:t>ego</w:t>
      </w:r>
      <w:r w:rsidR="00FA1115" w:rsidRPr="006D71C7">
        <w:t xml:space="preserve"> </w:t>
      </w:r>
      <w:r w:rsidR="00FA1115" w:rsidRPr="006D71C7">
        <w:rPr>
          <w:i/>
        </w:rPr>
        <w:t>Kontynuacja budowy Drogowej Trasy Średnicowej ZACHÓD odcinek Zabrze-Gliwice, Podprojekt 3 - odcinek G2 w Gliwicach</w:t>
      </w:r>
      <w:r w:rsidR="00952C78" w:rsidRPr="006D71C7">
        <w:rPr>
          <w:i/>
        </w:rPr>
        <w:t>,</w:t>
      </w:r>
      <w:r w:rsidR="00FA1115" w:rsidRPr="006D71C7">
        <w:t xml:space="preserve"> gdyż został on przekazany Komisji Europejskiej celem uzyskania decyzji w sprawie jego oceny.</w:t>
      </w:r>
      <w:r w:rsidR="00387C19" w:rsidRPr="006D71C7">
        <w:t xml:space="preserve"> Szczegółowe informacje o projektach du</w:t>
      </w:r>
      <w:r w:rsidR="00BD1364" w:rsidRPr="006D71C7">
        <w:t>ż</w:t>
      </w:r>
      <w:r w:rsidR="00387C19" w:rsidRPr="006D71C7">
        <w:t xml:space="preserve">ych zostały zamieszczone w pkt. 5 niniejszego </w:t>
      </w:r>
      <w:r w:rsidR="00387C19" w:rsidRPr="006D71C7">
        <w:rPr>
          <w:i/>
        </w:rPr>
        <w:t>Sprawozdania</w:t>
      </w:r>
      <w:r w:rsidR="00387C19" w:rsidRPr="006D71C7">
        <w:t>.</w:t>
      </w:r>
    </w:p>
    <w:p w:rsidR="00BD1364" w:rsidRPr="006D71C7" w:rsidRDefault="00BD1364" w:rsidP="006D71C7">
      <w:pPr>
        <w:pStyle w:val="Tekstpodstawowy2"/>
        <w:tabs>
          <w:tab w:val="left" w:pos="284"/>
        </w:tabs>
        <w:spacing w:before="120" w:after="120" w:line="276" w:lineRule="auto"/>
        <w:jc w:val="both"/>
      </w:pPr>
      <w:r w:rsidRPr="006D71C7">
        <w:t xml:space="preserve">Poniżej zbiorcza informacja dot. realizacji projektów kluczowych od uruchomienia </w:t>
      </w:r>
      <w:r w:rsidRPr="006D71C7">
        <w:rPr>
          <w:i/>
        </w:rPr>
        <w:t>Programu</w:t>
      </w:r>
      <w:r w:rsidRPr="006D71C7">
        <w:t xml:space="preserve"> do końca 2011 r</w:t>
      </w:r>
      <w:r w:rsidR="0083717B" w:rsidRPr="006D71C7">
        <w:t>. oraz w podziale na priorytety.</w:t>
      </w:r>
    </w:p>
    <w:p w:rsidR="00EA4EFC" w:rsidRPr="006D71C7" w:rsidRDefault="00FA1115" w:rsidP="006D71C7">
      <w:pPr>
        <w:pStyle w:val="Tekstpodstawowy2"/>
        <w:tabs>
          <w:tab w:val="left" w:pos="284"/>
        </w:tabs>
        <w:spacing w:before="120" w:after="120" w:line="276" w:lineRule="auto"/>
        <w:jc w:val="both"/>
      </w:pPr>
      <w:r w:rsidRPr="006D71C7">
        <w:rPr>
          <w:b/>
        </w:rPr>
        <w:drawing>
          <wp:inline distT="0" distB="0" distL="0" distR="0">
            <wp:extent cx="5739337" cy="2766680"/>
            <wp:effectExtent l="38100" t="19050" r="13763" b="0"/>
            <wp:docPr id="1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0707" w:rsidRPr="006D71C7" w:rsidRDefault="00DD0C20" w:rsidP="006D71C7">
      <w:pPr>
        <w:pStyle w:val="Legenda"/>
        <w:jc w:val="both"/>
        <w:rPr>
          <w:b w:val="0"/>
          <w:i/>
          <w:color w:val="auto"/>
          <w:sz w:val="20"/>
          <w:szCs w:val="20"/>
        </w:rPr>
      </w:pPr>
      <w:bookmarkStart w:id="91" w:name="_Toc292793661"/>
      <w:bookmarkStart w:id="92" w:name="_Toc292796249"/>
      <w:bookmarkStart w:id="93" w:name="_Toc292796743"/>
      <w:bookmarkStart w:id="94" w:name="_Toc292889053"/>
      <w:bookmarkStart w:id="95" w:name="_Toc295293349"/>
      <w:bookmarkStart w:id="96" w:name="_Toc324786929"/>
      <w:bookmarkStart w:id="97" w:name="_Toc324854693"/>
      <w:bookmarkStart w:id="98" w:name="_Toc324854757"/>
      <w:bookmarkStart w:id="99" w:name="_Toc326055327"/>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9</w:t>
      </w:r>
      <w:r w:rsidR="008F7228">
        <w:rPr>
          <w:color w:val="auto"/>
          <w:sz w:val="20"/>
          <w:szCs w:val="20"/>
        </w:rPr>
        <w:fldChar w:fldCharType="end"/>
      </w:r>
      <w:r w:rsidR="00ED471A" w:rsidRPr="006D71C7">
        <w:rPr>
          <w:color w:val="auto"/>
        </w:rPr>
        <w:t xml:space="preserve"> </w:t>
      </w:r>
      <w:r w:rsidR="005D115D" w:rsidRPr="006D71C7">
        <w:rPr>
          <w:b w:val="0"/>
          <w:i/>
          <w:color w:val="auto"/>
          <w:sz w:val="20"/>
          <w:szCs w:val="20"/>
        </w:rPr>
        <w:t xml:space="preserve">Postęp </w:t>
      </w:r>
      <w:r w:rsidR="00D776DB" w:rsidRPr="006D71C7">
        <w:rPr>
          <w:b w:val="0"/>
          <w:i/>
          <w:color w:val="auto"/>
          <w:sz w:val="20"/>
          <w:szCs w:val="20"/>
        </w:rPr>
        <w:t>wdrażania</w:t>
      </w:r>
      <w:r w:rsidR="0083717B" w:rsidRPr="006D71C7">
        <w:rPr>
          <w:b w:val="0"/>
          <w:i/>
          <w:color w:val="auto"/>
          <w:sz w:val="20"/>
          <w:szCs w:val="20"/>
        </w:rPr>
        <w:t xml:space="preserve"> projektów </w:t>
      </w:r>
      <w:r w:rsidR="005D115D" w:rsidRPr="006D71C7">
        <w:rPr>
          <w:b w:val="0"/>
          <w:i/>
          <w:color w:val="auto"/>
          <w:sz w:val="20"/>
          <w:szCs w:val="20"/>
        </w:rPr>
        <w:t>kluczowych</w:t>
      </w:r>
      <w:r w:rsidR="00D776DB" w:rsidRPr="006D71C7">
        <w:rPr>
          <w:b w:val="0"/>
          <w:i/>
          <w:color w:val="auto"/>
          <w:sz w:val="20"/>
          <w:szCs w:val="20"/>
        </w:rPr>
        <w:t xml:space="preserve"> realizowanych</w:t>
      </w:r>
      <w:r w:rsidR="005D115D" w:rsidRPr="006D71C7">
        <w:rPr>
          <w:b w:val="0"/>
          <w:i/>
          <w:color w:val="auto"/>
          <w:sz w:val="20"/>
          <w:szCs w:val="20"/>
        </w:rPr>
        <w:t xml:space="preserve"> w ramach RPO WSL</w:t>
      </w:r>
      <w:bookmarkEnd w:id="91"/>
      <w:bookmarkEnd w:id="92"/>
      <w:bookmarkEnd w:id="93"/>
      <w:bookmarkEnd w:id="94"/>
      <w:bookmarkEnd w:id="95"/>
      <w:bookmarkEnd w:id="96"/>
      <w:bookmarkEnd w:id="97"/>
      <w:bookmarkEnd w:id="98"/>
      <w:bookmarkEnd w:id="99"/>
    </w:p>
    <w:p w:rsidR="0034503C" w:rsidRPr="006D71C7" w:rsidRDefault="00ED471A" w:rsidP="006D71C7">
      <w:pPr>
        <w:pStyle w:val="Legenda"/>
        <w:jc w:val="both"/>
        <w:rPr>
          <w:color w:val="auto"/>
          <w:sz w:val="20"/>
          <w:szCs w:val="20"/>
        </w:rPr>
      </w:pPr>
      <w:bookmarkStart w:id="100" w:name="_Toc324853694"/>
      <w:bookmarkStart w:id="101" w:name="_Toc326046357"/>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4</w:t>
      </w:r>
      <w:r w:rsidR="008F7228" w:rsidRPr="006D71C7">
        <w:rPr>
          <w:color w:val="auto"/>
          <w:sz w:val="20"/>
          <w:szCs w:val="20"/>
        </w:rPr>
        <w:fldChar w:fldCharType="end"/>
      </w:r>
      <w:r w:rsidRPr="006D71C7">
        <w:rPr>
          <w:color w:val="auto"/>
        </w:rPr>
        <w:t xml:space="preserve"> </w:t>
      </w:r>
      <w:r w:rsidR="0083717B" w:rsidRPr="006D71C7">
        <w:rPr>
          <w:b w:val="0"/>
          <w:i/>
          <w:color w:val="auto"/>
          <w:sz w:val="20"/>
          <w:szCs w:val="20"/>
        </w:rPr>
        <w:t>Postęp wdrażania projektów kluczowych realizowanych w ramach RPO WSL w podziale na priorytety</w:t>
      </w:r>
      <w:r w:rsidR="0059360B" w:rsidRPr="006D71C7">
        <w:rPr>
          <w:b w:val="0"/>
          <w:i/>
          <w:color w:val="auto"/>
          <w:sz w:val="20"/>
          <w:szCs w:val="20"/>
        </w:rPr>
        <w:t xml:space="preserve"> </w:t>
      </w:r>
      <w:r w:rsidR="009762DB" w:rsidRPr="006D71C7">
        <w:rPr>
          <w:b w:val="0"/>
          <w:i/>
          <w:color w:val="auto"/>
          <w:sz w:val="20"/>
          <w:szCs w:val="20"/>
        </w:rPr>
        <w:t>(</w:t>
      </w:r>
      <w:r w:rsidR="0059360B" w:rsidRPr="006D71C7">
        <w:rPr>
          <w:b w:val="0"/>
          <w:i/>
          <w:color w:val="auto"/>
          <w:sz w:val="20"/>
          <w:szCs w:val="20"/>
        </w:rPr>
        <w:t>w mln EUR</w:t>
      </w:r>
      <w:r w:rsidR="009762DB" w:rsidRPr="006D71C7">
        <w:rPr>
          <w:b w:val="0"/>
          <w:i/>
          <w:color w:val="auto"/>
          <w:sz w:val="20"/>
          <w:szCs w:val="20"/>
        </w:rPr>
        <w:t>)</w:t>
      </w:r>
      <w:bookmarkEnd w:id="100"/>
      <w:bookmarkEnd w:id="101"/>
    </w:p>
    <w:tbl>
      <w:tblPr>
        <w:tblStyle w:val="redniasiatka3akcent1"/>
        <w:tblW w:w="9287" w:type="dxa"/>
        <w:jc w:val="center"/>
        <w:tblInd w:w="-176" w:type="dxa"/>
        <w:shd w:val="clear" w:color="auto" w:fill="F4B29B" w:themeFill="accent1" w:themeFillTint="66"/>
        <w:tblLayout w:type="fixed"/>
        <w:tblLook w:val="04A0" w:firstRow="1" w:lastRow="0" w:firstColumn="1" w:lastColumn="0" w:noHBand="0" w:noVBand="1"/>
      </w:tblPr>
      <w:tblGrid>
        <w:gridCol w:w="1560"/>
        <w:gridCol w:w="1207"/>
        <w:gridCol w:w="1701"/>
        <w:gridCol w:w="1134"/>
        <w:gridCol w:w="1275"/>
        <w:gridCol w:w="1134"/>
        <w:gridCol w:w="1276"/>
      </w:tblGrid>
      <w:tr w:rsidR="0034503C" w:rsidRPr="00305508" w:rsidTr="002E76DD">
        <w:trPr>
          <w:cnfStyle w:val="100000000000" w:firstRow="1" w:lastRow="0" w:firstColumn="0" w:lastColumn="0" w:oddVBand="0" w:evenVBand="0" w:oddHBand="0"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4B29B" w:themeFill="accent1" w:themeFillTint="66"/>
            <w:vAlign w:val="center"/>
            <w:hideMark/>
          </w:tcPr>
          <w:p w:rsidR="0034503C" w:rsidRPr="00305508" w:rsidRDefault="0034503C" w:rsidP="00180A73">
            <w:pPr>
              <w:spacing w:after="0" w:line="240" w:lineRule="auto"/>
              <w:jc w:val="center"/>
              <w:rPr>
                <w:color w:val="auto"/>
                <w:sz w:val="20"/>
                <w:szCs w:val="20"/>
              </w:rPr>
            </w:pPr>
            <w:r w:rsidRPr="00305508">
              <w:rPr>
                <w:color w:val="auto"/>
                <w:sz w:val="20"/>
                <w:szCs w:val="20"/>
              </w:rPr>
              <w:t>Priorytet</w:t>
            </w:r>
          </w:p>
        </w:tc>
        <w:tc>
          <w:tcPr>
            <w:tcW w:w="2908" w:type="dxa"/>
            <w:gridSpan w:val="2"/>
            <w:shd w:val="clear" w:color="auto" w:fill="F4B29B" w:themeFill="accent1" w:themeFillTint="66"/>
            <w:vAlign w:val="center"/>
            <w:hideMark/>
          </w:tcPr>
          <w:p w:rsidR="0034503C" w:rsidRPr="00305508" w:rsidRDefault="0034503C" w:rsidP="00180A7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05508">
              <w:rPr>
                <w:color w:val="auto"/>
                <w:sz w:val="20"/>
                <w:szCs w:val="20"/>
              </w:rPr>
              <w:t>Lista podstawowa projektów indywidualnych</w:t>
            </w:r>
          </w:p>
        </w:tc>
        <w:tc>
          <w:tcPr>
            <w:tcW w:w="2409" w:type="dxa"/>
            <w:gridSpan w:val="2"/>
            <w:shd w:val="clear" w:color="auto" w:fill="F4B29B" w:themeFill="accent1" w:themeFillTint="66"/>
            <w:vAlign w:val="center"/>
            <w:hideMark/>
          </w:tcPr>
          <w:p w:rsidR="0034503C" w:rsidRPr="00305508" w:rsidRDefault="0034503C" w:rsidP="00180A7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05508">
              <w:rPr>
                <w:color w:val="auto"/>
                <w:sz w:val="20"/>
                <w:szCs w:val="20"/>
              </w:rPr>
              <w:t>Podpisane umowy o dofinansowanie</w:t>
            </w:r>
          </w:p>
        </w:tc>
        <w:tc>
          <w:tcPr>
            <w:tcW w:w="2410" w:type="dxa"/>
            <w:gridSpan w:val="2"/>
            <w:shd w:val="clear" w:color="auto" w:fill="F4B29B" w:themeFill="accent1" w:themeFillTint="66"/>
            <w:vAlign w:val="center"/>
            <w:hideMark/>
          </w:tcPr>
          <w:p w:rsidR="0034503C" w:rsidRPr="00305508" w:rsidRDefault="0034503C" w:rsidP="00180A7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05508">
              <w:rPr>
                <w:color w:val="auto"/>
                <w:sz w:val="20"/>
                <w:szCs w:val="20"/>
              </w:rPr>
              <w:t>Umowy pozostałe do podpisania</w:t>
            </w:r>
          </w:p>
        </w:tc>
      </w:tr>
      <w:tr w:rsidR="0034503C" w:rsidRPr="00305508" w:rsidTr="002E76DD">
        <w:trPr>
          <w:cnfStyle w:val="000000100000" w:firstRow="0" w:lastRow="0" w:firstColumn="0" w:lastColumn="0" w:oddVBand="0" w:evenVBand="0" w:oddHBand="1"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4B29B" w:themeFill="accent1" w:themeFillTint="66"/>
            <w:vAlign w:val="center"/>
            <w:hideMark/>
          </w:tcPr>
          <w:p w:rsidR="0034503C" w:rsidRPr="00305508" w:rsidRDefault="0034503C" w:rsidP="00180A73">
            <w:pPr>
              <w:spacing w:after="0" w:line="240" w:lineRule="auto"/>
              <w:jc w:val="center"/>
              <w:rPr>
                <w:color w:val="auto"/>
                <w:sz w:val="20"/>
                <w:szCs w:val="20"/>
              </w:rPr>
            </w:pPr>
          </w:p>
        </w:tc>
        <w:tc>
          <w:tcPr>
            <w:tcW w:w="1207" w:type="dxa"/>
            <w:shd w:val="clear" w:color="auto" w:fill="F4B29B" w:themeFill="accent1" w:themeFillTint="66"/>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Liczba projektów</w:t>
            </w:r>
          </w:p>
        </w:tc>
        <w:tc>
          <w:tcPr>
            <w:tcW w:w="1701" w:type="dxa"/>
            <w:shd w:val="clear" w:color="auto" w:fill="F4B29B" w:themeFill="accent1" w:themeFillTint="66"/>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Szacowana wartość dofinansowania UE</w:t>
            </w:r>
            <w:r w:rsidRPr="00305508">
              <w:rPr>
                <w:b/>
                <w:bCs/>
                <w:sz w:val="20"/>
                <w:szCs w:val="20"/>
              </w:rPr>
              <w:br/>
            </w:r>
          </w:p>
        </w:tc>
        <w:tc>
          <w:tcPr>
            <w:tcW w:w="1134" w:type="dxa"/>
            <w:shd w:val="clear" w:color="auto" w:fill="F4B29B" w:themeFill="accent1" w:themeFillTint="66"/>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Liczba projektów</w:t>
            </w:r>
          </w:p>
        </w:tc>
        <w:tc>
          <w:tcPr>
            <w:tcW w:w="1275" w:type="dxa"/>
            <w:shd w:val="clear" w:color="auto" w:fill="F4B29B" w:themeFill="accent1" w:themeFillTint="66"/>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Wartość dofinanso</w:t>
            </w:r>
            <w:r w:rsidR="002E76DD" w:rsidRPr="00305508">
              <w:rPr>
                <w:b/>
                <w:bCs/>
                <w:sz w:val="20"/>
                <w:szCs w:val="20"/>
              </w:rPr>
              <w:t>- w</w:t>
            </w:r>
            <w:r w:rsidRPr="00305508">
              <w:rPr>
                <w:b/>
                <w:bCs/>
                <w:sz w:val="20"/>
                <w:szCs w:val="20"/>
              </w:rPr>
              <w:t>ania UE</w:t>
            </w:r>
            <w:r w:rsidRPr="00305508">
              <w:rPr>
                <w:b/>
                <w:bCs/>
                <w:sz w:val="20"/>
                <w:szCs w:val="20"/>
              </w:rPr>
              <w:br/>
            </w:r>
          </w:p>
        </w:tc>
        <w:tc>
          <w:tcPr>
            <w:tcW w:w="1134" w:type="dxa"/>
            <w:shd w:val="clear" w:color="auto" w:fill="F4B29B" w:themeFill="accent1" w:themeFillTint="66"/>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Liczba projektów</w:t>
            </w:r>
          </w:p>
        </w:tc>
        <w:tc>
          <w:tcPr>
            <w:tcW w:w="1276" w:type="dxa"/>
            <w:shd w:val="clear" w:color="auto" w:fill="F4B29B" w:themeFill="accent1" w:themeFillTint="66"/>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Szacowana wartość dofinanso</w:t>
            </w:r>
            <w:r w:rsidR="002E76DD" w:rsidRPr="00305508">
              <w:rPr>
                <w:b/>
                <w:bCs/>
                <w:sz w:val="20"/>
                <w:szCs w:val="20"/>
              </w:rPr>
              <w:t xml:space="preserve"> -</w:t>
            </w:r>
            <w:r w:rsidRPr="00305508">
              <w:rPr>
                <w:b/>
                <w:bCs/>
                <w:sz w:val="20"/>
                <w:szCs w:val="20"/>
              </w:rPr>
              <w:t>wania UE</w:t>
            </w:r>
          </w:p>
        </w:tc>
      </w:tr>
      <w:tr w:rsidR="0034503C" w:rsidRPr="00305508" w:rsidTr="002E76DD">
        <w:trPr>
          <w:trHeight w:val="47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34503C" w:rsidRPr="00305508" w:rsidRDefault="0034503C" w:rsidP="00180A73">
            <w:pPr>
              <w:spacing w:after="0" w:line="240" w:lineRule="auto"/>
              <w:jc w:val="center"/>
              <w:rPr>
                <w:iCs/>
                <w:color w:val="auto"/>
                <w:sz w:val="20"/>
                <w:szCs w:val="20"/>
              </w:rPr>
            </w:pPr>
            <w:r w:rsidRPr="00305508">
              <w:rPr>
                <w:iCs/>
                <w:color w:val="auto"/>
                <w:sz w:val="20"/>
                <w:szCs w:val="20"/>
              </w:rPr>
              <w:t>Priorytet I</w:t>
            </w:r>
          </w:p>
        </w:tc>
        <w:tc>
          <w:tcPr>
            <w:tcW w:w="1207"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8</w:t>
            </w:r>
          </w:p>
        </w:tc>
        <w:tc>
          <w:tcPr>
            <w:tcW w:w="1701"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31,29</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8</w:t>
            </w:r>
          </w:p>
        </w:tc>
        <w:tc>
          <w:tcPr>
            <w:tcW w:w="1275"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31,29</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_</w:t>
            </w:r>
          </w:p>
        </w:tc>
        <w:tc>
          <w:tcPr>
            <w:tcW w:w="1276"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_</w:t>
            </w:r>
          </w:p>
        </w:tc>
      </w:tr>
      <w:tr w:rsidR="0034503C" w:rsidRPr="00305508" w:rsidTr="002E76DD">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34503C" w:rsidRPr="00305508" w:rsidRDefault="0034503C" w:rsidP="00180A73">
            <w:pPr>
              <w:spacing w:after="0" w:line="240" w:lineRule="auto"/>
              <w:jc w:val="center"/>
              <w:rPr>
                <w:iCs/>
                <w:color w:val="auto"/>
                <w:sz w:val="20"/>
                <w:szCs w:val="20"/>
              </w:rPr>
            </w:pPr>
            <w:r w:rsidRPr="00305508">
              <w:rPr>
                <w:iCs/>
                <w:color w:val="auto"/>
                <w:sz w:val="20"/>
                <w:szCs w:val="20"/>
              </w:rPr>
              <w:t>Priorytet III</w:t>
            </w:r>
          </w:p>
        </w:tc>
        <w:tc>
          <w:tcPr>
            <w:tcW w:w="1207"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28</w:t>
            </w:r>
          </w:p>
        </w:tc>
        <w:tc>
          <w:tcPr>
            <w:tcW w:w="1701"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31,91</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28</w:t>
            </w:r>
          </w:p>
        </w:tc>
        <w:tc>
          <w:tcPr>
            <w:tcW w:w="1275"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31,91</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_</w:t>
            </w:r>
          </w:p>
        </w:tc>
        <w:tc>
          <w:tcPr>
            <w:tcW w:w="1276"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_</w:t>
            </w:r>
          </w:p>
        </w:tc>
      </w:tr>
      <w:tr w:rsidR="0034503C" w:rsidRPr="00305508" w:rsidTr="002E76DD">
        <w:trPr>
          <w:trHeight w:val="40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34503C" w:rsidRPr="00305508" w:rsidRDefault="0034503C" w:rsidP="00180A73">
            <w:pPr>
              <w:spacing w:after="0" w:line="240" w:lineRule="auto"/>
              <w:jc w:val="center"/>
              <w:rPr>
                <w:iCs/>
                <w:color w:val="auto"/>
                <w:sz w:val="20"/>
                <w:szCs w:val="20"/>
              </w:rPr>
            </w:pPr>
            <w:r w:rsidRPr="00305508">
              <w:rPr>
                <w:iCs/>
                <w:color w:val="auto"/>
                <w:sz w:val="20"/>
                <w:szCs w:val="20"/>
              </w:rPr>
              <w:t>Priorytet IV</w:t>
            </w:r>
          </w:p>
        </w:tc>
        <w:tc>
          <w:tcPr>
            <w:tcW w:w="1207"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3</w:t>
            </w:r>
          </w:p>
        </w:tc>
        <w:tc>
          <w:tcPr>
            <w:tcW w:w="1701"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7,78</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3</w:t>
            </w:r>
          </w:p>
        </w:tc>
        <w:tc>
          <w:tcPr>
            <w:tcW w:w="1275"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7,78</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_</w:t>
            </w:r>
          </w:p>
        </w:tc>
        <w:tc>
          <w:tcPr>
            <w:tcW w:w="1276"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_</w:t>
            </w:r>
          </w:p>
        </w:tc>
      </w:tr>
      <w:tr w:rsidR="0034503C" w:rsidRPr="00305508" w:rsidTr="002E76DD">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34503C" w:rsidRPr="00305508" w:rsidRDefault="0034503C" w:rsidP="00180A73">
            <w:pPr>
              <w:spacing w:after="0" w:line="240" w:lineRule="auto"/>
              <w:jc w:val="center"/>
              <w:rPr>
                <w:iCs/>
                <w:color w:val="auto"/>
                <w:sz w:val="20"/>
                <w:szCs w:val="20"/>
              </w:rPr>
            </w:pPr>
            <w:r w:rsidRPr="00305508">
              <w:rPr>
                <w:iCs/>
                <w:color w:val="auto"/>
                <w:sz w:val="20"/>
                <w:szCs w:val="20"/>
              </w:rPr>
              <w:t>Priorytet V</w:t>
            </w:r>
          </w:p>
        </w:tc>
        <w:tc>
          <w:tcPr>
            <w:tcW w:w="1207"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4</w:t>
            </w:r>
          </w:p>
        </w:tc>
        <w:tc>
          <w:tcPr>
            <w:tcW w:w="1701"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20,71</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4</w:t>
            </w:r>
          </w:p>
        </w:tc>
        <w:tc>
          <w:tcPr>
            <w:tcW w:w="1275"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20,71</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_</w:t>
            </w:r>
          </w:p>
        </w:tc>
        <w:tc>
          <w:tcPr>
            <w:tcW w:w="1276"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_</w:t>
            </w:r>
          </w:p>
        </w:tc>
      </w:tr>
      <w:tr w:rsidR="0034503C" w:rsidRPr="00305508" w:rsidTr="002E76DD">
        <w:trPr>
          <w:trHeight w:val="40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34503C" w:rsidRPr="00305508" w:rsidRDefault="0034503C" w:rsidP="00180A73">
            <w:pPr>
              <w:spacing w:after="0" w:line="240" w:lineRule="auto"/>
              <w:jc w:val="center"/>
              <w:rPr>
                <w:iCs/>
                <w:color w:val="auto"/>
                <w:sz w:val="20"/>
                <w:szCs w:val="20"/>
              </w:rPr>
            </w:pPr>
            <w:r w:rsidRPr="00305508">
              <w:rPr>
                <w:iCs/>
                <w:color w:val="auto"/>
                <w:sz w:val="20"/>
                <w:szCs w:val="20"/>
              </w:rPr>
              <w:t>Priorytet VI</w:t>
            </w:r>
          </w:p>
        </w:tc>
        <w:tc>
          <w:tcPr>
            <w:tcW w:w="1207"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5</w:t>
            </w:r>
          </w:p>
        </w:tc>
        <w:tc>
          <w:tcPr>
            <w:tcW w:w="1701"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133,95</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5</w:t>
            </w:r>
          </w:p>
        </w:tc>
        <w:tc>
          <w:tcPr>
            <w:tcW w:w="1275"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133,95</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_</w:t>
            </w:r>
          </w:p>
        </w:tc>
        <w:tc>
          <w:tcPr>
            <w:tcW w:w="1276" w:type="dxa"/>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_</w:t>
            </w:r>
          </w:p>
        </w:tc>
      </w:tr>
      <w:tr w:rsidR="0034503C" w:rsidRPr="00305508" w:rsidTr="002E76DD">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34503C" w:rsidRPr="00305508" w:rsidRDefault="0034503C" w:rsidP="00180A73">
            <w:pPr>
              <w:spacing w:after="0" w:line="240" w:lineRule="auto"/>
              <w:jc w:val="center"/>
              <w:rPr>
                <w:iCs/>
                <w:color w:val="auto"/>
                <w:sz w:val="20"/>
                <w:szCs w:val="20"/>
              </w:rPr>
            </w:pPr>
            <w:r w:rsidRPr="00305508">
              <w:rPr>
                <w:iCs/>
                <w:color w:val="auto"/>
                <w:sz w:val="20"/>
                <w:szCs w:val="20"/>
              </w:rPr>
              <w:t>Priorytet VII</w:t>
            </w:r>
          </w:p>
        </w:tc>
        <w:tc>
          <w:tcPr>
            <w:tcW w:w="1207"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20</w:t>
            </w:r>
          </w:p>
        </w:tc>
        <w:tc>
          <w:tcPr>
            <w:tcW w:w="1701"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186,24</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18</w:t>
            </w:r>
          </w:p>
        </w:tc>
        <w:tc>
          <w:tcPr>
            <w:tcW w:w="1275"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116,91</w:t>
            </w:r>
          </w:p>
        </w:tc>
        <w:tc>
          <w:tcPr>
            <w:tcW w:w="1134"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2</w:t>
            </w:r>
          </w:p>
        </w:tc>
        <w:tc>
          <w:tcPr>
            <w:tcW w:w="1276" w:type="dxa"/>
            <w:shd w:val="clear" w:color="auto" w:fill="F9D8CD" w:themeFill="accent1" w:themeFillTint="33"/>
            <w:vAlign w:val="center"/>
            <w:hideMark/>
          </w:tcPr>
          <w:p w:rsidR="0034503C" w:rsidRPr="00305508" w:rsidRDefault="0034503C" w:rsidP="00180A7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iCs/>
                <w:sz w:val="20"/>
                <w:szCs w:val="20"/>
              </w:rPr>
            </w:pPr>
            <w:r w:rsidRPr="00305508">
              <w:rPr>
                <w:b/>
                <w:bCs/>
                <w:iCs/>
                <w:sz w:val="20"/>
                <w:szCs w:val="20"/>
              </w:rPr>
              <w:t>69,34</w:t>
            </w:r>
          </w:p>
        </w:tc>
      </w:tr>
      <w:tr w:rsidR="0034503C" w:rsidRPr="00305508" w:rsidTr="002E76DD">
        <w:trPr>
          <w:trHeight w:val="41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34503C" w:rsidRPr="00305508" w:rsidRDefault="0034503C" w:rsidP="00180A73">
            <w:pPr>
              <w:spacing w:after="0" w:line="240" w:lineRule="auto"/>
              <w:jc w:val="center"/>
              <w:rPr>
                <w:iCs/>
                <w:color w:val="auto"/>
                <w:sz w:val="20"/>
                <w:szCs w:val="20"/>
              </w:rPr>
            </w:pPr>
            <w:r w:rsidRPr="00305508">
              <w:rPr>
                <w:iCs/>
                <w:color w:val="auto"/>
                <w:sz w:val="20"/>
                <w:szCs w:val="20"/>
              </w:rPr>
              <w:t>Priorytet VIII</w:t>
            </w:r>
          </w:p>
        </w:tc>
        <w:tc>
          <w:tcPr>
            <w:tcW w:w="1207" w:type="dxa"/>
            <w:tcBorders>
              <w:top w:val="single" w:sz="8" w:space="0" w:color="FFFFFF" w:themeColor="background1"/>
              <w:bottom w:val="single" w:sz="8" w:space="0" w:color="FFFFFF" w:themeColor="background1"/>
            </w:tcBorders>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2</w:t>
            </w:r>
          </w:p>
        </w:tc>
        <w:tc>
          <w:tcPr>
            <w:tcW w:w="1701" w:type="dxa"/>
            <w:tcBorders>
              <w:top w:val="single" w:sz="8" w:space="0" w:color="FFFFFF" w:themeColor="background1"/>
              <w:bottom w:val="single" w:sz="8" w:space="0" w:color="FFFFFF" w:themeColor="background1"/>
            </w:tcBorders>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8,69</w:t>
            </w:r>
          </w:p>
        </w:tc>
        <w:tc>
          <w:tcPr>
            <w:tcW w:w="1134" w:type="dxa"/>
            <w:tcBorders>
              <w:top w:val="single" w:sz="8" w:space="0" w:color="FFFFFF" w:themeColor="background1"/>
              <w:bottom w:val="single" w:sz="8" w:space="0" w:color="FFFFFF" w:themeColor="background1"/>
            </w:tcBorders>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2</w:t>
            </w:r>
          </w:p>
        </w:tc>
        <w:tc>
          <w:tcPr>
            <w:tcW w:w="1275" w:type="dxa"/>
            <w:tcBorders>
              <w:top w:val="single" w:sz="8" w:space="0" w:color="FFFFFF" w:themeColor="background1"/>
              <w:bottom w:val="single" w:sz="8" w:space="0" w:color="FFFFFF" w:themeColor="background1"/>
            </w:tcBorders>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8,69</w:t>
            </w:r>
          </w:p>
        </w:tc>
        <w:tc>
          <w:tcPr>
            <w:tcW w:w="1134" w:type="dxa"/>
            <w:tcBorders>
              <w:top w:val="single" w:sz="8" w:space="0" w:color="FFFFFF" w:themeColor="background1"/>
              <w:bottom w:val="single" w:sz="8" w:space="0" w:color="FFFFFF" w:themeColor="background1"/>
            </w:tcBorders>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_</w:t>
            </w:r>
          </w:p>
        </w:tc>
        <w:tc>
          <w:tcPr>
            <w:tcW w:w="1276" w:type="dxa"/>
            <w:tcBorders>
              <w:top w:val="single" w:sz="8" w:space="0" w:color="FFFFFF" w:themeColor="background1"/>
              <w:bottom w:val="single" w:sz="8" w:space="0" w:color="FFFFFF" w:themeColor="background1"/>
            </w:tcBorders>
            <w:shd w:val="clear" w:color="auto" w:fill="F9D8CD" w:themeFill="accent1" w:themeFillTint="33"/>
            <w:vAlign w:val="center"/>
            <w:hideMark/>
          </w:tcPr>
          <w:p w:rsidR="0034503C" w:rsidRPr="00305508" w:rsidRDefault="0034503C" w:rsidP="00180A7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iCs/>
                <w:sz w:val="20"/>
                <w:szCs w:val="20"/>
              </w:rPr>
            </w:pPr>
            <w:r w:rsidRPr="00305508">
              <w:rPr>
                <w:b/>
                <w:bCs/>
                <w:iCs/>
                <w:sz w:val="20"/>
                <w:szCs w:val="20"/>
              </w:rPr>
              <w:t>_</w:t>
            </w:r>
          </w:p>
        </w:tc>
      </w:tr>
    </w:tbl>
    <w:p w:rsidR="006076C6" w:rsidRPr="006D71C7" w:rsidRDefault="006076C6" w:rsidP="006D71C7">
      <w:pPr>
        <w:jc w:val="both"/>
      </w:pPr>
    </w:p>
    <w:p w:rsidR="006076C6" w:rsidRPr="006D71C7" w:rsidRDefault="006076C6" w:rsidP="006D71C7">
      <w:pPr>
        <w:spacing w:after="0" w:line="240" w:lineRule="auto"/>
        <w:jc w:val="both"/>
      </w:pPr>
      <w:r w:rsidRPr="006D71C7">
        <w:br w:type="page"/>
      </w:r>
    </w:p>
    <w:p w:rsidR="00032203" w:rsidRPr="006D71C7" w:rsidRDefault="00032203" w:rsidP="006D71C7">
      <w:pPr>
        <w:pStyle w:val="Akapitzlist"/>
        <w:ind w:left="0"/>
        <w:jc w:val="both"/>
        <w:rPr>
          <w:b/>
          <w:szCs w:val="24"/>
          <w:lang w:eastAsia="ar-SA"/>
        </w:rPr>
      </w:pPr>
      <w:r w:rsidRPr="006D71C7">
        <w:rPr>
          <w:b/>
          <w:szCs w:val="24"/>
          <w:lang w:eastAsia="ar-SA"/>
        </w:rPr>
        <w:t>Programy Rozwoju Subregionów</w:t>
      </w:r>
    </w:p>
    <w:p w:rsidR="00D54D9A" w:rsidRPr="006D71C7" w:rsidRDefault="000A4041" w:rsidP="006D71C7">
      <w:pPr>
        <w:spacing w:after="120"/>
        <w:jc w:val="both"/>
        <w:rPr>
          <w:szCs w:val="24"/>
        </w:rPr>
      </w:pPr>
      <w:r w:rsidRPr="006D71C7">
        <w:rPr>
          <w:szCs w:val="24"/>
        </w:rPr>
        <w:t>W okresie sprawozdawczym Zarząd Województwa podjął uchwały zmieniające dofinansowani</w:t>
      </w:r>
      <w:r w:rsidR="002E76DD" w:rsidRPr="006D71C7">
        <w:rPr>
          <w:szCs w:val="24"/>
        </w:rPr>
        <w:t>e</w:t>
      </w:r>
      <w:r w:rsidRPr="006D71C7">
        <w:rPr>
          <w:szCs w:val="24"/>
        </w:rPr>
        <w:t xml:space="preserve"> PRS, uwzględniające zaktualizowane </w:t>
      </w:r>
      <w:r w:rsidRPr="006D71C7">
        <w:rPr>
          <w:i/>
          <w:szCs w:val="24"/>
        </w:rPr>
        <w:t>Programy</w:t>
      </w:r>
      <w:r w:rsidR="00AE00CD" w:rsidRPr="006D71C7">
        <w:rPr>
          <w:i/>
          <w:szCs w:val="24"/>
        </w:rPr>
        <w:t>.</w:t>
      </w:r>
      <w:r w:rsidRPr="006D71C7">
        <w:rPr>
          <w:i/>
          <w:szCs w:val="24"/>
        </w:rPr>
        <w:t xml:space="preserve"> </w:t>
      </w:r>
      <w:r w:rsidRPr="006D71C7">
        <w:rPr>
          <w:bCs/>
          <w:szCs w:val="24"/>
        </w:rPr>
        <w:t xml:space="preserve">Każdorazowo aktualizacje uwzględniały zagospodarowanie powstałych w trakcie realizacji </w:t>
      </w:r>
      <w:r w:rsidRPr="006D71C7">
        <w:rPr>
          <w:bCs/>
          <w:i/>
          <w:szCs w:val="24"/>
        </w:rPr>
        <w:t>Programów</w:t>
      </w:r>
      <w:r w:rsidRPr="006D71C7">
        <w:rPr>
          <w:bCs/>
          <w:szCs w:val="24"/>
        </w:rPr>
        <w:t xml:space="preserve"> oszczędności (poprzez wybór dodatkowych projektów, bądź podniesienie dofinansowania niektórym projektom z listy podstawowej) oraz przesunięcie kwot niewykorzystanych w trakcie realizacji PRS do puli konkursowej RPO WSL.</w:t>
      </w:r>
      <w:r w:rsidRPr="006D71C7">
        <w:rPr>
          <w:b/>
          <w:bCs/>
          <w:szCs w:val="24"/>
        </w:rPr>
        <w:t xml:space="preserve"> </w:t>
      </w:r>
      <w:r w:rsidRPr="006D71C7">
        <w:rPr>
          <w:szCs w:val="24"/>
        </w:rPr>
        <w:t xml:space="preserve">Zgodnie ze zmienionymi </w:t>
      </w:r>
      <w:r w:rsidRPr="006D71C7">
        <w:rPr>
          <w:i/>
          <w:szCs w:val="24"/>
        </w:rPr>
        <w:t>Wytycznymi dla procedury Projektów Kluczowych oraz Programów Rozwoju Subregionów</w:t>
      </w:r>
      <w:r w:rsidRPr="006D71C7">
        <w:rPr>
          <w:szCs w:val="24"/>
        </w:rPr>
        <w:t>, ostateczną datą wykorzystania oszcz</w:t>
      </w:r>
      <w:r w:rsidR="00AE00CD" w:rsidRPr="006D71C7">
        <w:rPr>
          <w:szCs w:val="24"/>
        </w:rPr>
        <w:t>ędności przez s</w:t>
      </w:r>
      <w:r w:rsidRPr="006D71C7">
        <w:rPr>
          <w:szCs w:val="24"/>
        </w:rPr>
        <w:t xml:space="preserve">ubregiony był dzień 31 sierpnia 2011 r. Do końca roku sprawozdawczego złożono wszystkie </w:t>
      </w:r>
      <w:r w:rsidR="00AE00CD" w:rsidRPr="006D71C7">
        <w:rPr>
          <w:szCs w:val="24"/>
        </w:rPr>
        <w:t>projekty, które przewidziano do </w:t>
      </w:r>
      <w:r w:rsidRPr="006D71C7">
        <w:rPr>
          <w:szCs w:val="24"/>
        </w:rPr>
        <w:t>dofinansowania w</w:t>
      </w:r>
      <w:r w:rsidR="009762DB" w:rsidRPr="006D71C7">
        <w:rPr>
          <w:szCs w:val="24"/>
        </w:rPr>
        <w:t> </w:t>
      </w:r>
      <w:r w:rsidRPr="006D71C7">
        <w:rPr>
          <w:szCs w:val="24"/>
        </w:rPr>
        <w:t>ramach wykorzystania oszczędności w PRS. Ostateczna liczba projektów przewidziana do</w:t>
      </w:r>
      <w:r w:rsidR="009762DB" w:rsidRPr="006D71C7">
        <w:rPr>
          <w:szCs w:val="24"/>
        </w:rPr>
        <w:t> </w:t>
      </w:r>
      <w:r w:rsidRPr="006D71C7">
        <w:rPr>
          <w:szCs w:val="24"/>
        </w:rPr>
        <w:t>realizacji w ramach PRS wyniosła 284</w:t>
      </w:r>
      <w:r w:rsidR="00AE00CD" w:rsidRPr="006D71C7">
        <w:rPr>
          <w:szCs w:val="24"/>
        </w:rPr>
        <w:t>, z czego najwięcej bo 101 projektów realizuje subregion centralny</w:t>
      </w:r>
      <w:r w:rsidRPr="006D71C7">
        <w:rPr>
          <w:szCs w:val="24"/>
        </w:rPr>
        <w:t>.</w:t>
      </w:r>
      <w:r w:rsidR="005252B6" w:rsidRPr="006D71C7">
        <w:rPr>
          <w:szCs w:val="24"/>
        </w:rPr>
        <w:t xml:space="preserve"> </w:t>
      </w:r>
      <w:r w:rsidR="00CD2E15" w:rsidRPr="006D71C7">
        <w:rPr>
          <w:szCs w:val="24"/>
        </w:rPr>
        <w:t>W ramach PRS do końca okresu sprawozdawczego zostało wypłaconych środków na kwotę 95,18 mln EUR.</w:t>
      </w:r>
      <w:r w:rsidR="00D54D9A" w:rsidRPr="006D71C7">
        <w:rPr>
          <w:szCs w:val="24"/>
        </w:rPr>
        <w:t xml:space="preserve"> </w:t>
      </w:r>
      <w:r w:rsidR="007A1109" w:rsidRPr="006D71C7">
        <w:rPr>
          <w:szCs w:val="24"/>
        </w:rPr>
        <w:t>Najbardziej zaawansowany w</w:t>
      </w:r>
      <w:r w:rsidR="002E76DD" w:rsidRPr="006D71C7">
        <w:rPr>
          <w:szCs w:val="24"/>
        </w:rPr>
        <w:t>e</w:t>
      </w:r>
      <w:r w:rsidR="007A1109" w:rsidRPr="006D71C7">
        <w:rPr>
          <w:szCs w:val="24"/>
        </w:rPr>
        <w:t> </w:t>
      </w:r>
      <w:r w:rsidR="00D54D9A" w:rsidRPr="006D71C7">
        <w:rPr>
          <w:szCs w:val="24"/>
        </w:rPr>
        <w:t xml:space="preserve">wdrażaniu PRS jest subregion zachodni, który podpisał umowy w 93% </w:t>
      </w:r>
    </w:p>
    <w:p w:rsidR="00AE00CD" w:rsidRPr="006D71C7" w:rsidRDefault="00AE00CD" w:rsidP="006D71C7">
      <w:pPr>
        <w:spacing w:after="120"/>
        <w:jc w:val="both"/>
        <w:rPr>
          <w:szCs w:val="24"/>
        </w:rPr>
      </w:pPr>
      <w:r w:rsidRPr="006D71C7">
        <w:rPr>
          <w:noProof/>
          <w:szCs w:val="24"/>
        </w:rPr>
        <w:drawing>
          <wp:inline distT="0" distB="0" distL="0" distR="0">
            <wp:extent cx="5756645" cy="5297229"/>
            <wp:effectExtent l="38100" t="19050" r="15505" b="0"/>
            <wp:docPr id="1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4041" w:rsidRPr="006D71C7" w:rsidRDefault="00DD0C20" w:rsidP="006D71C7">
      <w:pPr>
        <w:pStyle w:val="Legenda"/>
        <w:jc w:val="both"/>
        <w:rPr>
          <w:i/>
          <w:color w:val="auto"/>
          <w:sz w:val="20"/>
          <w:szCs w:val="20"/>
        </w:rPr>
      </w:pPr>
      <w:bookmarkStart w:id="102" w:name="_Toc324786930"/>
      <w:bookmarkStart w:id="103" w:name="_Toc324854694"/>
      <w:bookmarkStart w:id="104" w:name="_Toc324854758"/>
      <w:bookmarkStart w:id="105" w:name="_Toc326055328"/>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10</w:t>
      </w:r>
      <w:r w:rsidR="008F7228">
        <w:rPr>
          <w:color w:val="auto"/>
          <w:sz w:val="20"/>
          <w:szCs w:val="20"/>
        </w:rPr>
        <w:fldChar w:fldCharType="end"/>
      </w:r>
      <w:r w:rsidRPr="006D71C7">
        <w:rPr>
          <w:color w:val="auto"/>
        </w:rPr>
        <w:t xml:space="preserve"> </w:t>
      </w:r>
      <w:r w:rsidR="00286BDE" w:rsidRPr="006D71C7">
        <w:rPr>
          <w:b w:val="0"/>
          <w:i/>
          <w:color w:val="auto"/>
          <w:sz w:val="20"/>
          <w:szCs w:val="20"/>
        </w:rPr>
        <w:t>Postęp</w:t>
      </w:r>
      <w:r w:rsidR="00F26B25" w:rsidRPr="006D71C7">
        <w:rPr>
          <w:b w:val="0"/>
          <w:i/>
          <w:color w:val="auto"/>
          <w:sz w:val="20"/>
          <w:szCs w:val="20"/>
        </w:rPr>
        <w:t xml:space="preserve"> finansowy</w:t>
      </w:r>
      <w:r w:rsidR="00286BDE" w:rsidRPr="006D71C7">
        <w:rPr>
          <w:b w:val="0"/>
          <w:i/>
          <w:color w:val="auto"/>
          <w:sz w:val="20"/>
          <w:szCs w:val="20"/>
        </w:rPr>
        <w:t xml:space="preserve"> wdrażania PRS</w:t>
      </w:r>
      <w:bookmarkEnd w:id="102"/>
      <w:bookmarkEnd w:id="103"/>
      <w:bookmarkEnd w:id="104"/>
      <w:bookmarkEnd w:id="105"/>
      <w:r w:rsidR="00286BDE" w:rsidRPr="006D71C7">
        <w:rPr>
          <w:i/>
          <w:color w:val="auto"/>
          <w:sz w:val="20"/>
          <w:szCs w:val="20"/>
        </w:rPr>
        <w:t xml:space="preserve"> </w:t>
      </w:r>
    </w:p>
    <w:p w:rsidR="005414FF" w:rsidRPr="006D71C7" w:rsidRDefault="005414FF" w:rsidP="006D71C7">
      <w:pPr>
        <w:pStyle w:val="Legenda"/>
        <w:ind w:left="426"/>
        <w:jc w:val="both"/>
        <w:rPr>
          <w:color w:val="auto"/>
        </w:rPr>
      </w:pPr>
      <w:r w:rsidRPr="006D71C7">
        <w:rPr>
          <w:noProof/>
          <w:color w:val="auto"/>
        </w:rPr>
        <w:drawing>
          <wp:inline distT="0" distB="0" distL="0" distR="0">
            <wp:extent cx="2977117" cy="2126512"/>
            <wp:effectExtent l="0" t="0" r="0" b="0"/>
            <wp:docPr id="2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6D71C7">
        <w:rPr>
          <w:noProof/>
          <w:color w:val="auto"/>
        </w:rPr>
        <w:drawing>
          <wp:inline distT="0" distB="0" distL="0" distR="0">
            <wp:extent cx="2412000" cy="2126512"/>
            <wp:effectExtent l="0" t="0" r="0" b="0"/>
            <wp:docPr id="2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D54D9A" w:rsidRPr="006D71C7">
        <w:rPr>
          <w:color w:val="auto"/>
        </w:rPr>
        <w:t xml:space="preserve"> </w:t>
      </w:r>
      <w:r w:rsidRPr="006D71C7">
        <w:rPr>
          <w:noProof/>
          <w:color w:val="auto"/>
        </w:rPr>
        <w:drawing>
          <wp:inline distT="0" distB="0" distL="0" distR="0">
            <wp:extent cx="2412000" cy="2126511"/>
            <wp:effectExtent l="0" t="0" r="0" b="0"/>
            <wp:docPr id="2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6D71C7">
        <w:rPr>
          <w:noProof/>
          <w:color w:val="auto"/>
        </w:rPr>
        <w:drawing>
          <wp:inline distT="0" distB="0" distL="0" distR="0">
            <wp:extent cx="2412000" cy="2126511"/>
            <wp:effectExtent l="0" t="0" r="0" b="0"/>
            <wp:docPr id="2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53C2A" w:rsidRPr="006D71C7" w:rsidRDefault="00DD0C20" w:rsidP="006D71C7">
      <w:pPr>
        <w:pStyle w:val="Legenda"/>
        <w:jc w:val="both"/>
        <w:rPr>
          <w:color w:val="auto"/>
          <w:sz w:val="20"/>
          <w:szCs w:val="20"/>
        </w:rPr>
      </w:pPr>
      <w:bookmarkStart w:id="106" w:name="_Toc324786931"/>
      <w:bookmarkStart w:id="107" w:name="_Toc324854695"/>
      <w:bookmarkStart w:id="108" w:name="_Toc324854759"/>
      <w:bookmarkStart w:id="109" w:name="_Toc326055329"/>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11</w:t>
      </w:r>
      <w:r w:rsidR="008F7228">
        <w:rPr>
          <w:color w:val="auto"/>
          <w:sz w:val="20"/>
          <w:szCs w:val="20"/>
        </w:rPr>
        <w:fldChar w:fldCharType="end"/>
      </w:r>
      <w:r w:rsidRPr="006D71C7">
        <w:rPr>
          <w:color w:val="auto"/>
          <w:sz w:val="20"/>
          <w:szCs w:val="20"/>
        </w:rPr>
        <w:t xml:space="preserve"> </w:t>
      </w:r>
      <w:r w:rsidR="00953C2A" w:rsidRPr="006D71C7">
        <w:rPr>
          <w:b w:val="0"/>
          <w:i/>
          <w:color w:val="auto"/>
          <w:sz w:val="20"/>
          <w:szCs w:val="20"/>
        </w:rPr>
        <w:t>Postęp realizacji PRS</w:t>
      </w:r>
      <w:bookmarkEnd w:id="106"/>
      <w:bookmarkEnd w:id="107"/>
      <w:bookmarkEnd w:id="108"/>
      <w:bookmarkEnd w:id="109"/>
      <w:r w:rsidR="00953C2A" w:rsidRPr="006D71C7">
        <w:rPr>
          <w:color w:val="auto"/>
          <w:sz w:val="20"/>
          <w:szCs w:val="20"/>
        </w:rPr>
        <w:t xml:space="preserve"> </w:t>
      </w:r>
    </w:p>
    <w:p w:rsidR="00E83580" w:rsidRPr="006D71C7" w:rsidRDefault="000A4041" w:rsidP="006D71C7">
      <w:pPr>
        <w:jc w:val="both"/>
        <w:rPr>
          <w:szCs w:val="24"/>
        </w:rPr>
      </w:pPr>
      <w:r w:rsidRPr="006D71C7">
        <w:rPr>
          <w:szCs w:val="24"/>
        </w:rPr>
        <w:t>Doświadczenia z procesu wdrażania PRS prowadzą do wniosku</w:t>
      </w:r>
      <w:r w:rsidR="008861C4" w:rsidRPr="006D71C7">
        <w:rPr>
          <w:szCs w:val="24"/>
        </w:rPr>
        <w:t>, że</w:t>
      </w:r>
      <w:r w:rsidRPr="006D71C7">
        <w:rPr>
          <w:szCs w:val="24"/>
        </w:rPr>
        <w:t xml:space="preserve"> należy wzmocnić proces planowania strategicznego w celu wypracowania </w:t>
      </w:r>
      <w:r w:rsidR="008861C4" w:rsidRPr="006D71C7">
        <w:rPr>
          <w:szCs w:val="24"/>
        </w:rPr>
        <w:t xml:space="preserve">jeszcze </w:t>
      </w:r>
      <w:r w:rsidRPr="006D71C7">
        <w:rPr>
          <w:szCs w:val="24"/>
        </w:rPr>
        <w:t xml:space="preserve">lepszych programów w przyszłości. Liderzy </w:t>
      </w:r>
      <w:r w:rsidR="008861C4" w:rsidRPr="006D71C7">
        <w:rPr>
          <w:szCs w:val="24"/>
        </w:rPr>
        <w:t xml:space="preserve">PRS </w:t>
      </w:r>
      <w:r w:rsidRPr="006D71C7">
        <w:rPr>
          <w:szCs w:val="24"/>
        </w:rPr>
        <w:t>wyrażają wolę aktywnego uczestnictwa w tworzeniu dokumentów strategicznych i operacyjnych</w:t>
      </w:r>
      <w:r w:rsidR="007A1109" w:rsidRPr="006D71C7">
        <w:rPr>
          <w:szCs w:val="24"/>
        </w:rPr>
        <w:t xml:space="preserve"> na poziomie regionu. </w:t>
      </w:r>
      <w:r w:rsidR="00DD0C20" w:rsidRPr="006D71C7">
        <w:rPr>
          <w:szCs w:val="24"/>
        </w:rPr>
        <w:t>Odpowiadając na te</w:t>
      </w:r>
      <w:r w:rsidR="0085754B" w:rsidRPr="006D71C7">
        <w:rPr>
          <w:szCs w:val="24"/>
        </w:rPr>
        <w:t xml:space="preserve"> postulaty </w:t>
      </w:r>
      <w:r w:rsidR="00E83580" w:rsidRPr="006D71C7">
        <w:rPr>
          <w:szCs w:val="24"/>
        </w:rPr>
        <w:t>IZ po</w:t>
      </w:r>
      <w:r w:rsidR="009762DB" w:rsidRPr="006D71C7">
        <w:rPr>
          <w:szCs w:val="24"/>
        </w:rPr>
        <w:t> </w:t>
      </w:r>
      <w:r w:rsidR="00E83580" w:rsidRPr="006D71C7">
        <w:rPr>
          <w:szCs w:val="24"/>
        </w:rPr>
        <w:t xml:space="preserve">pierwsze </w:t>
      </w:r>
      <w:r w:rsidR="0085754B" w:rsidRPr="006D71C7">
        <w:rPr>
          <w:szCs w:val="24"/>
        </w:rPr>
        <w:t>włączyła</w:t>
      </w:r>
      <w:r w:rsidR="00E83580" w:rsidRPr="006D71C7">
        <w:rPr>
          <w:szCs w:val="24"/>
        </w:rPr>
        <w:t xml:space="preserve"> liderów PRS </w:t>
      </w:r>
      <w:r w:rsidR="0085754B" w:rsidRPr="006D71C7">
        <w:rPr>
          <w:szCs w:val="24"/>
        </w:rPr>
        <w:t xml:space="preserve">do prac </w:t>
      </w:r>
      <w:r w:rsidR="0085754B" w:rsidRPr="006D71C7">
        <w:rPr>
          <w:i/>
          <w:szCs w:val="24"/>
        </w:rPr>
        <w:t xml:space="preserve">Zespołu </w:t>
      </w:r>
      <w:r w:rsidR="0085754B" w:rsidRPr="006D71C7">
        <w:rPr>
          <w:i/>
        </w:rPr>
        <w:t>ds. opracowania projektu ramowego zintegrowanego programu regionalnego na lata 2014-2020</w:t>
      </w:r>
      <w:r w:rsidR="0085754B" w:rsidRPr="006D71C7">
        <w:rPr>
          <w:szCs w:val="24"/>
        </w:rPr>
        <w:t>, p</w:t>
      </w:r>
      <w:r w:rsidR="00DD0C20" w:rsidRPr="006D71C7">
        <w:rPr>
          <w:szCs w:val="24"/>
        </w:rPr>
        <w:t>o drugie zaprojektowała na 2012</w:t>
      </w:r>
      <w:r w:rsidR="0085754B" w:rsidRPr="006D71C7">
        <w:rPr>
          <w:szCs w:val="24"/>
        </w:rPr>
        <w:t xml:space="preserve">r. cykl warsztatów mających na celu wsparcie merytoryczne subregionów przy przygotowaniu strategii rozwoju tych obszarów. </w:t>
      </w:r>
    </w:p>
    <w:p w:rsidR="000A4041" w:rsidRPr="006D71C7" w:rsidRDefault="000A4041" w:rsidP="006D71C7">
      <w:pPr>
        <w:jc w:val="both"/>
        <w:rPr>
          <w:szCs w:val="24"/>
        </w:rPr>
      </w:pPr>
      <w:r w:rsidRPr="006D71C7">
        <w:rPr>
          <w:szCs w:val="24"/>
        </w:rPr>
        <w:t xml:space="preserve">IZ RPO WSL będzie dążyć do kontynuowania programów subregionalnych w ramach przyszłego programu regionalnego. Przewiduje się konieczność wprowadzenia stosownych zmian wynikających z odmiennych uwarunkowań i ewentualnych odmiennych form i zasad wsparcia. </w:t>
      </w:r>
      <w:r w:rsidR="00E83580" w:rsidRPr="006D71C7">
        <w:rPr>
          <w:szCs w:val="24"/>
        </w:rPr>
        <w:t>Orientacja na rezultaty w</w:t>
      </w:r>
      <w:r w:rsidRPr="006D71C7">
        <w:rPr>
          <w:szCs w:val="24"/>
        </w:rPr>
        <w:t>ymagać będzie od benef</w:t>
      </w:r>
      <w:r w:rsidR="00DD0C20" w:rsidRPr="006D71C7">
        <w:rPr>
          <w:szCs w:val="24"/>
        </w:rPr>
        <w:t>icjentów większej dyscypliny we </w:t>
      </w:r>
      <w:r w:rsidRPr="006D71C7">
        <w:rPr>
          <w:szCs w:val="24"/>
        </w:rPr>
        <w:t xml:space="preserve">wdrażaniu programów. </w:t>
      </w:r>
      <w:r w:rsidR="00E83580" w:rsidRPr="006D71C7">
        <w:rPr>
          <w:szCs w:val="24"/>
        </w:rPr>
        <w:t>Dodatkowo n</w:t>
      </w:r>
      <w:r w:rsidRPr="006D71C7">
        <w:rPr>
          <w:szCs w:val="24"/>
        </w:rPr>
        <w:t xml:space="preserve">ależy </w:t>
      </w:r>
      <w:r w:rsidR="00E83580" w:rsidRPr="006D71C7">
        <w:rPr>
          <w:szCs w:val="24"/>
        </w:rPr>
        <w:t xml:space="preserve">w ten sposób </w:t>
      </w:r>
      <w:r w:rsidRPr="006D71C7">
        <w:rPr>
          <w:szCs w:val="24"/>
        </w:rPr>
        <w:t xml:space="preserve">skonstruować zasady postępowania, aby </w:t>
      </w:r>
      <w:r w:rsidR="00E83580" w:rsidRPr="006D71C7">
        <w:rPr>
          <w:szCs w:val="24"/>
        </w:rPr>
        <w:t>PRS</w:t>
      </w:r>
      <w:r w:rsidRPr="006D71C7">
        <w:rPr>
          <w:szCs w:val="24"/>
        </w:rPr>
        <w:t xml:space="preserve"> </w:t>
      </w:r>
      <w:r w:rsidR="00E83580" w:rsidRPr="006D71C7">
        <w:rPr>
          <w:szCs w:val="24"/>
        </w:rPr>
        <w:t xml:space="preserve">z jednej strony dalej były terytorialnie zorientowanym </w:t>
      </w:r>
      <w:r w:rsidRPr="006D71C7">
        <w:rPr>
          <w:szCs w:val="24"/>
        </w:rPr>
        <w:t>instrumentem rozwiązywania najis</w:t>
      </w:r>
      <w:r w:rsidR="00AE00CD" w:rsidRPr="006D71C7">
        <w:rPr>
          <w:szCs w:val="24"/>
        </w:rPr>
        <w:t>totniejszych problemów każdego s</w:t>
      </w:r>
      <w:r w:rsidRPr="006D71C7">
        <w:rPr>
          <w:szCs w:val="24"/>
        </w:rPr>
        <w:t xml:space="preserve">ubregionu, </w:t>
      </w:r>
      <w:r w:rsidR="00E83580" w:rsidRPr="006D71C7">
        <w:rPr>
          <w:szCs w:val="24"/>
        </w:rPr>
        <w:t xml:space="preserve">z drugiej zaś </w:t>
      </w:r>
      <w:r w:rsidR="0085754B" w:rsidRPr="006D71C7">
        <w:rPr>
          <w:szCs w:val="24"/>
        </w:rPr>
        <w:t xml:space="preserve">poprzez minimalizację obciążeń administracyjnych </w:t>
      </w:r>
      <w:r w:rsidRPr="006D71C7">
        <w:rPr>
          <w:szCs w:val="24"/>
        </w:rPr>
        <w:t>przyczyniał</w:t>
      </w:r>
      <w:r w:rsidR="00E83580" w:rsidRPr="006D71C7">
        <w:rPr>
          <w:szCs w:val="24"/>
        </w:rPr>
        <w:t>y</w:t>
      </w:r>
      <w:r w:rsidRPr="006D71C7">
        <w:rPr>
          <w:szCs w:val="24"/>
        </w:rPr>
        <w:t xml:space="preserve"> się do sprawnego wdrażania całego programu operacyjnego.</w:t>
      </w:r>
    </w:p>
    <w:p w:rsidR="00DD0C20" w:rsidRPr="006D71C7" w:rsidRDefault="00097FE9" w:rsidP="006D71C7">
      <w:pPr>
        <w:jc w:val="both"/>
        <w:rPr>
          <w:szCs w:val="24"/>
        </w:rPr>
      </w:pPr>
      <w:r w:rsidRPr="006D71C7">
        <w:rPr>
          <w:szCs w:val="24"/>
        </w:rPr>
        <w:t>Poniżej w tabeli przedstawiono efekty z realizacji poszczególnych PRS – projekty.</w:t>
      </w:r>
    </w:p>
    <w:p w:rsidR="00DD0C20" w:rsidRPr="006D71C7" w:rsidRDefault="00DD0C20" w:rsidP="006D71C7">
      <w:pPr>
        <w:spacing w:after="0" w:line="240" w:lineRule="auto"/>
        <w:jc w:val="both"/>
        <w:rPr>
          <w:szCs w:val="24"/>
        </w:rPr>
      </w:pPr>
      <w:r w:rsidRPr="006D71C7">
        <w:rPr>
          <w:szCs w:val="24"/>
        </w:rPr>
        <w:br w:type="page"/>
      </w:r>
    </w:p>
    <w:p w:rsidR="00097FE9" w:rsidRPr="006D71C7" w:rsidRDefault="00DD0C20" w:rsidP="006D71C7">
      <w:pPr>
        <w:pStyle w:val="Legenda"/>
        <w:jc w:val="both"/>
        <w:rPr>
          <w:color w:val="auto"/>
          <w:sz w:val="20"/>
          <w:szCs w:val="20"/>
        </w:rPr>
      </w:pPr>
      <w:bookmarkStart w:id="110" w:name="_Toc324853695"/>
      <w:bookmarkStart w:id="111" w:name="_Toc326046358"/>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5</w:t>
      </w:r>
      <w:r w:rsidR="008F7228" w:rsidRPr="006D71C7">
        <w:rPr>
          <w:color w:val="auto"/>
          <w:sz w:val="20"/>
          <w:szCs w:val="20"/>
        </w:rPr>
        <w:fldChar w:fldCharType="end"/>
      </w:r>
      <w:r w:rsidRPr="006D71C7">
        <w:rPr>
          <w:color w:val="auto"/>
          <w:sz w:val="20"/>
          <w:szCs w:val="20"/>
        </w:rPr>
        <w:t xml:space="preserve"> </w:t>
      </w:r>
      <w:r w:rsidR="00F26B25" w:rsidRPr="006D71C7">
        <w:rPr>
          <w:b w:val="0"/>
          <w:i/>
          <w:color w:val="auto"/>
          <w:sz w:val="20"/>
          <w:szCs w:val="20"/>
        </w:rPr>
        <w:t>Efekty z realizacji projektów w ramach PRS</w:t>
      </w:r>
      <w:bookmarkEnd w:id="110"/>
      <w:bookmarkEnd w:id="111"/>
      <w:r w:rsidR="00F26B25" w:rsidRPr="006D71C7">
        <w:rPr>
          <w:b w:val="0"/>
          <w:i/>
          <w:color w:val="auto"/>
          <w:sz w:val="20"/>
          <w:szCs w:val="20"/>
        </w:rPr>
        <w:t xml:space="preserve">   </w:t>
      </w:r>
    </w:p>
    <w:tbl>
      <w:tblPr>
        <w:tblStyle w:val="redniasiatka3akcent1"/>
        <w:tblW w:w="9039" w:type="dxa"/>
        <w:jc w:val="center"/>
        <w:shd w:val="clear" w:color="auto" w:fill="F4B29B" w:themeFill="accent1" w:themeFillTint="66"/>
        <w:tblLook w:val="04A0" w:firstRow="1" w:lastRow="0" w:firstColumn="1" w:lastColumn="0" w:noHBand="0" w:noVBand="1"/>
      </w:tblPr>
      <w:tblGrid>
        <w:gridCol w:w="1809"/>
        <w:gridCol w:w="7230"/>
      </w:tblGrid>
      <w:tr w:rsidR="00097FE9" w:rsidRPr="00305508" w:rsidTr="00C74054">
        <w:trPr>
          <w:cnfStyle w:val="100000000000" w:firstRow="1" w:lastRow="0" w:firstColumn="0" w:lastColumn="0" w:oddVBand="0" w:evenVBand="0" w:oddHBand="0"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F4B29B" w:themeFill="accent1" w:themeFillTint="66"/>
            <w:vAlign w:val="center"/>
          </w:tcPr>
          <w:p w:rsidR="00097FE9" w:rsidRPr="00305508" w:rsidRDefault="00097FE9" w:rsidP="00C74054">
            <w:pPr>
              <w:spacing w:after="0" w:line="240" w:lineRule="auto"/>
              <w:jc w:val="center"/>
              <w:rPr>
                <w:color w:val="auto"/>
                <w:sz w:val="20"/>
                <w:szCs w:val="20"/>
              </w:rPr>
            </w:pPr>
            <w:r w:rsidRPr="00305508">
              <w:rPr>
                <w:color w:val="auto"/>
                <w:sz w:val="20"/>
                <w:szCs w:val="20"/>
              </w:rPr>
              <w:t>SUBREGION</w:t>
            </w:r>
          </w:p>
        </w:tc>
        <w:tc>
          <w:tcPr>
            <w:tcW w:w="7230" w:type="dxa"/>
            <w:shd w:val="clear" w:color="auto" w:fill="F4B29B" w:themeFill="accent1" w:themeFillTint="66"/>
            <w:vAlign w:val="center"/>
          </w:tcPr>
          <w:p w:rsidR="00097FE9" w:rsidRPr="00305508" w:rsidRDefault="00097FE9" w:rsidP="00C7405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05508">
              <w:rPr>
                <w:color w:val="auto"/>
                <w:sz w:val="20"/>
                <w:szCs w:val="20"/>
              </w:rPr>
              <w:t>EFEKTY</w:t>
            </w:r>
          </w:p>
        </w:tc>
      </w:tr>
      <w:tr w:rsidR="0051588A" w:rsidRPr="00305508" w:rsidTr="00C740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F4B29B" w:themeFill="accent1" w:themeFillTint="66"/>
            <w:vAlign w:val="center"/>
          </w:tcPr>
          <w:p w:rsidR="0051588A" w:rsidRPr="00305508" w:rsidRDefault="0051588A" w:rsidP="0051588A">
            <w:pPr>
              <w:spacing w:after="0" w:line="240" w:lineRule="auto"/>
              <w:jc w:val="both"/>
              <w:rPr>
                <w:color w:val="auto"/>
                <w:sz w:val="20"/>
                <w:szCs w:val="20"/>
              </w:rPr>
            </w:pPr>
            <w:r w:rsidRPr="00305508">
              <w:rPr>
                <w:color w:val="auto"/>
                <w:sz w:val="20"/>
                <w:szCs w:val="20"/>
              </w:rPr>
              <w:t>Subregion Centralny</w:t>
            </w:r>
          </w:p>
        </w:tc>
        <w:tc>
          <w:tcPr>
            <w:tcW w:w="7230" w:type="dxa"/>
            <w:tcBorders>
              <w:top w:val="single" w:sz="24" w:space="0" w:color="FFFFFF" w:themeColor="background1"/>
            </w:tcBorders>
            <w:shd w:val="clear" w:color="auto" w:fill="F9D8CD" w:themeFill="accent1" w:themeFillTint="33"/>
          </w:tcPr>
          <w:p w:rsidR="00760EB8" w:rsidRDefault="0051588A">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rPr>
              <w:t>Działania wsparte w ramach Programu to przede wszystkim</w:t>
            </w:r>
            <w:r w:rsidRPr="00733548">
              <w:rPr>
                <w:sz w:val="20"/>
              </w:rPr>
              <w:t xml:space="preserve"> budowa społeczeństwa informacyjnego w subregionie</w:t>
            </w:r>
            <w:r>
              <w:rPr>
                <w:sz w:val="20"/>
              </w:rPr>
              <w:t xml:space="preserve">. </w:t>
            </w:r>
            <w:r w:rsidRPr="00733548">
              <w:rPr>
                <w:sz w:val="20"/>
              </w:rPr>
              <w:t xml:space="preserve">Do najważniejszych, ale bardzo trudnych w realizacji projektów można zaliczyć </w:t>
            </w:r>
            <w:r w:rsidRPr="00733548">
              <w:rPr>
                <w:i/>
                <w:sz w:val="20"/>
              </w:rPr>
              <w:t>Śląską Kartę Usług Publicznych</w:t>
            </w:r>
            <w:r>
              <w:rPr>
                <w:i/>
                <w:sz w:val="20"/>
              </w:rPr>
              <w:t xml:space="preserve">. </w:t>
            </w:r>
            <w:r w:rsidRPr="00DE5D59">
              <w:rPr>
                <w:sz w:val="20"/>
              </w:rPr>
              <w:t xml:space="preserve">Ponadto </w:t>
            </w:r>
            <w:r>
              <w:rPr>
                <w:sz w:val="20"/>
              </w:rPr>
              <w:t xml:space="preserve">znaczną ilość środków przeznaczono na realizację projektów z zakresu ochrony środowiska </w:t>
            </w:r>
            <w:r w:rsidRPr="00733548">
              <w:rPr>
                <w:sz w:val="20"/>
              </w:rPr>
              <w:t xml:space="preserve">oraz </w:t>
            </w:r>
            <w:r>
              <w:rPr>
                <w:sz w:val="20"/>
              </w:rPr>
              <w:t>sieci</w:t>
            </w:r>
            <w:r w:rsidRPr="00DE5D59">
              <w:rPr>
                <w:sz w:val="20"/>
              </w:rPr>
              <w:t xml:space="preserve"> tras rowerowych</w:t>
            </w:r>
            <w:r>
              <w:rPr>
                <w:sz w:val="20"/>
              </w:rPr>
              <w:t xml:space="preserve"> -</w:t>
            </w:r>
            <w:r w:rsidRPr="00DE5D59">
              <w:rPr>
                <w:sz w:val="20"/>
              </w:rPr>
              <w:t xml:space="preserve"> </w:t>
            </w:r>
            <w:r>
              <w:rPr>
                <w:sz w:val="20"/>
              </w:rPr>
              <w:t>infrastruktury</w:t>
            </w:r>
            <w:r w:rsidRPr="00DE5D59">
              <w:rPr>
                <w:sz w:val="20"/>
              </w:rPr>
              <w:t xml:space="preserve"> aktywnych form turystyki</w:t>
            </w:r>
            <w:r w:rsidRPr="00733548">
              <w:rPr>
                <w:sz w:val="20"/>
              </w:rPr>
              <w:t xml:space="preserve"> </w:t>
            </w:r>
            <w:r>
              <w:rPr>
                <w:sz w:val="20"/>
              </w:rPr>
              <w:t>na obszarze miast Aglomeracji Katowickiej oraz Jury Krakowsko-Częstochowskiej.</w:t>
            </w:r>
            <w:r w:rsidRPr="00733548">
              <w:rPr>
                <w:sz w:val="20"/>
              </w:rPr>
              <w:t xml:space="preserve"> </w:t>
            </w:r>
          </w:p>
        </w:tc>
      </w:tr>
      <w:tr w:rsidR="0051588A" w:rsidRPr="00305508" w:rsidTr="00C74054">
        <w:trPr>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F4B29B" w:themeFill="accent1" w:themeFillTint="66"/>
            <w:vAlign w:val="center"/>
          </w:tcPr>
          <w:p w:rsidR="0051588A" w:rsidRPr="00305508" w:rsidRDefault="0051588A" w:rsidP="0051588A">
            <w:pPr>
              <w:spacing w:after="0" w:line="240" w:lineRule="auto"/>
              <w:jc w:val="both"/>
              <w:rPr>
                <w:color w:val="auto"/>
                <w:sz w:val="20"/>
                <w:szCs w:val="20"/>
              </w:rPr>
            </w:pPr>
            <w:r w:rsidRPr="00305508">
              <w:rPr>
                <w:color w:val="auto"/>
                <w:sz w:val="20"/>
                <w:szCs w:val="20"/>
              </w:rPr>
              <w:t>Subregion Południowy</w:t>
            </w:r>
          </w:p>
        </w:tc>
        <w:tc>
          <w:tcPr>
            <w:tcW w:w="7230" w:type="dxa"/>
            <w:tcBorders>
              <w:top w:val="single" w:sz="8" w:space="0" w:color="FFFFFF" w:themeColor="background1"/>
              <w:bottom w:val="single" w:sz="8" w:space="0" w:color="FFFFFF" w:themeColor="background1"/>
            </w:tcBorders>
            <w:shd w:val="clear" w:color="auto" w:fill="F9D8CD" w:themeFill="accent1" w:themeFillTint="33"/>
          </w:tcPr>
          <w:p w:rsidR="00760EB8" w:rsidRDefault="0051588A">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Środki przeznaczono głównie na poprawę spójności lokalnej infrastruktury drogowej. </w:t>
            </w:r>
            <w:r w:rsidRPr="00733548">
              <w:rPr>
                <w:sz w:val="20"/>
              </w:rPr>
              <w:t>Największym projektem w ramach subregionu jest</w:t>
            </w:r>
            <w:r>
              <w:rPr>
                <w:sz w:val="20"/>
              </w:rPr>
              <w:t xml:space="preserve"> natomiast </w:t>
            </w:r>
            <w:r w:rsidRPr="00733548">
              <w:rPr>
                <w:sz w:val="20"/>
              </w:rPr>
              <w:t>wybudowanie przez miasto Bielsko – Biała</w:t>
            </w:r>
            <w:r>
              <w:rPr>
                <w:sz w:val="20"/>
              </w:rPr>
              <w:t xml:space="preserve"> wielofunkcyjnej hali sportowo-widowiskowo-</w:t>
            </w:r>
            <w:r w:rsidRPr="00733548">
              <w:rPr>
                <w:sz w:val="20"/>
              </w:rPr>
              <w:t xml:space="preserve"> wystawienniczej. </w:t>
            </w:r>
            <w:r>
              <w:rPr>
                <w:sz w:val="20"/>
              </w:rPr>
              <w:t>Istotnym efektem realizacji Programu jest również rewitalizacja obszarów małych miast.</w:t>
            </w:r>
          </w:p>
        </w:tc>
      </w:tr>
      <w:tr w:rsidR="0051588A" w:rsidRPr="00305508" w:rsidTr="00C74054">
        <w:trPr>
          <w:cnfStyle w:val="000000100000" w:firstRow="0" w:lastRow="0" w:firstColumn="0" w:lastColumn="0" w:oddVBand="0" w:evenVBand="0" w:oddHBand="1" w:evenHBand="0" w:firstRowFirstColumn="0" w:firstRowLastColumn="0" w:lastRowFirstColumn="0" w:lastRowLastColumn="0"/>
          <w:trHeight w:val="114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F4B29B" w:themeFill="accent1" w:themeFillTint="66"/>
            <w:vAlign w:val="center"/>
          </w:tcPr>
          <w:p w:rsidR="0051588A" w:rsidRPr="00305508" w:rsidRDefault="0051588A" w:rsidP="0051588A">
            <w:pPr>
              <w:spacing w:after="0" w:line="240" w:lineRule="auto"/>
              <w:jc w:val="both"/>
              <w:rPr>
                <w:color w:val="auto"/>
                <w:sz w:val="20"/>
                <w:szCs w:val="20"/>
              </w:rPr>
            </w:pPr>
            <w:r w:rsidRPr="00305508">
              <w:rPr>
                <w:color w:val="auto"/>
                <w:sz w:val="20"/>
                <w:szCs w:val="20"/>
              </w:rPr>
              <w:t>Subregion Północny</w:t>
            </w:r>
          </w:p>
        </w:tc>
        <w:tc>
          <w:tcPr>
            <w:tcW w:w="7230" w:type="dxa"/>
            <w:shd w:val="clear" w:color="auto" w:fill="F9D8CD" w:themeFill="accent1" w:themeFillTint="33"/>
          </w:tcPr>
          <w:p w:rsidR="00760EB8" w:rsidRDefault="0051588A">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i/>
                <w:sz w:val="20"/>
                <w:szCs w:val="20"/>
              </w:rPr>
            </w:pPr>
            <w:r w:rsidRPr="00733548">
              <w:rPr>
                <w:sz w:val="20"/>
              </w:rPr>
              <w:t xml:space="preserve">W subregionie dużą wagę położono na projekty transportowe, </w:t>
            </w:r>
            <w:r>
              <w:rPr>
                <w:sz w:val="20"/>
              </w:rPr>
              <w:t xml:space="preserve">rozwoju społeczeństwa informacyjnego oraz rewitalizacyjne. Największym przedsięwzięciem jest </w:t>
            </w:r>
            <w:r>
              <w:rPr>
                <w:i/>
                <w:sz w:val="20"/>
              </w:rPr>
              <w:t>B</w:t>
            </w:r>
            <w:r w:rsidRPr="00F33FCF">
              <w:rPr>
                <w:i/>
                <w:sz w:val="20"/>
              </w:rPr>
              <w:t>udowa hali sportowej wielofunkcyjnej w Częstochowie</w:t>
            </w:r>
            <w:r>
              <w:rPr>
                <w:sz w:val="20"/>
              </w:rPr>
              <w:t xml:space="preserve">. Bardzo istotnym projektem jest również </w:t>
            </w:r>
            <w:r>
              <w:rPr>
                <w:i/>
                <w:sz w:val="20"/>
              </w:rPr>
              <w:t>B</w:t>
            </w:r>
            <w:r w:rsidRPr="00F33FCF">
              <w:rPr>
                <w:i/>
                <w:sz w:val="20"/>
              </w:rPr>
              <w:t>udowa infrastruktury informatycznej dla Subregionu Północnego</w:t>
            </w:r>
            <w:r>
              <w:rPr>
                <w:i/>
                <w:sz w:val="20"/>
              </w:rPr>
              <w:t xml:space="preserve"> E-region Częstochowski</w:t>
            </w:r>
            <w:r w:rsidRPr="00F33FCF">
              <w:rPr>
                <w:sz w:val="20"/>
              </w:rPr>
              <w:t>, który przewiduje połączenie</w:t>
            </w:r>
            <w:r>
              <w:rPr>
                <w:sz w:val="20"/>
              </w:rPr>
              <w:t xml:space="preserve"> siecią szerokopasmowego dostępu do Internetu niemal wszystkich gmin subregionu.</w:t>
            </w:r>
          </w:p>
        </w:tc>
      </w:tr>
      <w:tr w:rsidR="0051588A" w:rsidRPr="00305508" w:rsidTr="00C74054">
        <w:trPr>
          <w:trHeight w:val="120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F4B29B" w:themeFill="accent1" w:themeFillTint="66"/>
            <w:vAlign w:val="center"/>
          </w:tcPr>
          <w:p w:rsidR="0051588A" w:rsidRPr="00305508" w:rsidRDefault="0051588A" w:rsidP="0051588A">
            <w:pPr>
              <w:spacing w:after="0" w:line="240" w:lineRule="auto"/>
              <w:jc w:val="both"/>
              <w:rPr>
                <w:color w:val="auto"/>
                <w:sz w:val="20"/>
                <w:szCs w:val="20"/>
              </w:rPr>
            </w:pPr>
            <w:r w:rsidRPr="00305508">
              <w:rPr>
                <w:color w:val="auto"/>
                <w:sz w:val="20"/>
                <w:szCs w:val="20"/>
              </w:rPr>
              <w:t>Subregion Zachodni</w:t>
            </w:r>
          </w:p>
        </w:tc>
        <w:tc>
          <w:tcPr>
            <w:tcW w:w="7230"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51588A" w:rsidP="00C43B7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Realizowane projekty obejmują głównie obszar infrastruktury drogowej oraz rewitalizacji. Ponadto sporą część środków przeznaczono na realizację budowy społeczeństwa informacyjnego. Największym projektem jest </w:t>
            </w:r>
            <w:r w:rsidRPr="00497FC3">
              <w:rPr>
                <w:i/>
                <w:sz w:val="20"/>
              </w:rPr>
              <w:t>Utworzenie Centrum Dziedzictwa Bramy Morawskiej na Zamku Piastowskim w Raciborzu</w:t>
            </w:r>
            <w:r>
              <w:rPr>
                <w:sz w:val="20"/>
              </w:rPr>
              <w:t xml:space="preserve">. </w:t>
            </w:r>
          </w:p>
          <w:p w:rsidR="00760EB8" w:rsidRDefault="00760EB8">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r>
    </w:tbl>
    <w:p w:rsidR="002E76DD" w:rsidRPr="006D71C7" w:rsidRDefault="002E76DD" w:rsidP="006D71C7">
      <w:pPr>
        <w:pStyle w:val="Akapitzlist"/>
        <w:ind w:left="0"/>
        <w:jc w:val="both"/>
        <w:rPr>
          <w:b/>
          <w:i/>
          <w:szCs w:val="24"/>
          <w:lang w:eastAsia="ar-SA"/>
        </w:rPr>
      </w:pPr>
    </w:p>
    <w:p w:rsidR="00EA4EFC" w:rsidRPr="006D71C7" w:rsidRDefault="00A722EA" w:rsidP="006D71C7">
      <w:pPr>
        <w:pStyle w:val="Akapitzlist"/>
        <w:ind w:left="0"/>
        <w:jc w:val="both"/>
        <w:rPr>
          <w:b/>
          <w:i/>
          <w:szCs w:val="24"/>
          <w:lang w:eastAsia="ar-SA"/>
        </w:rPr>
      </w:pPr>
      <w:r w:rsidRPr="006D71C7">
        <w:rPr>
          <w:b/>
          <w:i/>
          <w:szCs w:val="24"/>
          <w:lang w:eastAsia="ar-SA"/>
        </w:rPr>
        <w:t>Informacje nt. konkursów</w:t>
      </w:r>
    </w:p>
    <w:p w:rsidR="005D115D" w:rsidRPr="006D71C7" w:rsidRDefault="00AD3605" w:rsidP="006D71C7">
      <w:pPr>
        <w:autoSpaceDE w:val="0"/>
        <w:autoSpaceDN w:val="0"/>
        <w:adjustRightInd w:val="0"/>
        <w:spacing w:after="0"/>
        <w:jc w:val="both"/>
        <w:rPr>
          <w:rFonts w:eastAsia="Calibri"/>
          <w:szCs w:val="24"/>
        </w:rPr>
      </w:pPr>
      <w:r w:rsidRPr="006D71C7">
        <w:rPr>
          <w:szCs w:val="24"/>
        </w:rPr>
        <w:t>Od uruchomienia</w:t>
      </w:r>
      <w:r w:rsidR="007338BD" w:rsidRPr="006D71C7">
        <w:rPr>
          <w:i/>
          <w:szCs w:val="24"/>
        </w:rPr>
        <w:t xml:space="preserve"> Programu</w:t>
      </w:r>
      <w:r w:rsidRPr="006D71C7">
        <w:rPr>
          <w:szCs w:val="24"/>
        </w:rPr>
        <w:t xml:space="preserve"> ogłoszono 72 konkursy z czego 10 w</w:t>
      </w:r>
      <w:r w:rsidR="00492133" w:rsidRPr="006D71C7">
        <w:rPr>
          <w:szCs w:val="24"/>
        </w:rPr>
        <w:t xml:space="preserve"> okresie sprawozdawczym</w:t>
      </w:r>
      <w:r w:rsidR="00060F07" w:rsidRPr="006D71C7">
        <w:rPr>
          <w:szCs w:val="24"/>
        </w:rPr>
        <w:t xml:space="preserve">. </w:t>
      </w:r>
      <w:r w:rsidR="00943B0F" w:rsidRPr="006D71C7">
        <w:rPr>
          <w:szCs w:val="24"/>
          <w:lang w:eastAsia="ko-KR"/>
        </w:rPr>
        <w:t xml:space="preserve">Na konkursy w 2011 roku przeznaczono alokację (dofinansowanie z EFRR) w wysokości </w:t>
      </w:r>
      <w:r w:rsidR="007338BD" w:rsidRPr="006D71C7">
        <w:rPr>
          <w:szCs w:val="24"/>
          <w:lang w:eastAsia="ko-KR"/>
        </w:rPr>
        <w:t>163,61 mln EUR</w:t>
      </w:r>
      <w:r w:rsidR="00943B0F" w:rsidRPr="006D71C7">
        <w:rPr>
          <w:szCs w:val="24"/>
          <w:lang w:eastAsia="ko-KR"/>
        </w:rPr>
        <w:t xml:space="preserve">, co stanowiło 18,14% alokacji zaplanowanej w ramach RPO WSL </w:t>
      </w:r>
      <w:r w:rsidR="000A4041" w:rsidRPr="006D71C7">
        <w:rPr>
          <w:szCs w:val="24"/>
          <w:lang w:eastAsia="ko-KR"/>
        </w:rPr>
        <w:t>(z </w:t>
      </w:r>
      <w:r w:rsidR="00943B0F" w:rsidRPr="006D71C7">
        <w:rPr>
          <w:szCs w:val="24"/>
          <w:lang w:eastAsia="ko-KR"/>
        </w:rPr>
        <w:t xml:space="preserve">wyłączeniem </w:t>
      </w:r>
      <w:r w:rsidR="002E76DD" w:rsidRPr="006D71C7">
        <w:rPr>
          <w:szCs w:val="24"/>
          <w:lang w:eastAsia="ko-KR"/>
        </w:rPr>
        <w:t>priorytetu</w:t>
      </w:r>
      <w:r w:rsidR="00943B0F" w:rsidRPr="006D71C7">
        <w:rPr>
          <w:szCs w:val="24"/>
          <w:lang w:eastAsia="ko-KR"/>
        </w:rPr>
        <w:t xml:space="preserve"> </w:t>
      </w:r>
      <w:r w:rsidR="00943B0F" w:rsidRPr="006D71C7">
        <w:rPr>
          <w:i/>
          <w:szCs w:val="24"/>
          <w:lang w:eastAsia="ko-KR"/>
        </w:rPr>
        <w:t>X Pomoc techniczna</w:t>
      </w:r>
      <w:r w:rsidR="00943B0F" w:rsidRPr="006D71C7">
        <w:rPr>
          <w:szCs w:val="24"/>
          <w:lang w:eastAsia="ko-KR"/>
        </w:rPr>
        <w:t xml:space="preserve"> </w:t>
      </w:r>
      <w:r w:rsidR="005B055E" w:rsidRPr="006D71C7">
        <w:rPr>
          <w:szCs w:val="24"/>
          <w:lang w:eastAsia="ko-KR"/>
        </w:rPr>
        <w:t>w ramach której nie są ogłaszane konkursy</w:t>
      </w:r>
      <w:r w:rsidR="00943B0F" w:rsidRPr="006D71C7">
        <w:rPr>
          <w:szCs w:val="24"/>
          <w:lang w:eastAsia="ko-KR"/>
        </w:rPr>
        <w:t xml:space="preserve">). </w:t>
      </w:r>
      <w:r w:rsidR="000A4041" w:rsidRPr="006D71C7">
        <w:rPr>
          <w:szCs w:val="24"/>
        </w:rPr>
        <w:t>Do </w:t>
      </w:r>
      <w:r w:rsidR="0050379D" w:rsidRPr="006D71C7">
        <w:rPr>
          <w:szCs w:val="24"/>
        </w:rPr>
        <w:t xml:space="preserve">ogłoszenia </w:t>
      </w:r>
      <w:r w:rsidR="005B055E" w:rsidRPr="006D71C7">
        <w:rPr>
          <w:szCs w:val="24"/>
        </w:rPr>
        <w:t>w 2012 roku wg. harmonogramu na koniec 2011 roku pozostały tylko dwa konkursy,</w:t>
      </w:r>
      <w:r w:rsidR="0050379D" w:rsidRPr="006D71C7">
        <w:rPr>
          <w:szCs w:val="24"/>
        </w:rPr>
        <w:t xml:space="preserve"> </w:t>
      </w:r>
      <w:r w:rsidR="005B055E" w:rsidRPr="006D71C7">
        <w:rPr>
          <w:szCs w:val="24"/>
        </w:rPr>
        <w:t xml:space="preserve">jednak w związku z powstającymi oszczędnościami IZ RPO WSL może podjąć decyzję o ogłoszeniu dodatkowych konkursów. </w:t>
      </w:r>
      <w:r w:rsidR="000A4041" w:rsidRPr="006D71C7">
        <w:rPr>
          <w:rFonts w:eastAsia="Calibri"/>
          <w:szCs w:val="24"/>
        </w:rPr>
        <w:t xml:space="preserve">Zestawienie przeprowadzonych naborów w podziale na instytucje przedstawiono </w:t>
      </w:r>
      <w:r w:rsidR="005B055E" w:rsidRPr="006D71C7">
        <w:rPr>
          <w:rFonts w:eastAsia="Calibri"/>
          <w:szCs w:val="24"/>
        </w:rPr>
        <w:t>poniżej w tabeli.</w:t>
      </w:r>
      <w:r w:rsidR="000A4041" w:rsidRPr="006D71C7">
        <w:rPr>
          <w:rFonts w:eastAsia="Calibri"/>
          <w:i/>
          <w:iCs/>
          <w:szCs w:val="24"/>
        </w:rPr>
        <w:t xml:space="preserve"> </w:t>
      </w:r>
      <w:r w:rsidR="000A4041" w:rsidRPr="006D71C7">
        <w:rPr>
          <w:rFonts w:eastAsia="Calibri"/>
          <w:szCs w:val="24"/>
        </w:rPr>
        <w:t>Ponadto, bardziej szczegółowe informacje zostały zawarte w opisach stanu wdrażania poszczególnych</w:t>
      </w:r>
      <w:r w:rsidR="000A4041" w:rsidRPr="006D71C7">
        <w:rPr>
          <w:rFonts w:eastAsia="Calibri"/>
          <w:i/>
          <w:iCs/>
          <w:szCs w:val="24"/>
        </w:rPr>
        <w:t xml:space="preserve"> </w:t>
      </w:r>
      <w:r w:rsidR="000A4041" w:rsidRPr="006D71C7">
        <w:rPr>
          <w:rFonts w:eastAsia="Calibri"/>
          <w:szCs w:val="24"/>
        </w:rPr>
        <w:t>priorytetów.</w:t>
      </w:r>
    </w:p>
    <w:p w:rsidR="000A4041" w:rsidRPr="006D71C7" w:rsidRDefault="000A4041" w:rsidP="006D71C7">
      <w:pPr>
        <w:autoSpaceDE w:val="0"/>
        <w:autoSpaceDN w:val="0"/>
        <w:adjustRightInd w:val="0"/>
        <w:spacing w:after="0"/>
        <w:jc w:val="both"/>
        <w:rPr>
          <w:rFonts w:eastAsia="Calibri"/>
          <w:i/>
          <w:iCs/>
          <w:szCs w:val="24"/>
        </w:rPr>
      </w:pPr>
    </w:p>
    <w:p w:rsidR="000A4041" w:rsidRPr="006D71C7" w:rsidRDefault="001E656A" w:rsidP="006D71C7">
      <w:pPr>
        <w:pStyle w:val="Legenda"/>
        <w:jc w:val="both"/>
        <w:rPr>
          <w:color w:val="auto"/>
          <w:sz w:val="20"/>
          <w:szCs w:val="20"/>
        </w:rPr>
      </w:pPr>
      <w:bookmarkStart w:id="112" w:name="_Toc324853696"/>
      <w:bookmarkStart w:id="113" w:name="_Toc326046359"/>
      <w:r w:rsidRPr="006D71C7">
        <w:rPr>
          <w:color w:val="auto"/>
          <w:sz w:val="20"/>
          <w:szCs w:val="20"/>
        </w:rPr>
        <w:t>Tabela</w:t>
      </w:r>
      <w:r w:rsidR="000A4041" w:rsidRPr="006D71C7">
        <w:rPr>
          <w:color w:val="auto"/>
          <w:sz w:val="20"/>
          <w:szCs w:val="20"/>
        </w:rPr>
        <w:t xml:space="preserve">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6</w:t>
      </w:r>
      <w:r w:rsidR="008F7228" w:rsidRPr="006D71C7">
        <w:rPr>
          <w:color w:val="auto"/>
          <w:sz w:val="20"/>
          <w:szCs w:val="20"/>
        </w:rPr>
        <w:fldChar w:fldCharType="end"/>
      </w:r>
      <w:r w:rsidR="000A4041" w:rsidRPr="006D71C7">
        <w:rPr>
          <w:color w:val="auto"/>
          <w:sz w:val="20"/>
          <w:szCs w:val="20"/>
        </w:rPr>
        <w:t xml:space="preserve"> </w:t>
      </w:r>
      <w:r w:rsidR="007338BD" w:rsidRPr="006D71C7">
        <w:rPr>
          <w:b w:val="0"/>
          <w:i/>
          <w:color w:val="auto"/>
          <w:sz w:val="20"/>
          <w:szCs w:val="20"/>
        </w:rPr>
        <w:t>Zestawienie</w:t>
      </w:r>
      <w:r w:rsidR="00460F49" w:rsidRPr="006D71C7">
        <w:rPr>
          <w:color w:val="auto"/>
          <w:sz w:val="20"/>
          <w:szCs w:val="20"/>
        </w:rPr>
        <w:t xml:space="preserve"> </w:t>
      </w:r>
      <w:r w:rsidR="00460F49" w:rsidRPr="006D71C7">
        <w:rPr>
          <w:b w:val="0"/>
          <w:i/>
          <w:color w:val="auto"/>
          <w:sz w:val="20"/>
          <w:szCs w:val="20"/>
        </w:rPr>
        <w:t>n</w:t>
      </w:r>
      <w:r w:rsidR="000A4041" w:rsidRPr="006D71C7">
        <w:rPr>
          <w:b w:val="0"/>
          <w:i/>
          <w:color w:val="auto"/>
          <w:sz w:val="20"/>
          <w:szCs w:val="20"/>
        </w:rPr>
        <w:t>abor</w:t>
      </w:r>
      <w:r w:rsidR="009762DB" w:rsidRPr="006D71C7">
        <w:rPr>
          <w:b w:val="0"/>
          <w:i/>
          <w:color w:val="auto"/>
          <w:sz w:val="20"/>
          <w:szCs w:val="20"/>
        </w:rPr>
        <w:t>ów</w:t>
      </w:r>
      <w:r w:rsidR="000A4041" w:rsidRPr="006D71C7">
        <w:rPr>
          <w:b w:val="0"/>
          <w:i/>
          <w:color w:val="auto"/>
          <w:sz w:val="20"/>
          <w:szCs w:val="20"/>
        </w:rPr>
        <w:t xml:space="preserve"> w ramach RPO WSL</w:t>
      </w:r>
      <w:r w:rsidR="000A4041" w:rsidRPr="006D71C7">
        <w:rPr>
          <w:color w:val="auto"/>
          <w:sz w:val="20"/>
          <w:szCs w:val="20"/>
        </w:rPr>
        <w:t xml:space="preserve"> </w:t>
      </w:r>
      <w:r w:rsidR="007338BD" w:rsidRPr="006D71C7">
        <w:rPr>
          <w:b w:val="0"/>
          <w:i/>
          <w:color w:val="auto"/>
          <w:sz w:val="20"/>
          <w:szCs w:val="20"/>
        </w:rPr>
        <w:t>w podziale na instytucje</w:t>
      </w:r>
      <w:r w:rsidR="00460F49" w:rsidRPr="006D71C7">
        <w:rPr>
          <w:b w:val="0"/>
          <w:i/>
          <w:color w:val="auto"/>
          <w:sz w:val="20"/>
          <w:szCs w:val="20"/>
        </w:rPr>
        <w:t xml:space="preserve"> i okres</w:t>
      </w:r>
      <w:bookmarkEnd w:id="112"/>
      <w:bookmarkEnd w:id="113"/>
    </w:p>
    <w:tbl>
      <w:tblPr>
        <w:tblStyle w:val="redniasiatka3akcent1"/>
        <w:tblW w:w="8897" w:type="dxa"/>
        <w:jc w:val="center"/>
        <w:shd w:val="clear" w:color="auto" w:fill="F4B29B" w:themeFill="accent1" w:themeFillTint="66"/>
        <w:tblLook w:val="04A0" w:firstRow="1" w:lastRow="0" w:firstColumn="1" w:lastColumn="0" w:noHBand="0" w:noVBand="1"/>
      </w:tblPr>
      <w:tblGrid>
        <w:gridCol w:w="1526"/>
        <w:gridCol w:w="1417"/>
        <w:gridCol w:w="1276"/>
        <w:gridCol w:w="1134"/>
        <w:gridCol w:w="992"/>
        <w:gridCol w:w="1276"/>
        <w:gridCol w:w="1276"/>
      </w:tblGrid>
      <w:tr w:rsidR="000A4041" w:rsidRPr="00305508" w:rsidTr="00C74054">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F4B29B" w:themeFill="accent1" w:themeFillTint="66"/>
            <w:noWrap/>
            <w:vAlign w:val="center"/>
            <w:hideMark/>
          </w:tcPr>
          <w:p w:rsidR="000A4041" w:rsidRPr="00305508" w:rsidRDefault="000A4041" w:rsidP="006D71C7">
            <w:pPr>
              <w:spacing w:after="0" w:line="240" w:lineRule="auto"/>
              <w:jc w:val="both"/>
              <w:rPr>
                <w:color w:val="auto"/>
                <w:sz w:val="20"/>
                <w:szCs w:val="20"/>
              </w:rPr>
            </w:pPr>
          </w:p>
        </w:tc>
        <w:tc>
          <w:tcPr>
            <w:tcW w:w="2693" w:type="dxa"/>
            <w:gridSpan w:val="2"/>
            <w:shd w:val="clear" w:color="auto" w:fill="F4B29B" w:themeFill="accent1" w:themeFillTint="66"/>
            <w:noWrap/>
            <w:vAlign w:val="center"/>
            <w:hideMark/>
          </w:tcPr>
          <w:p w:rsidR="000A4041" w:rsidRPr="00305508" w:rsidRDefault="000A4041" w:rsidP="006D71C7">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rPr>
            </w:pPr>
            <w:r w:rsidRPr="00305508">
              <w:rPr>
                <w:color w:val="auto"/>
                <w:sz w:val="20"/>
                <w:szCs w:val="20"/>
              </w:rPr>
              <w:t>od uruchomienia Programu</w:t>
            </w:r>
          </w:p>
        </w:tc>
        <w:tc>
          <w:tcPr>
            <w:tcW w:w="2126" w:type="dxa"/>
            <w:gridSpan w:val="2"/>
            <w:shd w:val="clear" w:color="auto" w:fill="F4B29B" w:themeFill="accent1" w:themeFillTint="66"/>
            <w:noWrap/>
            <w:vAlign w:val="center"/>
            <w:hideMark/>
          </w:tcPr>
          <w:p w:rsidR="000A4041" w:rsidRPr="00305508" w:rsidRDefault="000A4041" w:rsidP="006D71C7">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rPr>
            </w:pPr>
            <w:r w:rsidRPr="00305508">
              <w:rPr>
                <w:color w:val="auto"/>
                <w:sz w:val="20"/>
                <w:szCs w:val="20"/>
              </w:rPr>
              <w:t>w 2011 roku</w:t>
            </w:r>
          </w:p>
        </w:tc>
        <w:tc>
          <w:tcPr>
            <w:tcW w:w="2552" w:type="dxa"/>
            <w:gridSpan w:val="2"/>
            <w:shd w:val="clear" w:color="auto" w:fill="F4B29B" w:themeFill="accent1" w:themeFillTint="66"/>
            <w:noWrap/>
            <w:vAlign w:val="center"/>
            <w:hideMark/>
          </w:tcPr>
          <w:p w:rsidR="000A4041" w:rsidRPr="00305508" w:rsidRDefault="000A4041" w:rsidP="006D71C7">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rPr>
            </w:pPr>
            <w:r w:rsidRPr="00305508">
              <w:rPr>
                <w:color w:val="auto"/>
                <w:sz w:val="20"/>
                <w:szCs w:val="20"/>
              </w:rPr>
              <w:t>planowane w 2012</w:t>
            </w:r>
          </w:p>
        </w:tc>
      </w:tr>
      <w:tr w:rsidR="000A4041" w:rsidRPr="00305508" w:rsidTr="00C74054">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F4B29B" w:themeFill="accent1" w:themeFillTint="66"/>
            <w:noWrap/>
            <w:vAlign w:val="center"/>
            <w:hideMark/>
          </w:tcPr>
          <w:p w:rsidR="000A4041" w:rsidRPr="00305508" w:rsidRDefault="000A4041" w:rsidP="006D71C7">
            <w:pPr>
              <w:spacing w:after="0" w:line="240" w:lineRule="auto"/>
              <w:jc w:val="both"/>
              <w:rPr>
                <w:color w:val="auto"/>
                <w:sz w:val="20"/>
                <w:szCs w:val="20"/>
              </w:rPr>
            </w:pPr>
          </w:p>
        </w:tc>
        <w:tc>
          <w:tcPr>
            <w:tcW w:w="1417" w:type="dxa"/>
            <w:shd w:val="clear" w:color="auto" w:fill="F4B29B" w:themeFill="accent1" w:themeFillTint="66"/>
            <w:noWrap/>
            <w:vAlign w:val="center"/>
            <w:hideMark/>
          </w:tcPr>
          <w:p w:rsidR="000A4041" w:rsidRPr="00305508" w:rsidRDefault="000A4041"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Wartość</w:t>
            </w:r>
          </w:p>
        </w:tc>
        <w:tc>
          <w:tcPr>
            <w:tcW w:w="1276" w:type="dxa"/>
            <w:shd w:val="clear" w:color="auto" w:fill="F4B29B" w:themeFill="accent1" w:themeFillTint="66"/>
            <w:noWrap/>
            <w:vAlign w:val="center"/>
            <w:hideMark/>
          </w:tcPr>
          <w:p w:rsidR="000A4041" w:rsidRPr="00305508" w:rsidRDefault="000A4041"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Liczba</w:t>
            </w:r>
          </w:p>
        </w:tc>
        <w:tc>
          <w:tcPr>
            <w:tcW w:w="1134" w:type="dxa"/>
            <w:shd w:val="clear" w:color="auto" w:fill="F4B29B" w:themeFill="accent1" w:themeFillTint="66"/>
            <w:noWrap/>
            <w:vAlign w:val="center"/>
            <w:hideMark/>
          </w:tcPr>
          <w:p w:rsidR="000A4041" w:rsidRPr="00305508" w:rsidRDefault="000A4041"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Wartość</w:t>
            </w:r>
          </w:p>
        </w:tc>
        <w:tc>
          <w:tcPr>
            <w:tcW w:w="992" w:type="dxa"/>
            <w:shd w:val="clear" w:color="auto" w:fill="F4B29B" w:themeFill="accent1" w:themeFillTint="66"/>
            <w:noWrap/>
            <w:vAlign w:val="center"/>
            <w:hideMark/>
          </w:tcPr>
          <w:p w:rsidR="000A4041" w:rsidRPr="00305508" w:rsidRDefault="000A4041"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Liczba</w:t>
            </w:r>
          </w:p>
        </w:tc>
        <w:tc>
          <w:tcPr>
            <w:tcW w:w="1276" w:type="dxa"/>
            <w:shd w:val="clear" w:color="auto" w:fill="F4B29B" w:themeFill="accent1" w:themeFillTint="66"/>
            <w:noWrap/>
            <w:vAlign w:val="center"/>
            <w:hideMark/>
          </w:tcPr>
          <w:p w:rsidR="000A4041" w:rsidRPr="00305508" w:rsidRDefault="000A4041"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Wartość</w:t>
            </w:r>
          </w:p>
        </w:tc>
        <w:tc>
          <w:tcPr>
            <w:tcW w:w="1276" w:type="dxa"/>
            <w:shd w:val="clear" w:color="auto" w:fill="F4B29B" w:themeFill="accent1" w:themeFillTint="66"/>
            <w:noWrap/>
            <w:vAlign w:val="center"/>
            <w:hideMark/>
          </w:tcPr>
          <w:p w:rsidR="000A4041" w:rsidRPr="00305508" w:rsidRDefault="000A4041"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05508">
              <w:rPr>
                <w:b/>
                <w:bCs/>
                <w:sz w:val="20"/>
                <w:szCs w:val="20"/>
              </w:rPr>
              <w:t>Liczba</w:t>
            </w:r>
          </w:p>
        </w:tc>
      </w:tr>
      <w:tr w:rsidR="000A4041" w:rsidRPr="00305508" w:rsidTr="00C74054">
        <w:trPr>
          <w:trHeight w:val="675"/>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F4B29B" w:themeFill="accent1" w:themeFillTint="66"/>
            <w:noWrap/>
            <w:vAlign w:val="center"/>
            <w:hideMark/>
          </w:tcPr>
          <w:p w:rsidR="00A814BA" w:rsidRPr="00305508" w:rsidRDefault="00A814BA" w:rsidP="006D71C7">
            <w:pPr>
              <w:spacing w:after="0" w:line="240" w:lineRule="auto"/>
              <w:jc w:val="both"/>
              <w:rPr>
                <w:color w:val="auto"/>
                <w:sz w:val="20"/>
                <w:szCs w:val="20"/>
              </w:rPr>
            </w:pPr>
            <w:r w:rsidRPr="00305508">
              <w:rPr>
                <w:color w:val="auto"/>
                <w:sz w:val="20"/>
                <w:szCs w:val="20"/>
              </w:rPr>
              <w:t>IP2 RPO WSL</w:t>
            </w:r>
          </w:p>
        </w:tc>
        <w:tc>
          <w:tcPr>
            <w:tcW w:w="1417"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A814BA" w:rsidRPr="00305508" w:rsidRDefault="00A814BA"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200,80</w:t>
            </w:r>
          </w:p>
        </w:tc>
        <w:tc>
          <w:tcPr>
            <w:tcW w:w="12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A814BA" w:rsidRPr="00305508" w:rsidRDefault="00A814BA"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rPr>
            </w:pPr>
            <w:r w:rsidRPr="00305508">
              <w:rPr>
                <w:sz w:val="22"/>
              </w:rPr>
              <w:t>18</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A814BA" w:rsidRPr="00305508" w:rsidRDefault="00A814BA"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28,2</w:t>
            </w:r>
          </w:p>
        </w:tc>
        <w:tc>
          <w:tcPr>
            <w:tcW w:w="992"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A814BA" w:rsidRPr="00305508" w:rsidRDefault="00A814BA"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3</w:t>
            </w:r>
          </w:p>
        </w:tc>
        <w:tc>
          <w:tcPr>
            <w:tcW w:w="12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A814BA" w:rsidRPr="00305508" w:rsidRDefault="00A814BA"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24,75</w:t>
            </w:r>
          </w:p>
        </w:tc>
        <w:tc>
          <w:tcPr>
            <w:tcW w:w="12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A814BA" w:rsidRPr="00305508" w:rsidRDefault="00A814BA"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05508">
              <w:rPr>
                <w:sz w:val="20"/>
                <w:szCs w:val="20"/>
              </w:rPr>
              <w:t>1</w:t>
            </w:r>
          </w:p>
        </w:tc>
      </w:tr>
      <w:tr w:rsidR="000A4041" w:rsidRPr="00305508" w:rsidTr="00C74054">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F4B29B" w:themeFill="accent1" w:themeFillTint="66"/>
            <w:noWrap/>
            <w:vAlign w:val="center"/>
            <w:hideMark/>
          </w:tcPr>
          <w:p w:rsidR="00A814BA" w:rsidRPr="00305508" w:rsidRDefault="00A814BA" w:rsidP="006D71C7">
            <w:pPr>
              <w:spacing w:after="0" w:line="240" w:lineRule="auto"/>
              <w:jc w:val="both"/>
              <w:rPr>
                <w:color w:val="auto"/>
                <w:sz w:val="20"/>
                <w:szCs w:val="20"/>
              </w:rPr>
            </w:pPr>
            <w:r w:rsidRPr="00305508">
              <w:rPr>
                <w:color w:val="auto"/>
                <w:sz w:val="20"/>
                <w:szCs w:val="20"/>
              </w:rPr>
              <w:t>IZ RPO WSL</w:t>
            </w:r>
          </w:p>
        </w:tc>
        <w:tc>
          <w:tcPr>
            <w:tcW w:w="1417" w:type="dxa"/>
            <w:shd w:val="clear" w:color="auto" w:fill="F9D8CD" w:themeFill="accent1" w:themeFillTint="33"/>
            <w:noWrap/>
            <w:vAlign w:val="center"/>
            <w:hideMark/>
          </w:tcPr>
          <w:p w:rsidR="00A814BA" w:rsidRPr="00305508" w:rsidRDefault="00A814BA"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700,89</w:t>
            </w:r>
          </w:p>
        </w:tc>
        <w:tc>
          <w:tcPr>
            <w:tcW w:w="1276" w:type="dxa"/>
            <w:shd w:val="clear" w:color="auto" w:fill="F9D8CD" w:themeFill="accent1" w:themeFillTint="33"/>
            <w:noWrap/>
            <w:vAlign w:val="center"/>
            <w:hideMark/>
          </w:tcPr>
          <w:p w:rsidR="00A814BA" w:rsidRPr="00305508" w:rsidRDefault="00A814BA"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rPr>
            </w:pPr>
            <w:r w:rsidRPr="00305508">
              <w:rPr>
                <w:sz w:val="22"/>
              </w:rPr>
              <w:t>54</w:t>
            </w:r>
          </w:p>
        </w:tc>
        <w:tc>
          <w:tcPr>
            <w:tcW w:w="1134" w:type="dxa"/>
            <w:shd w:val="clear" w:color="auto" w:fill="F9D8CD" w:themeFill="accent1" w:themeFillTint="33"/>
            <w:noWrap/>
            <w:vAlign w:val="center"/>
            <w:hideMark/>
          </w:tcPr>
          <w:p w:rsidR="00A814BA" w:rsidRPr="00305508" w:rsidRDefault="00A814BA"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135,41</w:t>
            </w:r>
          </w:p>
        </w:tc>
        <w:tc>
          <w:tcPr>
            <w:tcW w:w="992" w:type="dxa"/>
            <w:shd w:val="clear" w:color="auto" w:fill="F9D8CD" w:themeFill="accent1" w:themeFillTint="33"/>
            <w:noWrap/>
            <w:vAlign w:val="center"/>
            <w:hideMark/>
          </w:tcPr>
          <w:p w:rsidR="00A814BA" w:rsidRPr="00305508" w:rsidRDefault="00A814BA"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7</w:t>
            </w:r>
          </w:p>
        </w:tc>
        <w:tc>
          <w:tcPr>
            <w:tcW w:w="1276" w:type="dxa"/>
            <w:shd w:val="clear" w:color="auto" w:fill="F9D8CD" w:themeFill="accent1" w:themeFillTint="33"/>
            <w:noWrap/>
            <w:vAlign w:val="center"/>
            <w:hideMark/>
          </w:tcPr>
          <w:p w:rsidR="00A814BA" w:rsidRPr="00305508" w:rsidRDefault="00A814BA"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12,06</w:t>
            </w:r>
          </w:p>
        </w:tc>
        <w:tc>
          <w:tcPr>
            <w:tcW w:w="1276" w:type="dxa"/>
            <w:shd w:val="clear" w:color="auto" w:fill="F9D8CD" w:themeFill="accent1" w:themeFillTint="33"/>
            <w:noWrap/>
            <w:vAlign w:val="center"/>
            <w:hideMark/>
          </w:tcPr>
          <w:p w:rsidR="00A814BA" w:rsidRPr="00305508" w:rsidRDefault="00A814BA"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05508">
              <w:rPr>
                <w:sz w:val="20"/>
                <w:szCs w:val="20"/>
              </w:rPr>
              <w:t>1</w:t>
            </w:r>
          </w:p>
        </w:tc>
      </w:tr>
    </w:tbl>
    <w:p w:rsidR="00065AD0" w:rsidRPr="006D71C7" w:rsidRDefault="00E338FF" w:rsidP="006D71C7">
      <w:pPr>
        <w:pStyle w:val="Akapitzlist"/>
        <w:spacing w:before="120" w:after="360"/>
        <w:ind w:left="0"/>
        <w:jc w:val="both"/>
        <w:rPr>
          <w:b/>
          <w:i/>
          <w:szCs w:val="24"/>
          <w:lang w:eastAsia="ar-SA"/>
        </w:rPr>
      </w:pPr>
      <w:r w:rsidRPr="006D71C7">
        <w:rPr>
          <w:b/>
          <w:i/>
          <w:szCs w:val="24"/>
          <w:lang w:eastAsia="ar-SA"/>
        </w:rPr>
        <w:t xml:space="preserve">Realizacja RPO WSL </w:t>
      </w:r>
      <w:r w:rsidR="00E55826" w:rsidRPr="006D71C7">
        <w:rPr>
          <w:b/>
          <w:i/>
          <w:szCs w:val="24"/>
          <w:lang w:eastAsia="ar-SA"/>
        </w:rPr>
        <w:t>– rozkład projektó</w:t>
      </w:r>
      <w:r w:rsidR="0031590B" w:rsidRPr="006D71C7">
        <w:rPr>
          <w:b/>
          <w:i/>
          <w:szCs w:val="24"/>
          <w:lang w:eastAsia="ar-SA"/>
        </w:rPr>
        <w:t>w</w:t>
      </w:r>
    </w:p>
    <w:p w:rsidR="00B36DE3" w:rsidRPr="006D71C7" w:rsidRDefault="00B36DE3" w:rsidP="006D71C7">
      <w:pPr>
        <w:pStyle w:val="Akapitzlist"/>
        <w:spacing w:before="120" w:after="240"/>
        <w:ind w:left="0"/>
        <w:jc w:val="both"/>
        <w:rPr>
          <w:szCs w:val="24"/>
          <w:lang w:eastAsia="ar-SA"/>
        </w:rPr>
      </w:pPr>
      <w:r w:rsidRPr="006D71C7">
        <w:rPr>
          <w:szCs w:val="24"/>
          <w:lang w:eastAsia="ar-SA"/>
        </w:rPr>
        <w:t>Poniżej zaprezentowano</w:t>
      </w:r>
      <w:r w:rsidR="006E3A0D" w:rsidRPr="006D71C7">
        <w:rPr>
          <w:szCs w:val="24"/>
          <w:lang w:eastAsia="ar-SA"/>
        </w:rPr>
        <w:t xml:space="preserve"> udział (%)</w:t>
      </w:r>
      <w:r w:rsidRPr="006D71C7">
        <w:rPr>
          <w:szCs w:val="24"/>
          <w:lang w:eastAsia="ar-SA"/>
        </w:rPr>
        <w:t xml:space="preserve"> projektów (wartość w </w:t>
      </w:r>
      <w:r w:rsidR="005B055E" w:rsidRPr="006D71C7">
        <w:rPr>
          <w:szCs w:val="24"/>
          <w:lang w:eastAsia="ar-SA"/>
        </w:rPr>
        <w:t>mln EUR i liczbę) w podziale na </w:t>
      </w:r>
      <w:r w:rsidRPr="006D71C7">
        <w:rPr>
          <w:szCs w:val="24"/>
          <w:lang w:eastAsia="ar-SA"/>
        </w:rPr>
        <w:t xml:space="preserve">różne obszary tematyczne. Postęp realizacji RPO WSL oparty został na danych z KSI (SIMIK 07-13) </w:t>
      </w:r>
      <w:r w:rsidR="002E76DD" w:rsidRPr="006D71C7">
        <w:rPr>
          <w:szCs w:val="24"/>
          <w:lang w:eastAsia="ar-SA"/>
        </w:rPr>
        <w:t xml:space="preserve">dot. </w:t>
      </w:r>
      <w:r w:rsidR="00107C8C" w:rsidRPr="006D71C7">
        <w:rPr>
          <w:szCs w:val="24"/>
          <w:lang w:eastAsia="ar-SA"/>
        </w:rPr>
        <w:t>kontraktacji na koniec 2011</w:t>
      </w:r>
      <w:r w:rsidRPr="006D71C7">
        <w:rPr>
          <w:szCs w:val="24"/>
          <w:lang w:eastAsia="ar-SA"/>
        </w:rPr>
        <w:t>r., w niektór</w:t>
      </w:r>
      <w:r w:rsidR="005B055E" w:rsidRPr="006D71C7">
        <w:rPr>
          <w:szCs w:val="24"/>
          <w:lang w:eastAsia="ar-SA"/>
        </w:rPr>
        <w:t>ych przypadkach dane pochodzą z </w:t>
      </w:r>
      <w:r w:rsidRPr="006D71C7">
        <w:rPr>
          <w:szCs w:val="24"/>
          <w:lang w:eastAsia="ar-SA"/>
        </w:rPr>
        <w:t>LSI z powodu braku danych w KSI.</w:t>
      </w:r>
    </w:p>
    <w:p w:rsidR="00E62ABD" w:rsidRPr="006D71C7" w:rsidRDefault="00E62ABD" w:rsidP="006D71C7">
      <w:pPr>
        <w:pStyle w:val="Akapitzlist"/>
        <w:spacing w:before="120" w:after="240"/>
        <w:ind w:left="0"/>
        <w:jc w:val="both"/>
        <w:rPr>
          <w:szCs w:val="24"/>
          <w:lang w:eastAsia="ar-SA"/>
        </w:rPr>
      </w:pPr>
    </w:p>
    <w:p w:rsidR="00E62ABD" w:rsidRPr="006D71C7" w:rsidRDefault="00E62ABD" w:rsidP="006D71C7">
      <w:pPr>
        <w:pStyle w:val="Akapitzlist"/>
        <w:spacing w:before="120" w:after="240"/>
        <w:ind w:left="0"/>
        <w:jc w:val="both"/>
        <w:rPr>
          <w:szCs w:val="24"/>
          <w:lang w:eastAsia="ar-SA"/>
        </w:rPr>
      </w:pPr>
      <w:r w:rsidRPr="006D71C7">
        <w:rPr>
          <w:szCs w:val="24"/>
          <w:lang w:eastAsia="ar-SA"/>
        </w:rPr>
        <w:t xml:space="preserve">Analiza rozkładu projektów w podziale na sektory gospodarki została zamieszczona w załączniku nr </w:t>
      </w:r>
      <w:r w:rsidR="005B055E" w:rsidRPr="006D71C7">
        <w:rPr>
          <w:szCs w:val="24"/>
          <w:lang w:eastAsia="ar-SA"/>
        </w:rPr>
        <w:t xml:space="preserve">X </w:t>
      </w:r>
      <w:r w:rsidRPr="006D71C7">
        <w:rPr>
          <w:szCs w:val="24"/>
          <w:lang w:eastAsia="ar-SA"/>
        </w:rPr>
        <w:t xml:space="preserve">do </w:t>
      </w:r>
      <w:r w:rsidRPr="006D71C7">
        <w:rPr>
          <w:i/>
          <w:szCs w:val="24"/>
          <w:lang w:eastAsia="ar-SA"/>
        </w:rPr>
        <w:t>Sprawozdania</w:t>
      </w:r>
      <w:r w:rsidRPr="006D71C7">
        <w:rPr>
          <w:szCs w:val="24"/>
          <w:lang w:eastAsia="ar-SA"/>
        </w:rPr>
        <w:t>.</w:t>
      </w:r>
    </w:p>
    <w:p w:rsidR="00875449" w:rsidRPr="006D71C7" w:rsidRDefault="001A76AA" w:rsidP="006D71C7">
      <w:pPr>
        <w:spacing w:after="0"/>
        <w:jc w:val="both"/>
        <w:rPr>
          <w:rFonts w:eastAsia="Calibri"/>
          <w:szCs w:val="24"/>
        </w:rPr>
      </w:pPr>
      <w:r w:rsidRPr="006D71C7">
        <w:rPr>
          <w:rFonts w:eastAsia="Calibri"/>
          <w:szCs w:val="24"/>
        </w:rPr>
        <w:t>Proporcja środków przeznaczonych na projekty zlokali</w:t>
      </w:r>
      <w:r w:rsidR="00C91A2F" w:rsidRPr="006D71C7">
        <w:rPr>
          <w:rFonts w:eastAsia="Calibri"/>
          <w:szCs w:val="24"/>
        </w:rPr>
        <w:t>zowane na obszarach miejskich i </w:t>
      </w:r>
      <w:r w:rsidRPr="006D71C7">
        <w:rPr>
          <w:rFonts w:eastAsia="Calibri"/>
          <w:szCs w:val="24"/>
        </w:rPr>
        <w:t xml:space="preserve">wiejskich jest zgodna z założeniami </w:t>
      </w:r>
      <w:r w:rsidRPr="006D71C7">
        <w:rPr>
          <w:rFonts w:eastAsia="Calibri"/>
          <w:i/>
          <w:szCs w:val="24"/>
        </w:rPr>
        <w:t>Programu</w:t>
      </w:r>
      <w:r w:rsidRPr="006D71C7">
        <w:rPr>
          <w:rFonts w:eastAsia="Calibri"/>
          <w:szCs w:val="24"/>
        </w:rPr>
        <w:t>.</w:t>
      </w:r>
      <w:r w:rsidR="00C91A2F" w:rsidRPr="006D71C7">
        <w:rPr>
          <w:rFonts w:eastAsia="Calibri"/>
          <w:szCs w:val="24"/>
        </w:rPr>
        <w:t xml:space="preserve"> W rama</w:t>
      </w:r>
      <w:r w:rsidR="005B055E" w:rsidRPr="006D71C7">
        <w:rPr>
          <w:rFonts w:eastAsia="Calibri"/>
          <w:szCs w:val="24"/>
        </w:rPr>
        <w:t>ch zakontraktowanych środków na </w:t>
      </w:r>
      <w:r w:rsidR="00C91A2F" w:rsidRPr="006D71C7">
        <w:rPr>
          <w:rFonts w:eastAsia="Calibri"/>
          <w:szCs w:val="24"/>
        </w:rPr>
        <w:t>projekty zlokalizowane na obszarach miejskich skierowano łącznie ponad 800 mln EUR, natomiast na obszary wiejskie ok. 170 mln EUR. Powyższa sytuacja wynika z </w:t>
      </w:r>
      <w:r w:rsidR="00231BF0" w:rsidRPr="006D71C7">
        <w:rPr>
          <w:rFonts w:eastAsia="Calibri"/>
          <w:szCs w:val="24"/>
        </w:rPr>
        <w:t xml:space="preserve">zurbanizowanego </w:t>
      </w:r>
      <w:r w:rsidR="00C91A2F" w:rsidRPr="006D71C7">
        <w:rPr>
          <w:rFonts w:eastAsia="Calibri"/>
          <w:szCs w:val="24"/>
        </w:rPr>
        <w:t xml:space="preserve">charakteru województwa, w którym </w:t>
      </w:r>
      <w:r w:rsidR="00FB5EC4" w:rsidRPr="006D71C7">
        <w:rPr>
          <w:rFonts w:eastAsia="Calibri"/>
          <w:szCs w:val="24"/>
        </w:rPr>
        <w:t>kluczową rolę dla przyszłości regionu odgrywają</w:t>
      </w:r>
      <w:r w:rsidR="00C91A2F" w:rsidRPr="006D71C7">
        <w:rPr>
          <w:rFonts w:eastAsia="Calibri"/>
          <w:szCs w:val="24"/>
        </w:rPr>
        <w:t xml:space="preserve"> miasta.</w:t>
      </w:r>
      <w:r w:rsidR="00FB5EC4" w:rsidRPr="006D71C7">
        <w:rPr>
          <w:rFonts w:eastAsia="Calibri"/>
          <w:szCs w:val="24"/>
        </w:rPr>
        <w:t xml:space="preserve"> </w:t>
      </w:r>
    </w:p>
    <w:p w:rsidR="00B77DE1" w:rsidRPr="006D71C7" w:rsidRDefault="00887BCD" w:rsidP="006D71C7">
      <w:pPr>
        <w:spacing w:after="0"/>
        <w:jc w:val="both"/>
        <w:rPr>
          <w:rFonts w:eastAsia="Calibri"/>
          <w:szCs w:val="24"/>
        </w:rPr>
      </w:pPr>
      <w:r w:rsidRPr="006D71C7">
        <w:rPr>
          <w:rFonts w:eastAsia="Calibri"/>
          <w:szCs w:val="24"/>
        </w:rPr>
        <w:t>W ramach RPO WSL n</w:t>
      </w:r>
      <w:r w:rsidR="00B77DE1" w:rsidRPr="006D71C7">
        <w:rPr>
          <w:rFonts w:eastAsia="Calibri"/>
          <w:szCs w:val="24"/>
        </w:rPr>
        <w:t xml:space="preserve">a obszary wiejskie najwięcej środków bo ponad 40% przeznaczonych zostało w ramach </w:t>
      </w:r>
      <w:r w:rsidR="005B055E" w:rsidRPr="006D71C7">
        <w:rPr>
          <w:rFonts w:eastAsia="Calibri"/>
          <w:szCs w:val="24"/>
        </w:rPr>
        <w:t>priorytetu</w:t>
      </w:r>
      <w:r w:rsidR="00B77DE1" w:rsidRPr="006D71C7">
        <w:rPr>
          <w:rFonts w:eastAsia="Calibri"/>
          <w:szCs w:val="24"/>
        </w:rPr>
        <w:t xml:space="preserve"> V </w:t>
      </w:r>
      <w:r w:rsidR="00B77DE1" w:rsidRPr="006D71C7">
        <w:rPr>
          <w:rFonts w:eastAsia="Calibri"/>
          <w:i/>
          <w:szCs w:val="24"/>
        </w:rPr>
        <w:t xml:space="preserve">Środowisko, </w:t>
      </w:r>
      <w:r w:rsidR="00B77DE1" w:rsidRPr="006D71C7">
        <w:rPr>
          <w:rFonts w:eastAsia="Calibri"/>
          <w:szCs w:val="24"/>
        </w:rPr>
        <w:t>głównie na</w:t>
      </w:r>
      <w:r w:rsidRPr="006D71C7">
        <w:rPr>
          <w:rFonts w:eastAsia="Calibri"/>
          <w:szCs w:val="24"/>
        </w:rPr>
        <w:t> </w:t>
      </w:r>
      <w:r w:rsidR="00B77DE1" w:rsidRPr="006D71C7">
        <w:rPr>
          <w:rFonts w:eastAsia="Calibri"/>
          <w:szCs w:val="24"/>
        </w:rPr>
        <w:t>budowę/rozbudowę kanalizacji.</w:t>
      </w:r>
      <w:r w:rsidRPr="006D71C7">
        <w:rPr>
          <w:rFonts w:eastAsia="Calibri"/>
          <w:szCs w:val="24"/>
        </w:rPr>
        <w:t xml:space="preserve"> </w:t>
      </w:r>
      <w:r w:rsidR="00B77DE1" w:rsidRPr="006D71C7">
        <w:rPr>
          <w:rFonts w:eastAsia="Calibri"/>
          <w:szCs w:val="24"/>
        </w:rPr>
        <w:t>N</w:t>
      </w:r>
      <w:r w:rsidR="005B055E" w:rsidRPr="006D71C7">
        <w:rPr>
          <w:rFonts w:eastAsia="Calibri"/>
          <w:szCs w:val="24"/>
        </w:rPr>
        <w:t>a </w:t>
      </w:r>
      <w:r w:rsidRPr="006D71C7">
        <w:rPr>
          <w:rFonts w:eastAsia="Calibri"/>
          <w:szCs w:val="24"/>
        </w:rPr>
        <w:t xml:space="preserve">obszarach miejskich najwięcej środków przeznaczono w ramach </w:t>
      </w:r>
      <w:r w:rsidR="005B055E" w:rsidRPr="006D71C7">
        <w:rPr>
          <w:rFonts w:eastAsia="Calibri"/>
          <w:szCs w:val="24"/>
        </w:rPr>
        <w:t>priorytetu</w:t>
      </w:r>
      <w:r w:rsidRPr="006D71C7">
        <w:rPr>
          <w:rFonts w:eastAsia="Calibri"/>
          <w:szCs w:val="24"/>
        </w:rPr>
        <w:t xml:space="preserve"> </w:t>
      </w:r>
      <w:r w:rsidRPr="006D71C7">
        <w:rPr>
          <w:rFonts w:eastAsia="Calibri"/>
          <w:i/>
          <w:szCs w:val="24"/>
        </w:rPr>
        <w:t>VI Zrównoważony rozwój miast</w:t>
      </w:r>
      <w:r w:rsidRPr="006D71C7">
        <w:rPr>
          <w:rFonts w:eastAsia="Calibri"/>
          <w:szCs w:val="24"/>
        </w:rPr>
        <w:t xml:space="preserve"> (29%) i </w:t>
      </w:r>
      <w:r w:rsidRPr="006D71C7">
        <w:rPr>
          <w:rFonts w:eastAsia="Calibri"/>
          <w:i/>
          <w:szCs w:val="24"/>
        </w:rPr>
        <w:t>VII Transport</w:t>
      </w:r>
      <w:r w:rsidRPr="006D71C7">
        <w:rPr>
          <w:rFonts w:eastAsia="Calibri"/>
          <w:szCs w:val="24"/>
        </w:rPr>
        <w:t xml:space="preserve"> (23%). Powyższy rozkład jest wynikiem pełnienia różnorodnych funkcji przez poszczególne obszary, a co za tym idzie konieczny jest odmienny poziom wyposażenia w infrastrukturę.</w:t>
      </w:r>
    </w:p>
    <w:p w:rsidR="003702E6" w:rsidRPr="006D71C7" w:rsidRDefault="003702E6" w:rsidP="006D71C7">
      <w:pPr>
        <w:spacing w:after="0"/>
        <w:jc w:val="both"/>
        <w:rPr>
          <w:rFonts w:eastAsia="Calibri"/>
          <w:i/>
          <w:szCs w:val="24"/>
        </w:rPr>
      </w:pPr>
      <w:r w:rsidRPr="006D71C7">
        <w:rPr>
          <w:rFonts w:eastAsia="Calibri"/>
          <w:szCs w:val="24"/>
        </w:rPr>
        <w:t xml:space="preserve">Na etapie programowania RPO WSL </w:t>
      </w:r>
      <w:r w:rsidR="00AB09DB" w:rsidRPr="006D71C7">
        <w:rPr>
          <w:rFonts w:eastAsia="Calibri"/>
          <w:szCs w:val="24"/>
        </w:rPr>
        <w:t>nie zidentyfikowano obszarów defaworyzowanych, w </w:t>
      </w:r>
      <w:r w:rsidRPr="006D71C7">
        <w:rPr>
          <w:rFonts w:eastAsia="Calibri"/>
          <w:szCs w:val="24"/>
        </w:rPr>
        <w:t xml:space="preserve">związku z tym brak odniesienia w tej kategorii w przedmiotowym </w:t>
      </w:r>
      <w:r w:rsidRPr="006D71C7">
        <w:rPr>
          <w:rFonts w:eastAsia="Calibri"/>
          <w:i/>
          <w:szCs w:val="24"/>
        </w:rPr>
        <w:t>Sprawozdaniu.</w:t>
      </w:r>
    </w:p>
    <w:p w:rsidR="00D208FA" w:rsidRPr="006D71C7" w:rsidRDefault="00D208FA" w:rsidP="006D71C7">
      <w:pPr>
        <w:pStyle w:val="Legenda"/>
        <w:jc w:val="both"/>
        <w:rPr>
          <w:color w:val="auto"/>
          <w:sz w:val="20"/>
          <w:szCs w:val="20"/>
        </w:rPr>
      </w:pPr>
    </w:p>
    <w:p w:rsidR="00D208FA" w:rsidRPr="006D71C7" w:rsidRDefault="001E656A" w:rsidP="006D71C7">
      <w:pPr>
        <w:pStyle w:val="Legenda"/>
        <w:spacing w:line="276" w:lineRule="auto"/>
        <w:jc w:val="both"/>
        <w:rPr>
          <w:b w:val="0"/>
          <w:i/>
          <w:color w:val="auto"/>
          <w:sz w:val="20"/>
          <w:szCs w:val="20"/>
        </w:rPr>
      </w:pPr>
      <w:bookmarkStart w:id="114" w:name="_Toc324853697"/>
      <w:bookmarkStart w:id="115" w:name="_Toc326046360"/>
      <w:r w:rsidRPr="006D71C7">
        <w:rPr>
          <w:color w:val="auto"/>
          <w:sz w:val="20"/>
          <w:szCs w:val="20"/>
        </w:rPr>
        <w:t>Tabela</w:t>
      </w:r>
      <w:r w:rsidR="00D208FA" w:rsidRPr="006D71C7">
        <w:rPr>
          <w:color w:val="auto"/>
          <w:sz w:val="20"/>
          <w:szCs w:val="20"/>
        </w:rPr>
        <w:t xml:space="preserve">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7</w:t>
      </w:r>
      <w:r w:rsidR="008F7228" w:rsidRPr="006D71C7">
        <w:rPr>
          <w:color w:val="auto"/>
          <w:sz w:val="20"/>
          <w:szCs w:val="20"/>
        </w:rPr>
        <w:fldChar w:fldCharType="end"/>
      </w:r>
      <w:r w:rsidR="00D208FA" w:rsidRPr="006D71C7">
        <w:rPr>
          <w:b w:val="0"/>
          <w:i/>
          <w:color w:val="auto"/>
          <w:sz w:val="20"/>
          <w:szCs w:val="20"/>
        </w:rPr>
        <w:t xml:space="preserve"> Zestawienie zakontraktowanych środków w podziale na obszary przestrzenne od uruchomienia Programu w mln EUR</w:t>
      </w:r>
      <w:bookmarkEnd w:id="114"/>
      <w:bookmarkEnd w:id="115"/>
    </w:p>
    <w:tbl>
      <w:tblPr>
        <w:tblStyle w:val="redniasiatka2akcent1"/>
        <w:tblW w:w="7806" w:type="dxa"/>
        <w:jc w:val="center"/>
        <w:shd w:val="clear" w:color="auto" w:fill="F4B29B" w:themeFill="accent1" w:themeFillTint="66"/>
        <w:tblLook w:val="04A0" w:firstRow="1" w:lastRow="0" w:firstColumn="1" w:lastColumn="0" w:noHBand="0" w:noVBand="1"/>
      </w:tblPr>
      <w:tblGrid>
        <w:gridCol w:w="1560"/>
        <w:gridCol w:w="1308"/>
        <w:gridCol w:w="2386"/>
        <w:gridCol w:w="2552"/>
      </w:tblGrid>
      <w:tr w:rsidR="00580D93" w:rsidRPr="006D71C7" w:rsidTr="00413D90">
        <w:trPr>
          <w:cnfStyle w:val="100000000000" w:firstRow="1" w:lastRow="0" w:firstColumn="0" w:lastColumn="0" w:oddVBand="0" w:evenVBand="0" w:oddHBand="0" w:evenHBand="0" w:firstRowFirstColumn="0" w:firstRowLastColumn="0" w:lastRowFirstColumn="0" w:lastRowLastColumn="0"/>
          <w:trHeight w:val="810"/>
          <w:jc w:val="center"/>
        </w:trPr>
        <w:tc>
          <w:tcPr>
            <w:cnfStyle w:val="001000000100" w:firstRow="0" w:lastRow="0" w:firstColumn="1" w:lastColumn="0" w:oddVBand="0" w:evenVBand="0" w:oddHBand="0" w:evenHBand="0" w:firstRowFirstColumn="1" w:firstRowLastColumn="0" w:lastRowFirstColumn="0" w:lastRowLastColumn="0"/>
            <w:tcW w:w="1560" w:type="dxa"/>
            <w:shd w:val="clear" w:color="auto" w:fill="F4B29B" w:themeFill="accent1" w:themeFillTint="66"/>
            <w:vAlign w:val="center"/>
            <w:hideMark/>
          </w:tcPr>
          <w:p w:rsidR="00D208FA" w:rsidRPr="006D71C7" w:rsidRDefault="00D208FA" w:rsidP="006D71C7">
            <w:pPr>
              <w:spacing w:after="0" w:line="240" w:lineRule="auto"/>
              <w:jc w:val="both"/>
              <w:rPr>
                <w:sz w:val="20"/>
                <w:szCs w:val="20"/>
              </w:rPr>
            </w:pPr>
            <w:r w:rsidRPr="006D71C7">
              <w:rPr>
                <w:sz w:val="20"/>
                <w:szCs w:val="20"/>
              </w:rPr>
              <w:t>OBSZAR</w:t>
            </w:r>
          </w:p>
        </w:tc>
        <w:tc>
          <w:tcPr>
            <w:tcW w:w="1308" w:type="dxa"/>
            <w:shd w:val="clear" w:color="auto" w:fill="F4B29B" w:themeFill="accent1" w:themeFillTint="66"/>
            <w:vAlign w:val="center"/>
            <w:hideMark/>
          </w:tcPr>
          <w:p w:rsidR="00D208FA" w:rsidRPr="006D71C7" w:rsidRDefault="00D208FA" w:rsidP="006D71C7">
            <w:pPr>
              <w:spacing w:after="0" w:line="24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6D71C7">
              <w:rPr>
                <w:sz w:val="20"/>
                <w:szCs w:val="20"/>
              </w:rPr>
              <w:t>LICZBA</w:t>
            </w:r>
          </w:p>
        </w:tc>
        <w:tc>
          <w:tcPr>
            <w:tcW w:w="2386" w:type="dxa"/>
            <w:shd w:val="clear" w:color="auto" w:fill="F4B29B" w:themeFill="accent1" w:themeFillTint="66"/>
            <w:vAlign w:val="center"/>
            <w:hideMark/>
          </w:tcPr>
          <w:p w:rsidR="00D208FA" w:rsidRPr="006D71C7" w:rsidRDefault="00D208FA" w:rsidP="006D71C7">
            <w:pPr>
              <w:spacing w:after="0" w:line="24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6D71C7">
              <w:rPr>
                <w:sz w:val="20"/>
                <w:szCs w:val="20"/>
              </w:rPr>
              <w:t>WARTO</w:t>
            </w:r>
            <w:r w:rsidR="00413D90" w:rsidRPr="006D71C7">
              <w:rPr>
                <w:sz w:val="20"/>
                <w:szCs w:val="20"/>
              </w:rPr>
              <w:t>ŚĆ</w:t>
            </w:r>
            <w:r w:rsidRPr="006D71C7">
              <w:rPr>
                <w:sz w:val="20"/>
                <w:szCs w:val="20"/>
              </w:rPr>
              <w:t xml:space="preserve"> OGÓŁEM</w:t>
            </w:r>
          </w:p>
        </w:tc>
        <w:tc>
          <w:tcPr>
            <w:tcW w:w="2552" w:type="dxa"/>
            <w:shd w:val="clear" w:color="auto" w:fill="F4B29B" w:themeFill="accent1" w:themeFillTint="66"/>
            <w:vAlign w:val="center"/>
            <w:hideMark/>
          </w:tcPr>
          <w:p w:rsidR="00D208FA" w:rsidRPr="006D71C7" w:rsidRDefault="00D208FA" w:rsidP="006D71C7">
            <w:pPr>
              <w:spacing w:after="0" w:line="24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6D71C7">
              <w:rPr>
                <w:sz w:val="20"/>
                <w:szCs w:val="20"/>
              </w:rPr>
              <w:t>DOFINANSOWANIE UE</w:t>
            </w:r>
          </w:p>
        </w:tc>
      </w:tr>
      <w:tr w:rsidR="00580D93" w:rsidRPr="006D71C7" w:rsidTr="00413D9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D208FA" w:rsidRPr="006D71C7" w:rsidRDefault="00D208FA" w:rsidP="006D71C7">
            <w:pPr>
              <w:spacing w:after="0" w:line="240" w:lineRule="auto"/>
              <w:jc w:val="both"/>
              <w:rPr>
                <w:sz w:val="20"/>
                <w:szCs w:val="20"/>
              </w:rPr>
            </w:pPr>
            <w:r w:rsidRPr="006D71C7">
              <w:rPr>
                <w:sz w:val="20"/>
                <w:szCs w:val="20"/>
              </w:rPr>
              <w:t>MIEJSKI</w:t>
            </w:r>
          </w:p>
        </w:tc>
        <w:tc>
          <w:tcPr>
            <w:tcW w:w="1308" w:type="dxa"/>
            <w:shd w:val="clear" w:color="auto" w:fill="F9D8CD" w:themeFill="accent1" w:themeFillTint="33"/>
            <w:vAlign w:val="center"/>
            <w:hideMark/>
          </w:tcPr>
          <w:p w:rsidR="00C43B75" w:rsidRDefault="00D208FA"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6D71C7">
              <w:rPr>
                <w:sz w:val="22"/>
              </w:rPr>
              <w:t>2 520</w:t>
            </w:r>
          </w:p>
        </w:tc>
        <w:tc>
          <w:tcPr>
            <w:tcW w:w="2386" w:type="dxa"/>
            <w:shd w:val="clear" w:color="auto" w:fill="F9D8CD" w:themeFill="accent1" w:themeFillTint="33"/>
            <w:vAlign w:val="center"/>
            <w:hideMark/>
          </w:tcPr>
          <w:p w:rsidR="00C43B75" w:rsidRDefault="00D208FA"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6D71C7">
              <w:rPr>
                <w:sz w:val="22"/>
              </w:rPr>
              <w:t>1 444,19</w:t>
            </w:r>
          </w:p>
        </w:tc>
        <w:tc>
          <w:tcPr>
            <w:tcW w:w="2552" w:type="dxa"/>
            <w:shd w:val="clear" w:color="auto" w:fill="F9D8CD" w:themeFill="accent1" w:themeFillTint="33"/>
            <w:vAlign w:val="center"/>
            <w:hideMark/>
          </w:tcPr>
          <w:p w:rsidR="00C43B75" w:rsidRDefault="00D208FA"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6D71C7">
              <w:rPr>
                <w:sz w:val="22"/>
              </w:rPr>
              <w:t>851,29</w:t>
            </w:r>
          </w:p>
        </w:tc>
      </w:tr>
      <w:tr w:rsidR="00580D93" w:rsidRPr="006D71C7" w:rsidTr="00413D90">
        <w:trPr>
          <w:trHeight w:val="63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D208FA" w:rsidRPr="006D71C7" w:rsidRDefault="00D208FA" w:rsidP="006D71C7">
            <w:pPr>
              <w:spacing w:after="0" w:line="240" w:lineRule="auto"/>
              <w:jc w:val="both"/>
              <w:rPr>
                <w:sz w:val="20"/>
                <w:szCs w:val="20"/>
              </w:rPr>
            </w:pPr>
            <w:r w:rsidRPr="006D71C7">
              <w:rPr>
                <w:sz w:val="20"/>
                <w:szCs w:val="20"/>
              </w:rPr>
              <w:t>WIEJSKI</w:t>
            </w:r>
          </w:p>
        </w:tc>
        <w:tc>
          <w:tcPr>
            <w:tcW w:w="1308" w:type="dxa"/>
            <w:shd w:val="clear" w:color="auto" w:fill="F9D8CD" w:themeFill="accent1" w:themeFillTint="33"/>
            <w:vAlign w:val="center"/>
            <w:hideMark/>
          </w:tcPr>
          <w:p w:rsidR="00C43B75" w:rsidRDefault="00D208FA"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6D71C7">
              <w:rPr>
                <w:sz w:val="22"/>
              </w:rPr>
              <w:t>535</w:t>
            </w:r>
          </w:p>
        </w:tc>
        <w:tc>
          <w:tcPr>
            <w:tcW w:w="2386" w:type="dxa"/>
            <w:shd w:val="clear" w:color="auto" w:fill="F9D8CD" w:themeFill="accent1" w:themeFillTint="33"/>
            <w:vAlign w:val="center"/>
            <w:hideMark/>
          </w:tcPr>
          <w:p w:rsidR="00C43B75" w:rsidRDefault="00D208FA"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6D71C7">
              <w:rPr>
                <w:sz w:val="22"/>
              </w:rPr>
              <w:t>276,20</w:t>
            </w:r>
          </w:p>
        </w:tc>
        <w:tc>
          <w:tcPr>
            <w:tcW w:w="2552" w:type="dxa"/>
            <w:shd w:val="clear" w:color="auto" w:fill="F9D8CD" w:themeFill="accent1" w:themeFillTint="33"/>
            <w:vAlign w:val="center"/>
            <w:hideMark/>
          </w:tcPr>
          <w:p w:rsidR="00C43B75" w:rsidRDefault="00D208FA"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6D71C7">
              <w:rPr>
                <w:sz w:val="22"/>
              </w:rPr>
              <w:t>168,32</w:t>
            </w:r>
          </w:p>
        </w:tc>
      </w:tr>
      <w:tr w:rsidR="00580D93" w:rsidRPr="006D71C7" w:rsidTr="00413D90">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D208FA" w:rsidRPr="006D71C7" w:rsidRDefault="00D208FA" w:rsidP="006D71C7">
            <w:pPr>
              <w:spacing w:after="0" w:line="240" w:lineRule="auto"/>
              <w:jc w:val="both"/>
              <w:rPr>
                <w:sz w:val="20"/>
                <w:szCs w:val="20"/>
              </w:rPr>
            </w:pPr>
            <w:r w:rsidRPr="006D71C7">
              <w:rPr>
                <w:sz w:val="20"/>
                <w:szCs w:val="20"/>
              </w:rPr>
              <w:t>GÓRSKI</w:t>
            </w:r>
          </w:p>
        </w:tc>
        <w:tc>
          <w:tcPr>
            <w:tcW w:w="1308" w:type="dxa"/>
            <w:shd w:val="clear" w:color="auto" w:fill="F9D8CD" w:themeFill="accent1" w:themeFillTint="33"/>
            <w:vAlign w:val="center"/>
            <w:hideMark/>
          </w:tcPr>
          <w:p w:rsidR="00C43B75" w:rsidRDefault="00D208FA"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6D71C7">
              <w:rPr>
                <w:sz w:val="22"/>
              </w:rPr>
              <w:t>46</w:t>
            </w:r>
          </w:p>
        </w:tc>
        <w:tc>
          <w:tcPr>
            <w:tcW w:w="2386" w:type="dxa"/>
            <w:shd w:val="clear" w:color="auto" w:fill="F9D8CD" w:themeFill="accent1" w:themeFillTint="33"/>
            <w:vAlign w:val="center"/>
            <w:hideMark/>
          </w:tcPr>
          <w:p w:rsidR="00C43B75" w:rsidRDefault="00D208FA"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6D71C7">
              <w:rPr>
                <w:sz w:val="22"/>
              </w:rPr>
              <w:t>20,06</w:t>
            </w:r>
          </w:p>
        </w:tc>
        <w:tc>
          <w:tcPr>
            <w:tcW w:w="2552" w:type="dxa"/>
            <w:shd w:val="clear" w:color="auto" w:fill="F9D8CD" w:themeFill="accent1" w:themeFillTint="33"/>
            <w:vAlign w:val="center"/>
            <w:hideMark/>
          </w:tcPr>
          <w:p w:rsidR="00C43B75" w:rsidRDefault="00D208FA"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6D71C7">
              <w:rPr>
                <w:sz w:val="22"/>
              </w:rPr>
              <w:t>13,82</w:t>
            </w:r>
          </w:p>
        </w:tc>
      </w:tr>
    </w:tbl>
    <w:p w:rsidR="00B77DE1" w:rsidRPr="006D71C7" w:rsidRDefault="00B77DE1" w:rsidP="006D71C7">
      <w:pPr>
        <w:spacing w:after="0"/>
        <w:jc w:val="both"/>
        <w:rPr>
          <w:rFonts w:eastAsia="Calibri"/>
          <w:szCs w:val="24"/>
        </w:rPr>
      </w:pPr>
    </w:p>
    <w:p w:rsidR="00413D90" w:rsidRPr="006D71C7" w:rsidRDefault="00026311" w:rsidP="006D71C7">
      <w:pPr>
        <w:pStyle w:val="Akapitzlist"/>
        <w:ind w:left="0"/>
        <w:jc w:val="both"/>
        <w:rPr>
          <w:szCs w:val="24"/>
          <w:lang w:eastAsia="ar-SA"/>
        </w:rPr>
      </w:pPr>
      <w:r w:rsidRPr="006D71C7">
        <w:rPr>
          <w:szCs w:val="24"/>
          <w:lang w:eastAsia="ar-SA"/>
        </w:rPr>
        <w:t>Analizując rozkład realizowanych projektów pod względem tematycznym należy wziąć pod uwagę</w:t>
      </w:r>
      <w:r w:rsidR="006879F7" w:rsidRPr="006D71C7">
        <w:rPr>
          <w:szCs w:val="24"/>
          <w:lang w:eastAsia="ar-SA"/>
        </w:rPr>
        <w:t xml:space="preserve"> oddzielnie</w:t>
      </w:r>
      <w:r w:rsidRPr="006D71C7">
        <w:rPr>
          <w:szCs w:val="24"/>
          <w:lang w:eastAsia="ar-SA"/>
        </w:rPr>
        <w:t xml:space="preserve"> liczbę </w:t>
      </w:r>
      <w:r w:rsidR="006879F7" w:rsidRPr="006D71C7">
        <w:rPr>
          <w:szCs w:val="24"/>
          <w:lang w:eastAsia="ar-SA"/>
        </w:rPr>
        <w:t>oraz</w:t>
      </w:r>
      <w:r w:rsidRPr="006D71C7">
        <w:rPr>
          <w:szCs w:val="24"/>
          <w:lang w:eastAsia="ar-SA"/>
        </w:rPr>
        <w:t xml:space="preserve"> wartość</w:t>
      </w:r>
      <w:r w:rsidR="009762DB" w:rsidRPr="006D71C7">
        <w:rPr>
          <w:szCs w:val="24"/>
          <w:lang w:eastAsia="ar-SA"/>
        </w:rPr>
        <w:t xml:space="preserve"> projektów. </w:t>
      </w:r>
      <w:r w:rsidRPr="006D71C7">
        <w:rPr>
          <w:szCs w:val="24"/>
          <w:lang w:eastAsia="ar-SA"/>
        </w:rPr>
        <w:t xml:space="preserve">W obszarze </w:t>
      </w:r>
      <w:r w:rsidRPr="006D71C7">
        <w:rPr>
          <w:i/>
          <w:szCs w:val="24"/>
          <w:lang w:eastAsia="ar-SA"/>
        </w:rPr>
        <w:t xml:space="preserve">przedsiębiorczość </w:t>
      </w:r>
      <w:r w:rsidRPr="006D71C7">
        <w:rPr>
          <w:szCs w:val="24"/>
          <w:lang w:eastAsia="ar-SA"/>
        </w:rPr>
        <w:t xml:space="preserve">realizowanych jest najwięcej projektów </w:t>
      </w:r>
      <w:r w:rsidR="006879F7" w:rsidRPr="006D71C7">
        <w:rPr>
          <w:szCs w:val="24"/>
          <w:lang w:eastAsia="ar-SA"/>
        </w:rPr>
        <w:t>w ramach RPO WSL</w:t>
      </w:r>
      <w:r w:rsidRPr="006D71C7">
        <w:rPr>
          <w:szCs w:val="24"/>
          <w:lang w:eastAsia="ar-SA"/>
        </w:rPr>
        <w:t xml:space="preserve"> n</w:t>
      </w:r>
      <w:r w:rsidR="005B055E" w:rsidRPr="006D71C7">
        <w:rPr>
          <w:szCs w:val="24"/>
          <w:lang w:eastAsia="ar-SA"/>
        </w:rPr>
        <w:t>atomiast najbardziej kosztowne</w:t>
      </w:r>
      <w:r w:rsidRPr="006D71C7">
        <w:rPr>
          <w:szCs w:val="24"/>
          <w:lang w:eastAsia="ar-SA"/>
        </w:rPr>
        <w:t xml:space="preserve"> projekty</w:t>
      </w:r>
      <w:r w:rsidR="005B055E" w:rsidRPr="006D71C7">
        <w:rPr>
          <w:szCs w:val="24"/>
          <w:lang w:eastAsia="ar-SA"/>
        </w:rPr>
        <w:t xml:space="preserve"> realizowane są</w:t>
      </w:r>
      <w:r w:rsidRPr="006D71C7">
        <w:rPr>
          <w:szCs w:val="24"/>
          <w:lang w:eastAsia="ar-SA"/>
        </w:rPr>
        <w:t xml:space="preserve"> w </w:t>
      </w:r>
      <w:r w:rsidR="006879F7" w:rsidRPr="006D71C7">
        <w:rPr>
          <w:szCs w:val="24"/>
          <w:lang w:eastAsia="ar-SA"/>
        </w:rPr>
        <w:t xml:space="preserve">obszarach </w:t>
      </w:r>
      <w:r w:rsidRPr="006D71C7">
        <w:rPr>
          <w:i/>
          <w:szCs w:val="24"/>
          <w:lang w:eastAsia="ar-SA"/>
        </w:rPr>
        <w:t>transpor</w:t>
      </w:r>
      <w:r w:rsidR="006879F7" w:rsidRPr="006D71C7">
        <w:rPr>
          <w:i/>
          <w:szCs w:val="24"/>
          <w:lang w:eastAsia="ar-SA"/>
        </w:rPr>
        <w:t>t</w:t>
      </w:r>
      <w:r w:rsidRPr="006D71C7">
        <w:rPr>
          <w:i/>
          <w:szCs w:val="24"/>
          <w:lang w:eastAsia="ar-SA"/>
        </w:rPr>
        <w:t xml:space="preserve"> </w:t>
      </w:r>
      <w:r w:rsidRPr="006D71C7">
        <w:rPr>
          <w:szCs w:val="24"/>
          <w:lang w:eastAsia="ar-SA"/>
        </w:rPr>
        <w:t>i</w:t>
      </w:r>
      <w:r w:rsidRPr="006D71C7">
        <w:rPr>
          <w:i/>
          <w:szCs w:val="24"/>
          <w:lang w:eastAsia="ar-SA"/>
        </w:rPr>
        <w:t xml:space="preserve"> rewitalizacj</w:t>
      </w:r>
      <w:r w:rsidR="006879F7" w:rsidRPr="006D71C7">
        <w:rPr>
          <w:i/>
          <w:szCs w:val="24"/>
          <w:lang w:eastAsia="ar-SA"/>
        </w:rPr>
        <w:t>a</w:t>
      </w:r>
      <w:r w:rsidRPr="006D71C7">
        <w:rPr>
          <w:i/>
          <w:szCs w:val="24"/>
          <w:lang w:eastAsia="ar-SA"/>
        </w:rPr>
        <w:t>.</w:t>
      </w:r>
    </w:p>
    <w:p w:rsidR="00026311" w:rsidRPr="006D71C7" w:rsidRDefault="00026311" w:rsidP="006D71C7">
      <w:pPr>
        <w:pStyle w:val="Akapitzlist"/>
        <w:ind w:left="0"/>
        <w:jc w:val="both"/>
        <w:rPr>
          <w:szCs w:val="24"/>
          <w:lang w:eastAsia="ar-SA"/>
        </w:rPr>
      </w:pPr>
    </w:p>
    <w:p w:rsidR="004E42CB" w:rsidRPr="006D71C7" w:rsidRDefault="004E42CB" w:rsidP="006D71C7">
      <w:pPr>
        <w:pStyle w:val="Akapitzlist"/>
        <w:tabs>
          <w:tab w:val="left" w:pos="993"/>
        </w:tabs>
        <w:ind w:left="0"/>
        <w:jc w:val="both"/>
        <w:rPr>
          <w:szCs w:val="24"/>
          <w:lang w:eastAsia="ar-SA"/>
        </w:rPr>
      </w:pPr>
      <w:r w:rsidRPr="006D71C7">
        <w:rPr>
          <w:noProof/>
          <w:szCs w:val="24"/>
        </w:rPr>
        <w:drawing>
          <wp:inline distT="0" distB="0" distL="0" distR="0">
            <wp:extent cx="2707316" cy="4085117"/>
            <wp:effectExtent l="38100" t="19050" r="16834"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6D71C7">
        <w:rPr>
          <w:noProof/>
        </w:rPr>
        <w:t xml:space="preserve"> </w:t>
      </w:r>
      <w:r w:rsidRPr="006D71C7">
        <w:rPr>
          <w:noProof/>
          <w:szCs w:val="24"/>
        </w:rPr>
        <w:drawing>
          <wp:inline distT="0" distB="0" distL="0" distR="0">
            <wp:extent cx="2624780" cy="4085118"/>
            <wp:effectExtent l="57150" t="19050" r="42220" b="0"/>
            <wp:docPr id="1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5578E" w:rsidRPr="006D71C7" w:rsidRDefault="005B055E" w:rsidP="006D71C7">
      <w:pPr>
        <w:pStyle w:val="Legenda"/>
        <w:spacing w:line="276" w:lineRule="auto"/>
        <w:jc w:val="both"/>
        <w:rPr>
          <w:b w:val="0"/>
          <w:i/>
          <w:color w:val="auto"/>
          <w:sz w:val="20"/>
          <w:szCs w:val="20"/>
        </w:rPr>
      </w:pPr>
      <w:bookmarkStart w:id="116" w:name="_Toc324786932"/>
      <w:bookmarkStart w:id="117" w:name="_Toc324854696"/>
      <w:bookmarkStart w:id="118" w:name="_Toc324854760"/>
      <w:bookmarkStart w:id="119" w:name="_Toc326055330"/>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12</w:t>
      </w:r>
      <w:r w:rsidR="008F7228">
        <w:rPr>
          <w:color w:val="auto"/>
          <w:sz w:val="20"/>
          <w:szCs w:val="20"/>
        </w:rPr>
        <w:fldChar w:fldCharType="end"/>
      </w:r>
      <w:r w:rsidRPr="006D71C7">
        <w:rPr>
          <w:color w:val="auto"/>
        </w:rPr>
        <w:t xml:space="preserve"> </w:t>
      </w:r>
      <w:r w:rsidR="00DD1778" w:rsidRPr="006D71C7">
        <w:rPr>
          <w:b w:val="0"/>
          <w:i/>
          <w:color w:val="auto"/>
          <w:sz w:val="20"/>
          <w:szCs w:val="20"/>
        </w:rPr>
        <w:t>Zestawienie zakontraktowanych środków w podziale na obszary tematyczne od uruchomienia Programu</w:t>
      </w:r>
      <w:bookmarkEnd w:id="116"/>
      <w:bookmarkEnd w:id="117"/>
      <w:bookmarkEnd w:id="118"/>
      <w:bookmarkEnd w:id="119"/>
    </w:p>
    <w:p w:rsidR="0072259D" w:rsidRPr="006D71C7" w:rsidRDefault="005B055E" w:rsidP="006D71C7">
      <w:pPr>
        <w:pStyle w:val="Akapitzlist"/>
        <w:spacing w:before="120" w:after="240"/>
        <w:ind w:left="0"/>
        <w:jc w:val="both"/>
        <w:rPr>
          <w:szCs w:val="24"/>
          <w:lang w:eastAsia="ar-SA"/>
        </w:rPr>
      </w:pPr>
      <w:r w:rsidRPr="006D71C7">
        <w:rPr>
          <w:szCs w:val="24"/>
          <w:lang w:eastAsia="ar-SA"/>
        </w:rPr>
        <w:t>Poniżej</w:t>
      </w:r>
      <w:r w:rsidR="00BE36C6" w:rsidRPr="006D71C7">
        <w:rPr>
          <w:szCs w:val="24"/>
          <w:lang w:eastAsia="ar-SA"/>
        </w:rPr>
        <w:t xml:space="preserve"> przedstawiono </w:t>
      </w:r>
      <w:r w:rsidR="00F61FCA" w:rsidRPr="006D71C7">
        <w:rPr>
          <w:szCs w:val="24"/>
          <w:lang w:eastAsia="ar-SA"/>
        </w:rPr>
        <w:t>rozkład projektów realizowanych w ramach RPO WSL</w:t>
      </w:r>
      <w:r w:rsidR="00BE36C6" w:rsidRPr="006D71C7">
        <w:rPr>
          <w:szCs w:val="24"/>
          <w:lang w:eastAsia="ar-SA"/>
        </w:rPr>
        <w:t xml:space="preserve"> biorąc pod uwagę obszary tematyczne i przes</w:t>
      </w:r>
      <w:r w:rsidR="00C300F1" w:rsidRPr="006D71C7">
        <w:rPr>
          <w:szCs w:val="24"/>
          <w:lang w:eastAsia="ar-SA"/>
        </w:rPr>
        <w:t>trzenne. Z danych wynika, że na </w:t>
      </w:r>
      <w:r w:rsidR="00BE36C6" w:rsidRPr="006D71C7">
        <w:rPr>
          <w:szCs w:val="24"/>
          <w:lang w:eastAsia="ar-SA"/>
        </w:rPr>
        <w:t>obszarach wiejskich najwięcej projektów realizowanych</w:t>
      </w:r>
      <w:r w:rsidR="005C2F42" w:rsidRPr="006D71C7">
        <w:rPr>
          <w:szCs w:val="24"/>
          <w:lang w:eastAsia="ar-SA"/>
        </w:rPr>
        <w:t xml:space="preserve"> było w zakresie środowiska</w:t>
      </w:r>
      <w:r w:rsidR="00C300F1" w:rsidRPr="006D71C7">
        <w:rPr>
          <w:szCs w:val="24"/>
          <w:lang w:eastAsia="ar-SA"/>
        </w:rPr>
        <w:t xml:space="preserve"> (34%)</w:t>
      </w:r>
      <w:r w:rsidR="005C2F42" w:rsidRPr="006D71C7">
        <w:rPr>
          <w:szCs w:val="24"/>
          <w:lang w:eastAsia="ar-SA"/>
        </w:rPr>
        <w:t>, na </w:t>
      </w:r>
      <w:r w:rsidR="00BE36C6" w:rsidRPr="006D71C7">
        <w:rPr>
          <w:szCs w:val="24"/>
          <w:lang w:eastAsia="ar-SA"/>
        </w:rPr>
        <w:t>obszarach miejskich w zakresie transportu</w:t>
      </w:r>
      <w:r w:rsidR="00C300F1" w:rsidRPr="006D71C7">
        <w:rPr>
          <w:szCs w:val="24"/>
          <w:lang w:eastAsia="ar-SA"/>
        </w:rPr>
        <w:t xml:space="preserve"> (23%)</w:t>
      </w:r>
      <w:r w:rsidR="00BE36C6" w:rsidRPr="006D71C7">
        <w:rPr>
          <w:szCs w:val="24"/>
          <w:lang w:eastAsia="ar-SA"/>
        </w:rPr>
        <w:t xml:space="preserve"> i rewitalizacji</w:t>
      </w:r>
      <w:r w:rsidR="00C300F1" w:rsidRPr="006D71C7">
        <w:rPr>
          <w:szCs w:val="24"/>
          <w:lang w:eastAsia="ar-SA"/>
        </w:rPr>
        <w:t xml:space="preserve"> (29%)</w:t>
      </w:r>
      <w:r w:rsidR="0072259D" w:rsidRPr="006D71C7">
        <w:rPr>
          <w:szCs w:val="24"/>
          <w:lang w:eastAsia="ar-SA"/>
        </w:rPr>
        <w:t>,</w:t>
      </w:r>
      <w:r w:rsidR="005C2F42" w:rsidRPr="006D71C7">
        <w:rPr>
          <w:szCs w:val="24"/>
          <w:lang w:eastAsia="ar-SA"/>
        </w:rPr>
        <w:t xml:space="preserve"> a na</w:t>
      </w:r>
      <w:r w:rsidR="00C300F1" w:rsidRPr="006D71C7">
        <w:rPr>
          <w:szCs w:val="24"/>
          <w:lang w:eastAsia="ar-SA"/>
        </w:rPr>
        <w:t xml:space="preserve"> obszarach</w:t>
      </w:r>
      <w:r w:rsidR="005C2F42" w:rsidRPr="006D71C7">
        <w:rPr>
          <w:szCs w:val="24"/>
          <w:lang w:eastAsia="ar-SA"/>
        </w:rPr>
        <w:t xml:space="preserve"> g</w:t>
      </w:r>
      <w:r w:rsidR="00D22DAD" w:rsidRPr="006D71C7">
        <w:rPr>
          <w:szCs w:val="24"/>
          <w:lang w:eastAsia="ar-SA"/>
        </w:rPr>
        <w:t>órskich z </w:t>
      </w:r>
      <w:r w:rsidR="005C2F42" w:rsidRPr="006D71C7">
        <w:rPr>
          <w:szCs w:val="24"/>
          <w:lang w:eastAsia="ar-SA"/>
        </w:rPr>
        <w:t>turystyki</w:t>
      </w:r>
      <w:r w:rsidR="00C300F1" w:rsidRPr="006D71C7">
        <w:rPr>
          <w:szCs w:val="24"/>
          <w:lang w:eastAsia="ar-SA"/>
        </w:rPr>
        <w:t>, kultury (34%)</w:t>
      </w:r>
      <w:r w:rsidR="005C2F42" w:rsidRPr="006D71C7">
        <w:rPr>
          <w:szCs w:val="24"/>
          <w:lang w:eastAsia="ar-SA"/>
        </w:rPr>
        <w:t xml:space="preserve"> i </w:t>
      </w:r>
      <w:r w:rsidR="00BE36C6" w:rsidRPr="006D71C7">
        <w:rPr>
          <w:szCs w:val="24"/>
          <w:lang w:eastAsia="ar-SA"/>
        </w:rPr>
        <w:t>ochrony środowiska</w:t>
      </w:r>
      <w:r w:rsidR="00C300F1" w:rsidRPr="006D71C7">
        <w:rPr>
          <w:szCs w:val="24"/>
          <w:lang w:eastAsia="ar-SA"/>
        </w:rPr>
        <w:t xml:space="preserve"> (25%)</w:t>
      </w:r>
      <w:r w:rsidR="00BE36C6" w:rsidRPr="006D71C7">
        <w:rPr>
          <w:szCs w:val="24"/>
          <w:lang w:eastAsia="ar-SA"/>
        </w:rPr>
        <w:t>.</w:t>
      </w:r>
    </w:p>
    <w:p w:rsidR="00C300F1" w:rsidRPr="006D71C7" w:rsidRDefault="00C300F1" w:rsidP="006D71C7">
      <w:pPr>
        <w:pStyle w:val="Akapitzlist"/>
        <w:spacing w:before="120" w:after="240"/>
        <w:ind w:left="0"/>
        <w:jc w:val="both"/>
        <w:rPr>
          <w:szCs w:val="24"/>
          <w:lang w:eastAsia="ar-SA"/>
        </w:rPr>
      </w:pPr>
    </w:p>
    <w:p w:rsidR="00D5578E" w:rsidRPr="006D71C7" w:rsidRDefault="008E5C78" w:rsidP="006D71C7">
      <w:pPr>
        <w:pStyle w:val="Akapitzlist"/>
        <w:ind w:left="0"/>
        <w:jc w:val="both"/>
        <w:rPr>
          <w:szCs w:val="24"/>
          <w:lang w:eastAsia="ar-SA"/>
        </w:rPr>
      </w:pPr>
      <w:r w:rsidRPr="006D71C7">
        <w:rPr>
          <w:noProof/>
          <w:szCs w:val="24"/>
        </w:rPr>
        <w:drawing>
          <wp:inline distT="0" distB="0" distL="0" distR="0">
            <wp:extent cx="5228029" cy="4869712"/>
            <wp:effectExtent l="38100" t="19050" r="10721" b="7088"/>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05508" w:rsidRPr="00305508" w:rsidRDefault="00D22DAD" w:rsidP="006D71C7">
      <w:pPr>
        <w:jc w:val="both"/>
        <w:rPr>
          <w:bCs/>
          <w:i/>
          <w:sz w:val="20"/>
          <w:szCs w:val="20"/>
          <w:lang w:eastAsia="ar-SA"/>
        </w:rPr>
      </w:pPr>
      <w:bookmarkStart w:id="120" w:name="_Toc292793692"/>
      <w:bookmarkStart w:id="121" w:name="_Toc292796280"/>
      <w:bookmarkStart w:id="122" w:name="_Toc292796774"/>
      <w:bookmarkStart w:id="123" w:name="_Toc292889084"/>
      <w:bookmarkStart w:id="124" w:name="_Toc295293381"/>
      <w:bookmarkStart w:id="125" w:name="_Toc324786933"/>
      <w:bookmarkStart w:id="126" w:name="_Toc324854697"/>
      <w:bookmarkStart w:id="127" w:name="_Toc324854761"/>
      <w:bookmarkStart w:id="128" w:name="_Toc326055331"/>
      <w:r w:rsidRPr="00305508">
        <w:rPr>
          <w:b/>
          <w:sz w:val="20"/>
          <w:szCs w:val="20"/>
        </w:rPr>
        <w:t xml:space="preserve">Rysunek </w:t>
      </w:r>
      <w:r w:rsidR="008F7228">
        <w:rPr>
          <w:b/>
          <w:sz w:val="20"/>
          <w:szCs w:val="20"/>
        </w:rPr>
        <w:fldChar w:fldCharType="begin"/>
      </w:r>
      <w:r w:rsidR="00942E6B">
        <w:rPr>
          <w:b/>
          <w:sz w:val="20"/>
          <w:szCs w:val="20"/>
        </w:rPr>
        <w:instrText xml:space="preserve"> SEQ Rysunek \* ARABIC </w:instrText>
      </w:r>
      <w:r w:rsidR="008F7228">
        <w:rPr>
          <w:b/>
          <w:sz w:val="20"/>
          <w:szCs w:val="20"/>
        </w:rPr>
        <w:fldChar w:fldCharType="separate"/>
      </w:r>
      <w:r w:rsidR="006667B3">
        <w:rPr>
          <w:b/>
          <w:noProof/>
          <w:sz w:val="20"/>
          <w:szCs w:val="20"/>
        </w:rPr>
        <w:t>13</w:t>
      </w:r>
      <w:r w:rsidR="008F7228">
        <w:rPr>
          <w:b/>
          <w:sz w:val="20"/>
          <w:szCs w:val="20"/>
        </w:rPr>
        <w:fldChar w:fldCharType="end"/>
      </w:r>
      <w:r w:rsidRPr="00305508">
        <w:rPr>
          <w:b/>
        </w:rPr>
        <w:t xml:space="preserve"> </w:t>
      </w:r>
      <w:r w:rsidR="00BE36C6" w:rsidRPr="00305508">
        <w:rPr>
          <w:i/>
          <w:sz w:val="20"/>
          <w:szCs w:val="20"/>
        </w:rPr>
        <w:t xml:space="preserve">Rozkład projektów </w:t>
      </w:r>
      <w:r w:rsidR="00D776DB" w:rsidRPr="00305508">
        <w:rPr>
          <w:i/>
          <w:sz w:val="20"/>
          <w:szCs w:val="20"/>
        </w:rPr>
        <w:t xml:space="preserve">realizowanych w ramach RPO WSL </w:t>
      </w:r>
      <w:r w:rsidR="00BE36C6" w:rsidRPr="00305508">
        <w:rPr>
          <w:i/>
          <w:sz w:val="20"/>
          <w:szCs w:val="20"/>
        </w:rPr>
        <w:t>w podziale na wsparte obszary</w:t>
      </w:r>
      <w:r w:rsidR="00D776DB" w:rsidRPr="00305508">
        <w:rPr>
          <w:i/>
          <w:sz w:val="20"/>
          <w:szCs w:val="20"/>
          <w:lang w:eastAsia="ar-SA"/>
        </w:rPr>
        <w:t xml:space="preserve"> tematyczne i </w:t>
      </w:r>
      <w:bookmarkEnd w:id="120"/>
      <w:bookmarkEnd w:id="121"/>
      <w:bookmarkEnd w:id="122"/>
      <w:bookmarkEnd w:id="123"/>
      <w:bookmarkEnd w:id="124"/>
      <w:bookmarkEnd w:id="125"/>
      <w:bookmarkEnd w:id="126"/>
      <w:bookmarkEnd w:id="127"/>
      <w:r w:rsidR="00305508" w:rsidRPr="00305508">
        <w:rPr>
          <w:bCs/>
          <w:i/>
          <w:sz w:val="20"/>
          <w:szCs w:val="20"/>
          <w:lang w:eastAsia="ar-SA"/>
        </w:rPr>
        <w:t>przestrzenne</w:t>
      </w:r>
      <w:bookmarkEnd w:id="128"/>
    </w:p>
    <w:p w:rsidR="0018155F" w:rsidRPr="006D71C7" w:rsidRDefault="00305508" w:rsidP="006D71C7">
      <w:pPr>
        <w:jc w:val="both"/>
        <w:rPr>
          <w:szCs w:val="24"/>
        </w:rPr>
      </w:pPr>
      <w:r w:rsidRPr="00305508">
        <w:rPr>
          <w:bCs/>
          <w:sz w:val="20"/>
          <w:szCs w:val="20"/>
          <w:lang w:eastAsia="ar-SA"/>
        </w:rPr>
        <w:t>W</w:t>
      </w:r>
      <w:r>
        <w:rPr>
          <w:szCs w:val="24"/>
        </w:rPr>
        <w:t xml:space="preserve"> </w:t>
      </w:r>
      <w:r w:rsidR="0018155F" w:rsidRPr="006D71C7">
        <w:rPr>
          <w:szCs w:val="24"/>
        </w:rPr>
        <w:t xml:space="preserve">województwie śląskim duże zainteresowanie w pozyskiwaniu środków unijnych przejawiają przedsiębiorcy, co znalazło odzwierciedlenie w ilości </w:t>
      </w:r>
      <w:r w:rsidR="002E76DD" w:rsidRPr="006D71C7">
        <w:rPr>
          <w:szCs w:val="24"/>
        </w:rPr>
        <w:t xml:space="preserve">realizowanych </w:t>
      </w:r>
      <w:r w:rsidR="0018155F" w:rsidRPr="006D71C7">
        <w:rPr>
          <w:szCs w:val="24"/>
        </w:rPr>
        <w:t>projektów (</w:t>
      </w:r>
      <w:r w:rsidR="00D8102D" w:rsidRPr="006D71C7">
        <w:rPr>
          <w:szCs w:val="24"/>
        </w:rPr>
        <w:t>2070</w:t>
      </w:r>
      <w:r w:rsidR="0018155F" w:rsidRPr="006D71C7">
        <w:rPr>
          <w:szCs w:val="24"/>
        </w:rPr>
        <w:t xml:space="preserve"> projektów realizowanych jest p</w:t>
      </w:r>
      <w:r w:rsidR="002C5507" w:rsidRPr="006D71C7">
        <w:rPr>
          <w:szCs w:val="24"/>
        </w:rPr>
        <w:t>rzez przedsiębiorców). Drugim w </w:t>
      </w:r>
      <w:r w:rsidR="0018155F" w:rsidRPr="006D71C7">
        <w:rPr>
          <w:szCs w:val="24"/>
        </w:rPr>
        <w:t>kolejności aktywnym beneficjentem są JST</w:t>
      </w:r>
      <w:r w:rsidR="00D8102D" w:rsidRPr="006D71C7">
        <w:rPr>
          <w:szCs w:val="24"/>
        </w:rPr>
        <w:t xml:space="preserve"> (812 projektów)</w:t>
      </w:r>
      <w:r w:rsidR="0018155F" w:rsidRPr="006D71C7">
        <w:rPr>
          <w:szCs w:val="24"/>
        </w:rPr>
        <w:t xml:space="preserve">, wśród których szczególną rolę odgrywają samorządy niższego szczebla, gdyż to one w największym stopniu odpowiedzialne są za rozwój lokalny. </w:t>
      </w:r>
    </w:p>
    <w:p w:rsidR="00CA2A05" w:rsidRPr="006D71C7" w:rsidRDefault="00D22DAD" w:rsidP="006D71C7">
      <w:pPr>
        <w:pStyle w:val="Akapitzlist"/>
        <w:spacing w:after="240"/>
        <w:ind w:left="0"/>
        <w:jc w:val="both"/>
        <w:rPr>
          <w:szCs w:val="24"/>
        </w:rPr>
      </w:pPr>
      <w:r w:rsidRPr="006D71C7">
        <w:rPr>
          <w:szCs w:val="24"/>
        </w:rPr>
        <w:t>Wykonując analizę pod ką</w:t>
      </w:r>
      <w:r w:rsidR="00875449" w:rsidRPr="006D71C7">
        <w:rPr>
          <w:szCs w:val="24"/>
        </w:rPr>
        <w:t>tem wartości dofinansowania z EFRR s</w:t>
      </w:r>
      <w:r w:rsidR="0018155F" w:rsidRPr="006D71C7">
        <w:rPr>
          <w:szCs w:val="24"/>
        </w:rPr>
        <w:t>ytuacja wygląda odwrotnie. W tej kategorii zdecydowanie przodują JST</w:t>
      </w:r>
      <w:r w:rsidR="00D8102D" w:rsidRPr="006D71C7">
        <w:rPr>
          <w:szCs w:val="24"/>
        </w:rPr>
        <w:t xml:space="preserve"> (</w:t>
      </w:r>
      <w:r w:rsidR="003D2113" w:rsidRPr="006D71C7">
        <w:rPr>
          <w:szCs w:val="24"/>
        </w:rPr>
        <w:t>739,02 mln EUR)</w:t>
      </w:r>
      <w:r w:rsidR="00875449" w:rsidRPr="006D71C7">
        <w:rPr>
          <w:szCs w:val="24"/>
        </w:rPr>
        <w:t>,</w:t>
      </w:r>
      <w:r w:rsidR="00D13856" w:rsidRPr="006D71C7">
        <w:rPr>
          <w:szCs w:val="24"/>
        </w:rPr>
        <w:t xml:space="preserve"> </w:t>
      </w:r>
      <w:r w:rsidR="00BB61CA" w:rsidRPr="006D71C7">
        <w:rPr>
          <w:szCs w:val="24"/>
        </w:rPr>
        <w:t>nad</w:t>
      </w:r>
      <w:r w:rsidR="00875449" w:rsidRPr="006D71C7">
        <w:rPr>
          <w:szCs w:val="24"/>
        </w:rPr>
        <w:t xml:space="preserve"> MSP (148,35 mln EUR)</w:t>
      </w:r>
      <w:r w:rsidR="0018155F" w:rsidRPr="006D71C7">
        <w:rPr>
          <w:szCs w:val="24"/>
        </w:rPr>
        <w:t xml:space="preserve">. Powodem zaistniałej sytuacji </w:t>
      </w:r>
      <w:r w:rsidR="00257D29" w:rsidRPr="006D71C7">
        <w:rPr>
          <w:szCs w:val="24"/>
        </w:rPr>
        <w:t xml:space="preserve">jest </w:t>
      </w:r>
      <w:r w:rsidR="00B415C4" w:rsidRPr="006D71C7">
        <w:rPr>
          <w:szCs w:val="24"/>
        </w:rPr>
        <w:t>określony poziom ma</w:t>
      </w:r>
      <w:r w:rsidR="00D021BA" w:rsidRPr="006D71C7">
        <w:rPr>
          <w:szCs w:val="24"/>
        </w:rPr>
        <w:t>ksymalnego</w:t>
      </w:r>
      <w:r w:rsidR="00B415C4" w:rsidRPr="006D71C7">
        <w:rPr>
          <w:szCs w:val="24"/>
        </w:rPr>
        <w:t xml:space="preserve"> możliweg</w:t>
      </w:r>
      <w:r w:rsidR="00D13856" w:rsidRPr="006D71C7">
        <w:rPr>
          <w:szCs w:val="24"/>
        </w:rPr>
        <w:t>o do otrzymania dofinansowania</w:t>
      </w:r>
      <w:r w:rsidR="00B415C4" w:rsidRPr="006D71C7">
        <w:rPr>
          <w:szCs w:val="24"/>
        </w:rPr>
        <w:t>.</w:t>
      </w:r>
      <w:r w:rsidR="00D13856" w:rsidRPr="006D71C7">
        <w:rPr>
          <w:szCs w:val="24"/>
        </w:rPr>
        <w:t xml:space="preserve"> </w:t>
      </w:r>
      <w:r w:rsidR="00936C18" w:rsidRPr="006D71C7">
        <w:rPr>
          <w:szCs w:val="24"/>
        </w:rPr>
        <w:t>B</w:t>
      </w:r>
      <w:r w:rsidR="000A7D43" w:rsidRPr="006D71C7">
        <w:rPr>
          <w:szCs w:val="24"/>
        </w:rPr>
        <w:t xml:space="preserve">iorąc pod uwagę wartość ogólną projektu </w:t>
      </w:r>
      <w:r w:rsidR="00D13856" w:rsidRPr="006D71C7">
        <w:rPr>
          <w:szCs w:val="24"/>
        </w:rPr>
        <w:t>to</w:t>
      </w:r>
      <w:r w:rsidR="00936C18" w:rsidRPr="006D71C7">
        <w:rPr>
          <w:szCs w:val="24"/>
        </w:rPr>
        <w:t xml:space="preserve"> </w:t>
      </w:r>
      <w:r w:rsidR="000A7D43" w:rsidRPr="006D71C7">
        <w:rPr>
          <w:szCs w:val="24"/>
        </w:rPr>
        <w:t>przedsiębiorcy składają projekty niewielkie kwotowo</w:t>
      </w:r>
      <w:r w:rsidR="003C5FA3" w:rsidRPr="006D71C7">
        <w:rPr>
          <w:szCs w:val="24"/>
        </w:rPr>
        <w:t>.</w:t>
      </w:r>
      <w:r w:rsidR="006076C6" w:rsidRPr="006D71C7">
        <w:rPr>
          <w:szCs w:val="24"/>
        </w:rPr>
        <w:t xml:space="preserve"> </w:t>
      </w:r>
      <w:r w:rsidR="002D777F" w:rsidRPr="006D71C7">
        <w:rPr>
          <w:szCs w:val="24"/>
        </w:rPr>
        <w:t>Wśród</w:t>
      </w:r>
      <w:r w:rsidR="003702E6" w:rsidRPr="006D71C7">
        <w:rPr>
          <w:szCs w:val="24"/>
        </w:rPr>
        <w:t xml:space="preserve"> JST</w:t>
      </w:r>
      <w:r w:rsidR="002D777F" w:rsidRPr="006D71C7">
        <w:rPr>
          <w:szCs w:val="24"/>
        </w:rPr>
        <w:t xml:space="preserve"> najbardziej aktywnymi</w:t>
      </w:r>
      <w:r w:rsidR="00AB09DB" w:rsidRPr="006D71C7">
        <w:rPr>
          <w:szCs w:val="24"/>
        </w:rPr>
        <w:t xml:space="preserve"> beneficjentami</w:t>
      </w:r>
      <w:r w:rsidR="002D777F" w:rsidRPr="006D71C7">
        <w:rPr>
          <w:szCs w:val="24"/>
        </w:rPr>
        <w:t xml:space="preserve"> były</w:t>
      </w:r>
      <w:r w:rsidR="003702E6" w:rsidRPr="006D71C7">
        <w:rPr>
          <w:szCs w:val="24"/>
        </w:rPr>
        <w:t xml:space="preserve"> </w:t>
      </w:r>
      <w:r w:rsidR="000F6155" w:rsidRPr="006D71C7">
        <w:rPr>
          <w:szCs w:val="24"/>
        </w:rPr>
        <w:t>miasta na prawach powiatu</w:t>
      </w:r>
      <w:r w:rsidR="002D777F" w:rsidRPr="006D71C7">
        <w:rPr>
          <w:szCs w:val="24"/>
        </w:rPr>
        <w:t xml:space="preserve">: Rybnik, Katowice, Częstochowa i Bielsko – Biała, czyli stolice poszczególnych subregionów. </w:t>
      </w:r>
    </w:p>
    <w:p w:rsidR="00EA299C" w:rsidRPr="006D71C7" w:rsidRDefault="00EA299C" w:rsidP="006D71C7">
      <w:pPr>
        <w:pStyle w:val="Akapitzlist"/>
        <w:spacing w:after="240"/>
        <w:ind w:left="0"/>
        <w:jc w:val="both"/>
        <w:rPr>
          <w:szCs w:val="24"/>
        </w:rPr>
      </w:pPr>
    </w:p>
    <w:p w:rsidR="00B4282B" w:rsidRPr="006D71C7" w:rsidRDefault="00B4282B" w:rsidP="006D71C7">
      <w:pPr>
        <w:pStyle w:val="Akapitzlist"/>
        <w:ind w:left="0"/>
        <w:jc w:val="both"/>
        <w:rPr>
          <w:szCs w:val="24"/>
        </w:rPr>
      </w:pPr>
      <w:r w:rsidRPr="006D71C7">
        <w:rPr>
          <w:noProof/>
          <w:szCs w:val="24"/>
        </w:rPr>
        <w:drawing>
          <wp:inline distT="0" distB="0" distL="0" distR="0">
            <wp:extent cx="2537194" cy="3670448"/>
            <wp:effectExtent l="38100" t="19050" r="15506" b="6202"/>
            <wp:docPr id="23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CA2A05" w:rsidRPr="006D71C7">
        <w:rPr>
          <w:noProof/>
          <w:szCs w:val="24"/>
        </w:rPr>
        <w:drawing>
          <wp:inline distT="0" distB="0" distL="0" distR="0">
            <wp:extent cx="2657165" cy="3638550"/>
            <wp:effectExtent l="38100" t="19050" r="9835" b="0"/>
            <wp:docPr id="248"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441F7" w:rsidRPr="006D71C7" w:rsidRDefault="00D22DAD" w:rsidP="006D71C7">
      <w:pPr>
        <w:pStyle w:val="Legenda"/>
        <w:jc w:val="both"/>
        <w:rPr>
          <w:i/>
          <w:color w:val="auto"/>
          <w:sz w:val="20"/>
          <w:szCs w:val="20"/>
        </w:rPr>
      </w:pPr>
      <w:bookmarkStart w:id="129" w:name="_Toc324786934"/>
      <w:bookmarkStart w:id="130" w:name="_Toc324854698"/>
      <w:bookmarkStart w:id="131" w:name="_Toc324854762"/>
      <w:bookmarkStart w:id="132" w:name="_Toc326055332"/>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14</w:t>
      </w:r>
      <w:r w:rsidR="008F7228">
        <w:rPr>
          <w:color w:val="auto"/>
          <w:sz w:val="20"/>
          <w:szCs w:val="20"/>
        </w:rPr>
        <w:fldChar w:fldCharType="end"/>
      </w:r>
      <w:r w:rsidRPr="006D71C7">
        <w:rPr>
          <w:color w:val="auto"/>
          <w:sz w:val="20"/>
          <w:szCs w:val="20"/>
        </w:rPr>
        <w:t xml:space="preserve"> </w:t>
      </w:r>
      <w:r w:rsidR="00DD1778" w:rsidRPr="006D71C7">
        <w:rPr>
          <w:b w:val="0"/>
          <w:i/>
          <w:color w:val="auto"/>
          <w:sz w:val="20"/>
          <w:szCs w:val="20"/>
        </w:rPr>
        <w:t>Zestawienie</w:t>
      </w:r>
      <w:r w:rsidR="00010CF8" w:rsidRPr="006D71C7">
        <w:rPr>
          <w:b w:val="0"/>
          <w:i/>
          <w:color w:val="auto"/>
          <w:sz w:val="20"/>
          <w:szCs w:val="20"/>
        </w:rPr>
        <w:t xml:space="preserve"> poszczególnych typów </w:t>
      </w:r>
      <w:r w:rsidR="00903715" w:rsidRPr="006D71C7">
        <w:rPr>
          <w:b w:val="0"/>
          <w:i/>
          <w:color w:val="auto"/>
          <w:sz w:val="20"/>
          <w:szCs w:val="20"/>
        </w:rPr>
        <w:t>beneficjentów</w:t>
      </w:r>
      <w:r w:rsidR="00010CF8" w:rsidRPr="006D71C7">
        <w:rPr>
          <w:b w:val="0"/>
          <w:i/>
          <w:color w:val="auto"/>
          <w:sz w:val="20"/>
          <w:szCs w:val="20"/>
        </w:rPr>
        <w:t xml:space="preserve"> w środkach zakontraktowanych (EFRR) od</w:t>
      </w:r>
      <w:r w:rsidR="002E76DD" w:rsidRPr="006D71C7">
        <w:rPr>
          <w:b w:val="0"/>
          <w:i/>
          <w:color w:val="auto"/>
          <w:sz w:val="20"/>
          <w:szCs w:val="20"/>
        </w:rPr>
        <w:t> </w:t>
      </w:r>
      <w:r w:rsidR="00010CF8" w:rsidRPr="006D71C7">
        <w:rPr>
          <w:b w:val="0"/>
          <w:i/>
          <w:color w:val="auto"/>
          <w:sz w:val="20"/>
          <w:szCs w:val="20"/>
        </w:rPr>
        <w:t>uruchomienia Program</w:t>
      </w:r>
      <w:bookmarkEnd w:id="129"/>
      <w:bookmarkEnd w:id="130"/>
      <w:bookmarkEnd w:id="131"/>
      <w:bookmarkEnd w:id="132"/>
    </w:p>
    <w:p w:rsidR="00992EBB" w:rsidRPr="006D71C7" w:rsidRDefault="00992EBB" w:rsidP="006D71C7">
      <w:pPr>
        <w:spacing w:after="0"/>
        <w:jc w:val="both"/>
        <w:rPr>
          <w:szCs w:val="24"/>
        </w:rPr>
      </w:pPr>
      <w:r w:rsidRPr="006D71C7">
        <w:rPr>
          <w:szCs w:val="24"/>
        </w:rPr>
        <w:t xml:space="preserve">W ramach RPO WSL projekty realizują beneficjenci z wszystkich powiatów województwa śląskiego. </w:t>
      </w:r>
    </w:p>
    <w:p w:rsidR="00F96DF8" w:rsidRPr="006D71C7" w:rsidRDefault="00F96DF8" w:rsidP="006D71C7">
      <w:pPr>
        <w:autoSpaceDE w:val="0"/>
        <w:autoSpaceDN w:val="0"/>
        <w:adjustRightInd w:val="0"/>
        <w:spacing w:after="0"/>
        <w:jc w:val="both"/>
        <w:rPr>
          <w:rFonts w:eastAsia="Calibri"/>
          <w:szCs w:val="24"/>
        </w:rPr>
      </w:pPr>
      <w:r w:rsidRPr="006D71C7">
        <w:rPr>
          <w:szCs w:val="24"/>
        </w:rPr>
        <w:t xml:space="preserve">Najaktywniejszymi beneficjentami w pozyskiwaniu środków w ramach RPO WSL są miasta na prawach powiatu: Miasto Katowice (140 mln EUR, 237 projektów), Miasto Częstochowa (74 mln EUR, 200 projektów), Miasto Bielsko-Biała ( 72 mln EUR, 180 projektów). Miasto Katowice jako stolica regionu realizuje </w:t>
      </w:r>
      <w:r w:rsidR="00992EBB" w:rsidRPr="006D71C7">
        <w:rPr>
          <w:szCs w:val="24"/>
        </w:rPr>
        <w:t xml:space="preserve">projekty najbardziej kosztowne </w:t>
      </w:r>
      <w:r w:rsidR="00D22DAD" w:rsidRPr="006D71C7">
        <w:rPr>
          <w:szCs w:val="24"/>
        </w:rPr>
        <w:t>co ma związek m.in. z </w:t>
      </w:r>
      <w:r w:rsidRPr="006D71C7">
        <w:rPr>
          <w:szCs w:val="24"/>
        </w:rPr>
        <w:t>realizacją projektu kluczowego.</w:t>
      </w:r>
      <w:r w:rsidR="00992EBB" w:rsidRPr="006D71C7">
        <w:rPr>
          <w:szCs w:val="24"/>
        </w:rPr>
        <w:t xml:space="preserve"> </w:t>
      </w:r>
      <w:r w:rsidR="00992EBB" w:rsidRPr="006D71C7">
        <w:rPr>
          <w:rFonts w:eastAsia="Calibri"/>
          <w:szCs w:val="24"/>
        </w:rPr>
        <w:t>Z punktu widzenia rozwoju województwa śląskiego najistotniejszy jest jednak fakt, że pozyskiwanie środków choć w różnym stopniu, występuje na terenie całego województwa.</w:t>
      </w:r>
    </w:p>
    <w:p w:rsidR="00017A4A" w:rsidRPr="006D71C7" w:rsidRDefault="00017A4A" w:rsidP="006D71C7">
      <w:pPr>
        <w:autoSpaceDE w:val="0"/>
        <w:autoSpaceDN w:val="0"/>
        <w:adjustRightInd w:val="0"/>
        <w:spacing w:after="0"/>
        <w:jc w:val="both"/>
        <w:rPr>
          <w:rFonts w:eastAsia="Calibri"/>
          <w:szCs w:val="24"/>
        </w:rPr>
      </w:pPr>
    </w:p>
    <w:p w:rsidR="00B441F7" w:rsidRPr="006D71C7" w:rsidRDefault="00E73B61" w:rsidP="006D71C7">
      <w:pPr>
        <w:autoSpaceDE w:val="0"/>
        <w:autoSpaceDN w:val="0"/>
        <w:adjustRightInd w:val="0"/>
        <w:spacing w:after="0"/>
        <w:jc w:val="both"/>
        <w:rPr>
          <w:rFonts w:eastAsia="Calibri"/>
          <w:szCs w:val="24"/>
        </w:rPr>
      </w:pPr>
      <w:r w:rsidRPr="006D71C7">
        <w:rPr>
          <w:b/>
          <w:i/>
          <w:noProof/>
          <w:szCs w:val="24"/>
        </w:rPr>
        <w:drawing>
          <wp:inline distT="0" distB="0" distL="0" distR="0">
            <wp:extent cx="5754430" cy="5741581"/>
            <wp:effectExtent l="19050" t="0" r="0" b="0"/>
            <wp:docPr id="39"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759450" cy="5746590"/>
                    </a:xfrm>
                    <a:prstGeom prst="rect">
                      <a:avLst/>
                    </a:prstGeom>
                    <a:noFill/>
                    <a:ln w="9525">
                      <a:noFill/>
                      <a:miter lim="800000"/>
                      <a:headEnd/>
                      <a:tailEnd/>
                    </a:ln>
                  </pic:spPr>
                </pic:pic>
              </a:graphicData>
            </a:graphic>
          </wp:inline>
        </w:drawing>
      </w:r>
    </w:p>
    <w:p w:rsidR="00B411BE" w:rsidRDefault="00D22DAD" w:rsidP="006D71C7">
      <w:pPr>
        <w:pStyle w:val="Legenda"/>
        <w:jc w:val="both"/>
        <w:rPr>
          <w:color w:val="auto"/>
          <w:sz w:val="20"/>
          <w:szCs w:val="20"/>
        </w:rPr>
      </w:pPr>
      <w:bookmarkStart w:id="133" w:name="_Toc324786935"/>
      <w:bookmarkStart w:id="134" w:name="_Toc324854699"/>
      <w:bookmarkStart w:id="135" w:name="_Toc324854763"/>
      <w:bookmarkStart w:id="136" w:name="_Toc326055333"/>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15</w:t>
      </w:r>
      <w:r w:rsidR="008F7228">
        <w:rPr>
          <w:color w:val="auto"/>
          <w:sz w:val="20"/>
          <w:szCs w:val="20"/>
        </w:rPr>
        <w:fldChar w:fldCharType="end"/>
      </w:r>
      <w:r w:rsidRPr="006D71C7">
        <w:rPr>
          <w:color w:val="auto"/>
          <w:sz w:val="20"/>
          <w:szCs w:val="20"/>
        </w:rPr>
        <w:t xml:space="preserve"> </w:t>
      </w:r>
      <w:r w:rsidRPr="006D71C7">
        <w:rPr>
          <w:b w:val="0"/>
          <w:i/>
          <w:color w:val="auto"/>
          <w:sz w:val="20"/>
          <w:szCs w:val="20"/>
        </w:rPr>
        <w:t>Realizacja projektów w podziale na powiaty</w:t>
      </w:r>
      <w:r w:rsidR="00781EC9" w:rsidRPr="006D71C7">
        <w:rPr>
          <w:b w:val="0"/>
          <w:i/>
          <w:color w:val="auto"/>
          <w:sz w:val="20"/>
          <w:szCs w:val="20"/>
        </w:rPr>
        <w:t xml:space="preserve"> </w:t>
      </w:r>
      <w:r w:rsidRPr="006D71C7">
        <w:rPr>
          <w:b w:val="0"/>
          <w:i/>
          <w:color w:val="auto"/>
          <w:sz w:val="20"/>
          <w:szCs w:val="20"/>
        </w:rPr>
        <w:t>województwa śląskiego</w:t>
      </w:r>
      <w:bookmarkEnd w:id="133"/>
      <w:bookmarkEnd w:id="134"/>
      <w:bookmarkEnd w:id="135"/>
      <w:bookmarkEnd w:id="136"/>
      <w:r w:rsidRPr="006D71C7">
        <w:rPr>
          <w:color w:val="auto"/>
          <w:sz w:val="20"/>
          <w:szCs w:val="20"/>
        </w:rPr>
        <w:t xml:space="preserve"> </w:t>
      </w:r>
    </w:p>
    <w:p w:rsidR="00985FC3" w:rsidRDefault="00985FC3" w:rsidP="00CF4B00">
      <w:pPr>
        <w:jc w:val="both"/>
      </w:pPr>
    </w:p>
    <w:p w:rsidR="00B21EC4" w:rsidRDefault="00CF4B00" w:rsidP="00CF4B00">
      <w:pPr>
        <w:jc w:val="both"/>
      </w:pPr>
      <w:r>
        <w:t>Beneficjenci z województwa śląskiego są także bardzo a</w:t>
      </w:r>
      <w:r w:rsidR="0060162D">
        <w:t xml:space="preserve">ktywni w aplikowaniu o środki  </w:t>
      </w:r>
      <w:r w:rsidR="00985FC3">
        <w:t xml:space="preserve">pochodzące </w:t>
      </w:r>
      <w:r w:rsidR="0060162D">
        <w:t>z</w:t>
      </w:r>
      <w:r w:rsidR="0051588A">
        <w:t> </w:t>
      </w:r>
      <w:r>
        <w:t>innych programów operacyjnych</w:t>
      </w:r>
      <w:r w:rsidR="00985FC3">
        <w:t xml:space="preserve"> 2007-2013</w:t>
      </w:r>
      <w:r>
        <w:t xml:space="preserve">. Poniżej w tabeli </w:t>
      </w:r>
      <w:r w:rsidR="0060162D">
        <w:t>przedstawiono podział</w:t>
      </w:r>
      <w:r w:rsidR="00985FC3" w:rsidRPr="00985FC3">
        <w:t xml:space="preserve"> </w:t>
      </w:r>
      <w:r w:rsidR="00985FC3">
        <w:t>na obszar i program operacyjny</w:t>
      </w:r>
      <w:r w:rsidR="0060162D">
        <w:t xml:space="preserve"> projektów</w:t>
      </w:r>
      <w:r w:rsidR="00985FC3">
        <w:t xml:space="preserve"> </w:t>
      </w:r>
      <w:r w:rsidR="0060162D">
        <w:t>realizowanych na terenie województwa śląskiego</w:t>
      </w:r>
      <w:r w:rsidR="00985FC3">
        <w:t>. Informacje zostały sporządzone na podstawie podziału wg. kategorii interwencji.</w:t>
      </w:r>
      <w:r w:rsidR="0060162D">
        <w:t xml:space="preserve"> </w:t>
      </w:r>
    </w:p>
    <w:p w:rsidR="00B21EC4" w:rsidRDefault="00B21EC4" w:rsidP="00B21EC4">
      <w:pPr>
        <w:spacing w:after="0" w:line="240" w:lineRule="auto"/>
        <w:sectPr w:rsidR="00B21EC4" w:rsidSect="00CC06A3">
          <w:footerReference w:type="default" r:id="rId53"/>
          <w:endnotePr>
            <w:numFmt w:val="decimal"/>
          </w:endnotePr>
          <w:pgSz w:w="11906" w:h="16838" w:code="9"/>
          <w:pgMar w:top="1134" w:right="1418" w:bottom="1418" w:left="1418" w:header="0" w:footer="726" w:gutter="0"/>
          <w:cols w:space="708"/>
          <w:noEndnote/>
          <w:titlePg/>
          <w:docGrid w:linePitch="326"/>
        </w:sectPr>
      </w:pPr>
    </w:p>
    <w:p w:rsidR="00C43B75" w:rsidRPr="00C43B75" w:rsidRDefault="00C43B75" w:rsidP="00C43B75">
      <w:pPr>
        <w:pStyle w:val="Legenda"/>
        <w:rPr>
          <w:sz w:val="20"/>
          <w:szCs w:val="20"/>
        </w:rPr>
      </w:pPr>
      <w:r w:rsidRPr="00C43B75">
        <w:rPr>
          <w:color w:val="auto"/>
          <w:sz w:val="20"/>
          <w:szCs w:val="20"/>
        </w:rPr>
        <w:t xml:space="preserve">Tabela </w:t>
      </w:r>
      <w:r w:rsidR="008F7228" w:rsidRPr="00C43B75">
        <w:rPr>
          <w:color w:val="auto"/>
          <w:sz w:val="20"/>
          <w:szCs w:val="20"/>
        </w:rPr>
        <w:fldChar w:fldCharType="begin"/>
      </w:r>
      <w:r w:rsidRPr="00C43B75">
        <w:rPr>
          <w:color w:val="auto"/>
          <w:sz w:val="20"/>
          <w:szCs w:val="20"/>
        </w:rPr>
        <w:instrText xml:space="preserve"> SEQ Tabela \* ARABIC </w:instrText>
      </w:r>
      <w:r w:rsidR="008F7228" w:rsidRPr="00C43B75">
        <w:rPr>
          <w:color w:val="auto"/>
          <w:sz w:val="20"/>
          <w:szCs w:val="20"/>
        </w:rPr>
        <w:fldChar w:fldCharType="separate"/>
      </w:r>
      <w:r w:rsidR="006667B3">
        <w:rPr>
          <w:noProof/>
          <w:color w:val="auto"/>
          <w:sz w:val="20"/>
          <w:szCs w:val="20"/>
        </w:rPr>
        <w:t>8</w:t>
      </w:r>
      <w:r w:rsidR="008F7228" w:rsidRPr="00C43B75">
        <w:rPr>
          <w:color w:val="auto"/>
          <w:sz w:val="20"/>
          <w:szCs w:val="20"/>
        </w:rPr>
        <w:fldChar w:fldCharType="end"/>
      </w:r>
      <w:r w:rsidRPr="00C43B75">
        <w:rPr>
          <w:color w:val="auto"/>
          <w:sz w:val="20"/>
          <w:szCs w:val="20"/>
        </w:rPr>
        <w:t xml:space="preserve"> </w:t>
      </w:r>
      <w:r w:rsidRPr="00C43B75">
        <w:rPr>
          <w:b w:val="0"/>
          <w:i/>
          <w:color w:val="auto"/>
          <w:sz w:val="20"/>
          <w:szCs w:val="20"/>
        </w:rPr>
        <w:t>Informacje nt. projektów realizowanych w ramach innych PO w danym obszarze</w:t>
      </w:r>
    </w:p>
    <w:tbl>
      <w:tblPr>
        <w:tblStyle w:val="redniasiatka3akcent1"/>
        <w:tblW w:w="15026" w:type="dxa"/>
        <w:tblInd w:w="-743" w:type="dxa"/>
        <w:shd w:val="clear" w:color="auto" w:fill="F4B29B" w:themeFill="accent1" w:themeFillTint="66"/>
        <w:tblLayout w:type="fixed"/>
        <w:tblLook w:val="04A0" w:firstRow="1" w:lastRow="0" w:firstColumn="1" w:lastColumn="0" w:noHBand="0" w:noVBand="1"/>
      </w:tblPr>
      <w:tblGrid>
        <w:gridCol w:w="1135"/>
        <w:gridCol w:w="725"/>
        <w:gridCol w:w="976"/>
        <w:gridCol w:w="709"/>
        <w:gridCol w:w="1134"/>
        <w:gridCol w:w="992"/>
        <w:gridCol w:w="850"/>
        <w:gridCol w:w="709"/>
        <w:gridCol w:w="1276"/>
        <w:gridCol w:w="567"/>
        <w:gridCol w:w="850"/>
        <w:gridCol w:w="851"/>
        <w:gridCol w:w="850"/>
        <w:gridCol w:w="567"/>
        <w:gridCol w:w="851"/>
        <w:gridCol w:w="709"/>
        <w:gridCol w:w="1275"/>
      </w:tblGrid>
      <w:tr w:rsidR="00760EB8" w:rsidRPr="00B21EC4" w:rsidTr="00985FC3">
        <w:trPr>
          <w:cnfStyle w:val="100000000000" w:firstRow="1" w:lastRow="0" w:firstColumn="0" w:lastColumn="0" w:oddVBand="0" w:evenVBand="0" w:oddHBand="0"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135" w:type="dxa"/>
            <w:vMerge w:val="restart"/>
            <w:shd w:val="clear" w:color="auto" w:fill="F4B29B" w:themeFill="accent1" w:themeFillTint="66"/>
            <w:noWrap/>
            <w:vAlign w:val="center"/>
            <w:hideMark/>
          </w:tcPr>
          <w:p w:rsidR="00C43B75" w:rsidRDefault="00C43B75" w:rsidP="00C43B75">
            <w:pPr>
              <w:spacing w:after="0" w:line="240" w:lineRule="auto"/>
              <w:ind w:left="-51"/>
              <w:jc w:val="center"/>
              <w:rPr>
                <w:color w:val="000000"/>
                <w:sz w:val="20"/>
                <w:szCs w:val="20"/>
              </w:rPr>
            </w:pPr>
          </w:p>
        </w:tc>
        <w:tc>
          <w:tcPr>
            <w:tcW w:w="1701" w:type="dxa"/>
            <w:gridSpan w:val="2"/>
            <w:shd w:val="clear" w:color="auto" w:fill="F4B29B" w:themeFill="accent1" w:themeFillTint="66"/>
            <w:vAlign w:val="center"/>
            <w:hideMark/>
          </w:tcPr>
          <w:p w:rsidR="00760EB8" w:rsidRDefault="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C43B75">
              <w:rPr>
                <w:color w:val="000000"/>
                <w:sz w:val="18"/>
                <w:szCs w:val="18"/>
              </w:rPr>
              <w:t>TRANSPORT</w:t>
            </w:r>
          </w:p>
        </w:tc>
        <w:tc>
          <w:tcPr>
            <w:tcW w:w="1843" w:type="dxa"/>
            <w:gridSpan w:val="2"/>
            <w:shd w:val="clear" w:color="auto" w:fill="F4B29B" w:themeFill="accent1" w:themeFillTint="66"/>
            <w:vAlign w:val="center"/>
            <w:hideMark/>
          </w:tcPr>
          <w:p w:rsidR="00760EB8" w:rsidRDefault="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C43B75">
              <w:rPr>
                <w:color w:val="000000"/>
                <w:sz w:val="18"/>
                <w:szCs w:val="18"/>
              </w:rPr>
              <w:t>B+R, PRZEDSIĘBIORSTWA</w:t>
            </w:r>
          </w:p>
        </w:tc>
        <w:tc>
          <w:tcPr>
            <w:tcW w:w="1842" w:type="dxa"/>
            <w:gridSpan w:val="2"/>
            <w:shd w:val="clear" w:color="auto" w:fill="F4B29B" w:themeFill="accent1" w:themeFillTint="66"/>
            <w:vAlign w:val="center"/>
            <w:hideMark/>
          </w:tcPr>
          <w:p w:rsidR="00760EB8" w:rsidRDefault="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C43B75">
              <w:rPr>
                <w:color w:val="000000"/>
                <w:sz w:val="18"/>
                <w:szCs w:val="18"/>
              </w:rPr>
              <w:t>KAPITAŁ LUDZKI</w:t>
            </w:r>
          </w:p>
        </w:tc>
        <w:tc>
          <w:tcPr>
            <w:tcW w:w="1985" w:type="dxa"/>
            <w:gridSpan w:val="2"/>
            <w:shd w:val="clear" w:color="auto" w:fill="F4B29B" w:themeFill="accent1" w:themeFillTint="66"/>
            <w:vAlign w:val="center"/>
            <w:hideMark/>
          </w:tcPr>
          <w:p w:rsidR="00760EB8" w:rsidRDefault="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C43B75">
              <w:rPr>
                <w:color w:val="000000"/>
                <w:sz w:val="18"/>
                <w:szCs w:val="18"/>
              </w:rPr>
              <w:t>SPOŁECZEŃSTWO INFORMACYJNE</w:t>
            </w:r>
          </w:p>
        </w:tc>
        <w:tc>
          <w:tcPr>
            <w:tcW w:w="1417" w:type="dxa"/>
            <w:gridSpan w:val="2"/>
            <w:shd w:val="clear" w:color="auto" w:fill="F4B29B" w:themeFill="accent1" w:themeFillTint="66"/>
            <w:vAlign w:val="center"/>
            <w:hideMark/>
          </w:tcPr>
          <w:p w:rsidR="00760EB8" w:rsidRDefault="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C43B75">
              <w:rPr>
                <w:color w:val="000000"/>
                <w:sz w:val="18"/>
                <w:szCs w:val="18"/>
              </w:rPr>
              <w:t>TURYSTYKA I KULTURA</w:t>
            </w:r>
          </w:p>
        </w:tc>
        <w:tc>
          <w:tcPr>
            <w:tcW w:w="1701" w:type="dxa"/>
            <w:gridSpan w:val="2"/>
            <w:shd w:val="clear" w:color="auto" w:fill="F4B29B" w:themeFill="accent1" w:themeFillTint="66"/>
            <w:noWrap/>
            <w:vAlign w:val="center"/>
            <w:hideMark/>
          </w:tcPr>
          <w:p w:rsidR="0051588A" w:rsidRPr="0051588A" w:rsidRDefault="00C43B75" w:rsidP="00B21EC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C43B75">
              <w:rPr>
                <w:color w:val="000000"/>
                <w:sz w:val="18"/>
                <w:szCs w:val="18"/>
              </w:rPr>
              <w:t>ŚRODOWISKO</w:t>
            </w:r>
          </w:p>
          <w:p w:rsidR="00760EB8" w:rsidRDefault="00760EB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p>
        </w:tc>
        <w:tc>
          <w:tcPr>
            <w:tcW w:w="1418" w:type="dxa"/>
            <w:gridSpan w:val="2"/>
            <w:shd w:val="clear" w:color="auto" w:fill="F4B29B" w:themeFill="accent1" w:themeFillTint="66"/>
            <w:vAlign w:val="center"/>
          </w:tcPr>
          <w:p w:rsidR="0051588A" w:rsidRPr="0051588A" w:rsidRDefault="00C43B75" w:rsidP="00B21EC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C43B75">
              <w:rPr>
                <w:color w:val="000000"/>
                <w:sz w:val="18"/>
                <w:szCs w:val="18"/>
              </w:rPr>
              <w:t>ENERGETYKA</w:t>
            </w:r>
          </w:p>
        </w:tc>
        <w:tc>
          <w:tcPr>
            <w:tcW w:w="1984" w:type="dxa"/>
            <w:gridSpan w:val="2"/>
            <w:shd w:val="clear" w:color="auto" w:fill="F4B29B" w:themeFill="accent1" w:themeFillTint="66"/>
            <w:noWrap/>
            <w:vAlign w:val="center"/>
            <w:hideMark/>
          </w:tcPr>
          <w:p w:rsidR="00760EB8" w:rsidRDefault="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C43B75">
              <w:rPr>
                <w:color w:val="000000"/>
                <w:sz w:val="18"/>
                <w:szCs w:val="18"/>
              </w:rPr>
              <w:t>INFRASTRUKTURA SPOŁECZNA</w:t>
            </w:r>
          </w:p>
        </w:tc>
      </w:tr>
      <w:tr w:rsidR="0046793D" w:rsidRPr="00B21EC4" w:rsidTr="00985FC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35" w:type="dxa"/>
            <w:vMerge/>
            <w:shd w:val="clear" w:color="auto" w:fill="F4B29B" w:themeFill="accent1" w:themeFillTint="66"/>
            <w:vAlign w:val="center"/>
            <w:hideMark/>
          </w:tcPr>
          <w:p w:rsidR="00C43B75" w:rsidRDefault="00C43B75" w:rsidP="00C43B75">
            <w:pPr>
              <w:spacing w:after="0" w:line="240" w:lineRule="auto"/>
              <w:ind w:left="-51"/>
              <w:jc w:val="center"/>
              <w:rPr>
                <w:b w:val="0"/>
                <w:bCs w:val="0"/>
                <w:color w:val="000000"/>
                <w:sz w:val="20"/>
                <w:szCs w:val="20"/>
              </w:rPr>
            </w:pPr>
          </w:p>
        </w:tc>
        <w:tc>
          <w:tcPr>
            <w:tcW w:w="725"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Liczba</w:t>
            </w:r>
          </w:p>
        </w:tc>
        <w:tc>
          <w:tcPr>
            <w:tcW w:w="976"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Wartość w mln EUR</w:t>
            </w:r>
          </w:p>
        </w:tc>
        <w:tc>
          <w:tcPr>
            <w:tcW w:w="709"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Liczba</w:t>
            </w:r>
          </w:p>
        </w:tc>
        <w:tc>
          <w:tcPr>
            <w:tcW w:w="1134"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Wartość w mln EUR</w:t>
            </w:r>
          </w:p>
        </w:tc>
        <w:tc>
          <w:tcPr>
            <w:tcW w:w="992"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Liczba</w:t>
            </w:r>
          </w:p>
        </w:tc>
        <w:tc>
          <w:tcPr>
            <w:tcW w:w="850"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Wartość w mln EUR</w:t>
            </w:r>
          </w:p>
        </w:tc>
        <w:tc>
          <w:tcPr>
            <w:tcW w:w="709"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Liczba</w:t>
            </w:r>
          </w:p>
        </w:tc>
        <w:tc>
          <w:tcPr>
            <w:tcW w:w="1276"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Wartość w mln EUR</w:t>
            </w:r>
          </w:p>
        </w:tc>
        <w:tc>
          <w:tcPr>
            <w:tcW w:w="567"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Liczba</w:t>
            </w:r>
          </w:p>
        </w:tc>
        <w:tc>
          <w:tcPr>
            <w:tcW w:w="850"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Wartość w mln EUR</w:t>
            </w:r>
          </w:p>
        </w:tc>
        <w:tc>
          <w:tcPr>
            <w:tcW w:w="851"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Liczba</w:t>
            </w:r>
          </w:p>
        </w:tc>
        <w:tc>
          <w:tcPr>
            <w:tcW w:w="850"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Wartość w mln EUR</w:t>
            </w:r>
          </w:p>
        </w:tc>
        <w:tc>
          <w:tcPr>
            <w:tcW w:w="567"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Liczba</w:t>
            </w:r>
          </w:p>
        </w:tc>
        <w:tc>
          <w:tcPr>
            <w:tcW w:w="851"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Wartość w mln EUR</w:t>
            </w:r>
          </w:p>
        </w:tc>
        <w:tc>
          <w:tcPr>
            <w:tcW w:w="709"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Liczba</w:t>
            </w:r>
          </w:p>
        </w:tc>
        <w:tc>
          <w:tcPr>
            <w:tcW w:w="1275" w:type="dxa"/>
            <w:shd w:val="clear" w:color="auto" w:fill="F4B29B" w:themeFill="accent1" w:themeFillTint="66"/>
            <w:textDirection w:val="btLr"/>
            <w:vAlign w:val="center"/>
            <w:hideMark/>
          </w:tcPr>
          <w:p w:rsidR="00C43B75" w:rsidRDefault="00C43B75" w:rsidP="00C43B75">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43B75">
              <w:rPr>
                <w:b/>
                <w:bCs/>
                <w:color w:val="000000"/>
                <w:sz w:val="20"/>
                <w:szCs w:val="20"/>
              </w:rPr>
              <w:t>Wartość w mln EUR</w:t>
            </w:r>
          </w:p>
        </w:tc>
      </w:tr>
      <w:tr w:rsidR="0046793D" w:rsidRPr="00B21EC4" w:rsidTr="00985FC3">
        <w:trPr>
          <w:trHeight w:val="778"/>
        </w:trPr>
        <w:tc>
          <w:tcPr>
            <w:cnfStyle w:val="001000000000" w:firstRow="0" w:lastRow="0" w:firstColumn="1" w:lastColumn="0" w:oddVBand="0" w:evenVBand="0" w:oddHBand="0" w:evenHBand="0" w:firstRowFirstColumn="0" w:firstRowLastColumn="0" w:lastRowFirstColumn="0" w:lastRowLastColumn="0"/>
            <w:tcW w:w="1135" w:type="dxa"/>
            <w:shd w:val="clear" w:color="auto" w:fill="F4B29B" w:themeFill="accent1" w:themeFillTint="66"/>
            <w:noWrap/>
            <w:vAlign w:val="center"/>
            <w:hideMark/>
          </w:tcPr>
          <w:p w:rsidR="00C43B75" w:rsidRDefault="00B21EC4" w:rsidP="00C43B75">
            <w:pPr>
              <w:spacing w:after="0" w:line="240" w:lineRule="auto"/>
              <w:ind w:left="-51"/>
              <w:jc w:val="center"/>
              <w:rPr>
                <w:b w:val="0"/>
                <w:bCs w:val="0"/>
                <w:color w:val="000000"/>
                <w:sz w:val="20"/>
                <w:szCs w:val="20"/>
              </w:rPr>
            </w:pPr>
            <w:r w:rsidRPr="00B21EC4">
              <w:rPr>
                <w:color w:val="000000"/>
                <w:sz w:val="20"/>
                <w:szCs w:val="20"/>
              </w:rPr>
              <w:t>POKL</w:t>
            </w:r>
          </w:p>
        </w:tc>
        <w:tc>
          <w:tcPr>
            <w:tcW w:w="725"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9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7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992"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1888</w:t>
            </w:r>
          </w:p>
        </w:tc>
        <w:tc>
          <w:tcPr>
            <w:tcW w:w="85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228,08</w:t>
            </w:r>
          </w:p>
        </w:tc>
        <w:tc>
          <w:tcPr>
            <w:tcW w:w="7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12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567"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1"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567"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1"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760EB8">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7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1275"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r>
      <w:tr w:rsidR="0046793D" w:rsidRPr="00B21EC4" w:rsidTr="00985FC3">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135" w:type="dxa"/>
            <w:shd w:val="clear" w:color="auto" w:fill="F4B29B" w:themeFill="accent1" w:themeFillTint="66"/>
            <w:noWrap/>
            <w:vAlign w:val="center"/>
            <w:hideMark/>
          </w:tcPr>
          <w:p w:rsidR="00C43B75" w:rsidRDefault="00B21EC4" w:rsidP="00C43B75">
            <w:pPr>
              <w:spacing w:after="0" w:line="240" w:lineRule="auto"/>
              <w:ind w:left="-51"/>
              <w:jc w:val="center"/>
              <w:rPr>
                <w:b w:val="0"/>
                <w:bCs w:val="0"/>
                <w:color w:val="000000"/>
                <w:sz w:val="20"/>
                <w:szCs w:val="20"/>
              </w:rPr>
            </w:pPr>
            <w:r w:rsidRPr="00B21EC4">
              <w:rPr>
                <w:color w:val="000000"/>
                <w:sz w:val="20"/>
                <w:szCs w:val="20"/>
              </w:rPr>
              <w:t>POIi</w:t>
            </w:r>
            <w:r>
              <w:rPr>
                <w:color w:val="000000"/>
                <w:sz w:val="20"/>
                <w:szCs w:val="20"/>
              </w:rPr>
              <w:t>Ś</w:t>
            </w:r>
          </w:p>
        </w:tc>
        <w:tc>
          <w:tcPr>
            <w:tcW w:w="725"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46</w:t>
            </w:r>
          </w:p>
        </w:tc>
        <w:tc>
          <w:tcPr>
            <w:tcW w:w="976"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1362,87</w:t>
            </w:r>
          </w:p>
        </w:tc>
        <w:tc>
          <w:tcPr>
            <w:tcW w:w="709"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5</w:t>
            </w:r>
          </w:p>
        </w:tc>
        <w:tc>
          <w:tcPr>
            <w:tcW w:w="1134"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40,89</w:t>
            </w:r>
          </w:p>
        </w:tc>
        <w:tc>
          <w:tcPr>
            <w:tcW w:w="992"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850"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709"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1276"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567"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5</w:t>
            </w:r>
          </w:p>
        </w:tc>
        <w:tc>
          <w:tcPr>
            <w:tcW w:w="850"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41,98</w:t>
            </w:r>
          </w:p>
        </w:tc>
        <w:tc>
          <w:tcPr>
            <w:tcW w:w="851"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7</w:t>
            </w:r>
          </w:p>
        </w:tc>
        <w:tc>
          <w:tcPr>
            <w:tcW w:w="850"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11,08</w:t>
            </w:r>
          </w:p>
        </w:tc>
        <w:tc>
          <w:tcPr>
            <w:tcW w:w="567"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94</w:t>
            </w:r>
          </w:p>
        </w:tc>
        <w:tc>
          <w:tcPr>
            <w:tcW w:w="851"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708,26</w:t>
            </w:r>
          </w:p>
        </w:tc>
        <w:tc>
          <w:tcPr>
            <w:tcW w:w="709"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28</w:t>
            </w:r>
          </w:p>
        </w:tc>
        <w:tc>
          <w:tcPr>
            <w:tcW w:w="1275"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29,52</w:t>
            </w:r>
          </w:p>
        </w:tc>
      </w:tr>
      <w:tr w:rsidR="0046793D" w:rsidRPr="00B21EC4" w:rsidTr="00985FC3">
        <w:trPr>
          <w:trHeight w:val="784"/>
        </w:trPr>
        <w:tc>
          <w:tcPr>
            <w:cnfStyle w:val="001000000000" w:firstRow="0" w:lastRow="0" w:firstColumn="1" w:lastColumn="0" w:oddVBand="0" w:evenVBand="0" w:oddHBand="0" w:evenHBand="0" w:firstRowFirstColumn="0" w:firstRowLastColumn="0" w:lastRowFirstColumn="0" w:lastRowLastColumn="0"/>
            <w:tcW w:w="1135" w:type="dxa"/>
            <w:shd w:val="clear" w:color="auto" w:fill="F4B29B" w:themeFill="accent1" w:themeFillTint="66"/>
            <w:noWrap/>
            <w:vAlign w:val="center"/>
            <w:hideMark/>
          </w:tcPr>
          <w:p w:rsidR="00C43B75" w:rsidRDefault="00B21EC4" w:rsidP="00C43B75">
            <w:pPr>
              <w:spacing w:after="0" w:line="240" w:lineRule="auto"/>
              <w:ind w:left="-51"/>
              <w:jc w:val="center"/>
              <w:rPr>
                <w:b w:val="0"/>
                <w:bCs w:val="0"/>
                <w:color w:val="000000"/>
                <w:sz w:val="20"/>
                <w:szCs w:val="20"/>
              </w:rPr>
            </w:pPr>
            <w:r w:rsidRPr="00B21EC4">
              <w:rPr>
                <w:color w:val="000000"/>
                <w:sz w:val="20"/>
                <w:szCs w:val="20"/>
              </w:rPr>
              <w:t>POIG</w:t>
            </w:r>
          </w:p>
        </w:tc>
        <w:tc>
          <w:tcPr>
            <w:tcW w:w="725"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9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7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485</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285,34</w:t>
            </w:r>
          </w:p>
        </w:tc>
        <w:tc>
          <w:tcPr>
            <w:tcW w:w="992"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16</w:t>
            </w:r>
          </w:p>
        </w:tc>
        <w:tc>
          <w:tcPr>
            <w:tcW w:w="85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4,73</w:t>
            </w:r>
          </w:p>
        </w:tc>
        <w:tc>
          <w:tcPr>
            <w:tcW w:w="7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298</w:t>
            </w:r>
          </w:p>
        </w:tc>
        <w:tc>
          <w:tcPr>
            <w:tcW w:w="12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33,97</w:t>
            </w:r>
          </w:p>
        </w:tc>
        <w:tc>
          <w:tcPr>
            <w:tcW w:w="567"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1</w:t>
            </w:r>
          </w:p>
        </w:tc>
        <w:tc>
          <w:tcPr>
            <w:tcW w:w="85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7,77</w:t>
            </w:r>
          </w:p>
        </w:tc>
        <w:tc>
          <w:tcPr>
            <w:tcW w:w="851"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567"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1"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7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1275"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B21EC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r>
      <w:tr w:rsidR="0046793D" w:rsidRPr="00B21EC4" w:rsidTr="00985FC3">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135" w:type="dxa"/>
            <w:shd w:val="clear" w:color="auto" w:fill="F4B29B" w:themeFill="accent1" w:themeFillTint="66"/>
            <w:noWrap/>
            <w:vAlign w:val="center"/>
            <w:hideMark/>
          </w:tcPr>
          <w:p w:rsidR="00C43B75" w:rsidRDefault="00B21EC4" w:rsidP="00C43B75">
            <w:pPr>
              <w:spacing w:after="0" w:line="240" w:lineRule="auto"/>
              <w:ind w:left="-51"/>
              <w:jc w:val="center"/>
              <w:rPr>
                <w:b w:val="0"/>
                <w:bCs w:val="0"/>
                <w:color w:val="000000"/>
                <w:sz w:val="20"/>
                <w:szCs w:val="20"/>
              </w:rPr>
            </w:pPr>
            <w:r w:rsidRPr="00B21EC4">
              <w:rPr>
                <w:color w:val="000000"/>
                <w:sz w:val="20"/>
                <w:szCs w:val="20"/>
              </w:rPr>
              <w:t>PROW</w:t>
            </w:r>
          </w:p>
        </w:tc>
        <w:tc>
          <w:tcPr>
            <w:tcW w:w="725"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976"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709"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1134"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992"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850"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709"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1276"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567"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850"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851"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99581</w:t>
            </w:r>
          </w:p>
        </w:tc>
        <w:tc>
          <w:tcPr>
            <w:tcW w:w="850"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234,61</w:t>
            </w:r>
          </w:p>
        </w:tc>
        <w:tc>
          <w:tcPr>
            <w:tcW w:w="567"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851"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w:t>
            </w:r>
          </w:p>
        </w:tc>
        <w:tc>
          <w:tcPr>
            <w:tcW w:w="709"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560</w:t>
            </w:r>
          </w:p>
        </w:tc>
        <w:tc>
          <w:tcPr>
            <w:tcW w:w="1275" w:type="dxa"/>
            <w:shd w:val="clear" w:color="auto" w:fill="F9D8CD" w:themeFill="accent1" w:themeFillTint="33"/>
            <w:noWrap/>
            <w:vAlign w:val="center"/>
            <w:hideMark/>
          </w:tcPr>
          <w:p w:rsidR="00760EB8" w:rsidRDefault="00B21EC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21EC4">
              <w:rPr>
                <w:b/>
                <w:bCs/>
                <w:color w:val="000000"/>
                <w:sz w:val="20"/>
                <w:szCs w:val="20"/>
              </w:rPr>
              <w:t>15,99</w:t>
            </w:r>
          </w:p>
        </w:tc>
      </w:tr>
      <w:tr w:rsidR="0046793D" w:rsidRPr="00B21EC4" w:rsidTr="00985FC3">
        <w:trPr>
          <w:trHeight w:val="652"/>
        </w:trPr>
        <w:tc>
          <w:tcPr>
            <w:cnfStyle w:val="001000000000" w:firstRow="0" w:lastRow="0" w:firstColumn="1" w:lastColumn="0" w:oddVBand="0" w:evenVBand="0" w:oddHBand="0" w:evenHBand="0" w:firstRowFirstColumn="0" w:firstRowLastColumn="0" w:lastRowFirstColumn="0" w:lastRowLastColumn="0"/>
            <w:tcW w:w="1135" w:type="dxa"/>
            <w:tcBorders>
              <w:bottom w:val="single" w:sz="8" w:space="0" w:color="FFFFFF" w:themeColor="background1"/>
            </w:tcBorders>
            <w:shd w:val="clear" w:color="auto" w:fill="F4B29B" w:themeFill="accent1" w:themeFillTint="66"/>
            <w:noWrap/>
            <w:vAlign w:val="center"/>
            <w:hideMark/>
          </w:tcPr>
          <w:p w:rsidR="00C43B75" w:rsidRDefault="00985FC3" w:rsidP="00C43B75">
            <w:pPr>
              <w:spacing w:after="0" w:line="240" w:lineRule="auto"/>
              <w:ind w:left="-51"/>
              <w:jc w:val="center"/>
              <w:rPr>
                <w:b w:val="0"/>
                <w:bCs w:val="0"/>
                <w:color w:val="000000"/>
                <w:sz w:val="20"/>
                <w:szCs w:val="20"/>
              </w:rPr>
            </w:pPr>
            <w:r w:rsidRPr="00B21EC4">
              <w:rPr>
                <w:color w:val="000000"/>
                <w:sz w:val="20"/>
                <w:szCs w:val="20"/>
              </w:rPr>
              <w:t>PORYBY</w:t>
            </w:r>
          </w:p>
        </w:tc>
        <w:tc>
          <w:tcPr>
            <w:tcW w:w="725"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9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7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992"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7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12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567"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1"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7</w:t>
            </w:r>
          </w:p>
        </w:tc>
        <w:tc>
          <w:tcPr>
            <w:tcW w:w="85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21EC4">
              <w:rPr>
                <w:b/>
                <w:bCs/>
                <w:color w:val="000000"/>
                <w:sz w:val="20"/>
                <w:szCs w:val="20"/>
              </w:rPr>
              <w:t>3,45</w:t>
            </w:r>
          </w:p>
        </w:tc>
        <w:tc>
          <w:tcPr>
            <w:tcW w:w="567"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851"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7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c>
          <w:tcPr>
            <w:tcW w:w="1275"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760EB8" w:rsidRDefault="00985FC3">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w:t>
            </w:r>
          </w:p>
        </w:tc>
      </w:tr>
    </w:tbl>
    <w:p w:rsidR="00CF4B00" w:rsidRPr="00CF4B00" w:rsidRDefault="00CF4B00" w:rsidP="00CF4B00"/>
    <w:p w:rsidR="00B21EC4" w:rsidRDefault="00B21EC4">
      <w:pPr>
        <w:spacing w:after="0" w:line="240" w:lineRule="auto"/>
        <w:rPr>
          <w:b/>
          <w:i/>
          <w:szCs w:val="24"/>
          <w:lang w:eastAsia="ar-SA"/>
        </w:rPr>
      </w:pPr>
      <w:r>
        <w:rPr>
          <w:b/>
          <w:i/>
          <w:szCs w:val="24"/>
          <w:lang w:eastAsia="ar-SA"/>
        </w:rPr>
        <w:br w:type="page"/>
      </w:r>
    </w:p>
    <w:p w:rsidR="00B21EC4" w:rsidRDefault="00B21EC4" w:rsidP="006D71C7">
      <w:pPr>
        <w:pStyle w:val="Akapitzlist"/>
        <w:spacing w:after="240"/>
        <w:ind w:left="0"/>
        <w:jc w:val="both"/>
        <w:rPr>
          <w:b/>
          <w:i/>
          <w:szCs w:val="24"/>
          <w:lang w:eastAsia="ar-SA"/>
        </w:rPr>
        <w:sectPr w:rsidR="00B21EC4" w:rsidSect="00CC06A3">
          <w:endnotePr>
            <w:numFmt w:val="decimal"/>
          </w:endnotePr>
          <w:pgSz w:w="16838" w:h="11906" w:orient="landscape" w:code="9"/>
          <w:pgMar w:top="1418" w:right="1134" w:bottom="1418" w:left="1418" w:header="0" w:footer="726" w:gutter="0"/>
          <w:cols w:space="708"/>
          <w:noEndnote/>
          <w:titlePg/>
          <w:docGrid w:linePitch="326"/>
        </w:sectPr>
      </w:pPr>
    </w:p>
    <w:p w:rsidR="0018155F" w:rsidRPr="006D71C7" w:rsidRDefault="00637A7A" w:rsidP="006D71C7">
      <w:pPr>
        <w:pStyle w:val="Akapitzlist"/>
        <w:spacing w:after="240"/>
        <w:ind w:left="0"/>
        <w:jc w:val="both"/>
        <w:rPr>
          <w:b/>
          <w:i/>
          <w:szCs w:val="24"/>
          <w:lang w:eastAsia="ar-SA"/>
        </w:rPr>
      </w:pPr>
      <w:r w:rsidRPr="006D71C7">
        <w:rPr>
          <w:b/>
          <w:i/>
          <w:szCs w:val="24"/>
          <w:lang w:eastAsia="ar-SA"/>
        </w:rPr>
        <w:t>Analiza wskaźnikowa</w:t>
      </w:r>
    </w:p>
    <w:p w:rsidR="00957B13" w:rsidRPr="006D71C7" w:rsidRDefault="00957B13" w:rsidP="006D71C7">
      <w:pPr>
        <w:pStyle w:val="Akapitzlist"/>
        <w:ind w:left="0"/>
        <w:jc w:val="both"/>
        <w:rPr>
          <w:szCs w:val="24"/>
          <w:lang w:eastAsia="ar-SA"/>
        </w:rPr>
      </w:pPr>
      <w:r w:rsidRPr="006D71C7">
        <w:rPr>
          <w:szCs w:val="24"/>
          <w:lang w:eastAsia="ar-SA"/>
        </w:rPr>
        <w:t xml:space="preserve">Postęp rzeczowy wskaźników celu </w:t>
      </w:r>
      <w:r w:rsidRPr="006D71C7">
        <w:rPr>
          <w:i/>
          <w:szCs w:val="24"/>
          <w:lang w:eastAsia="ar-SA"/>
        </w:rPr>
        <w:t>Programu</w:t>
      </w:r>
      <w:r w:rsidRPr="006D71C7">
        <w:rPr>
          <w:szCs w:val="24"/>
          <w:lang w:eastAsia="ar-SA"/>
        </w:rPr>
        <w:t xml:space="preserve"> i wskaźników horyzontalnych został przedstawiony w załączniku nr I do niniejszego </w:t>
      </w:r>
      <w:r w:rsidRPr="006D71C7">
        <w:rPr>
          <w:i/>
          <w:szCs w:val="24"/>
          <w:lang w:eastAsia="ar-SA"/>
        </w:rPr>
        <w:t>Sprawozdania.</w:t>
      </w:r>
    </w:p>
    <w:p w:rsidR="00957B13" w:rsidRPr="006D71C7" w:rsidRDefault="00957B13" w:rsidP="006D71C7">
      <w:pPr>
        <w:pStyle w:val="Akapitzlist"/>
        <w:autoSpaceDE w:val="0"/>
        <w:autoSpaceDN w:val="0"/>
        <w:adjustRightInd w:val="0"/>
        <w:ind w:left="0"/>
        <w:jc w:val="both"/>
        <w:rPr>
          <w:szCs w:val="24"/>
        </w:rPr>
      </w:pPr>
      <w:r w:rsidRPr="006D71C7">
        <w:rPr>
          <w:szCs w:val="24"/>
        </w:rPr>
        <w:t xml:space="preserve">Wskaźniki </w:t>
      </w:r>
      <w:r w:rsidRPr="006D71C7">
        <w:rPr>
          <w:i/>
          <w:szCs w:val="24"/>
        </w:rPr>
        <w:t>Wpływ realizacji programu na zmianę PKB</w:t>
      </w:r>
      <w:r w:rsidRPr="006D71C7">
        <w:rPr>
          <w:szCs w:val="24"/>
        </w:rPr>
        <w:t xml:space="preserve"> oraz </w:t>
      </w:r>
      <w:r w:rsidRPr="006D71C7">
        <w:rPr>
          <w:i/>
          <w:szCs w:val="24"/>
        </w:rPr>
        <w:t xml:space="preserve">Liczba utworzonych miejsc pracy netto </w:t>
      </w:r>
      <w:r w:rsidRPr="006D71C7">
        <w:rPr>
          <w:szCs w:val="24"/>
        </w:rPr>
        <w:t>zgodnie z zapisami</w:t>
      </w:r>
      <w:r w:rsidRPr="006D71C7">
        <w:rPr>
          <w:i/>
          <w:szCs w:val="24"/>
        </w:rPr>
        <w:t xml:space="preserve"> Programu</w:t>
      </w:r>
      <w:r w:rsidRPr="006D71C7">
        <w:rPr>
          <w:szCs w:val="24"/>
        </w:rPr>
        <w:t xml:space="preserve"> będą mierzone w roku 2013 i po zakończeniu </w:t>
      </w:r>
      <w:r w:rsidRPr="006D71C7">
        <w:rPr>
          <w:i/>
          <w:szCs w:val="24"/>
        </w:rPr>
        <w:t xml:space="preserve">Programu </w:t>
      </w:r>
      <w:r w:rsidRPr="006D71C7">
        <w:rPr>
          <w:szCs w:val="24"/>
        </w:rPr>
        <w:t>(2015) za pomocą ewaluacji oraz z wykorzystaniem modelu makroekonomicznego HERMIN.</w:t>
      </w:r>
    </w:p>
    <w:p w:rsidR="00957B13" w:rsidRPr="006D71C7" w:rsidRDefault="00957B13" w:rsidP="006D71C7">
      <w:pPr>
        <w:pStyle w:val="Akapitzlist"/>
        <w:autoSpaceDE w:val="0"/>
        <w:autoSpaceDN w:val="0"/>
        <w:adjustRightInd w:val="0"/>
        <w:ind w:left="0"/>
        <w:jc w:val="both"/>
        <w:rPr>
          <w:szCs w:val="24"/>
        </w:rPr>
      </w:pPr>
      <w:r w:rsidRPr="006D71C7">
        <w:rPr>
          <w:szCs w:val="24"/>
        </w:rPr>
        <w:t xml:space="preserve">Przeprowadzona analiza SWOT wykazała najważniejsze problemy województwa. Na tej podstawie został określony jeden z celów głównych a mianowicie, wpływ realizacji programu na zmianę PKB, który jest odpowiedzią na zdiagnozowany spadek potencjału ekonomicznego regionu. </w:t>
      </w:r>
      <w:r w:rsidRPr="006D71C7">
        <w:t xml:space="preserve">W roku 2011 nastąpił znaczny wzrost osiągniętych wartości wskaźników programowych jak i horyzontalnych w porównaniu z poprzednim okresem sprawozdawczym. </w:t>
      </w:r>
    </w:p>
    <w:p w:rsidR="00957B13" w:rsidRDefault="00957B13" w:rsidP="006D71C7">
      <w:pPr>
        <w:spacing w:after="120"/>
        <w:jc w:val="both"/>
        <w:rPr>
          <w:szCs w:val="24"/>
        </w:rPr>
      </w:pPr>
      <w:r w:rsidRPr="006D71C7">
        <w:rPr>
          <w:szCs w:val="24"/>
        </w:rPr>
        <w:t>Dwa wskaźniki celu głównego będą mierzone za pomocą ewaluacji</w:t>
      </w:r>
      <w:r w:rsidR="00D021BA" w:rsidRPr="006D71C7">
        <w:rPr>
          <w:szCs w:val="24"/>
        </w:rPr>
        <w:t>,</w:t>
      </w:r>
      <w:r w:rsidRPr="006D71C7">
        <w:rPr>
          <w:szCs w:val="24"/>
        </w:rPr>
        <w:t xml:space="preserve"> dlatego widoczny jest postęp tylko dla jednego wskaźnika: </w:t>
      </w:r>
      <w:r w:rsidRPr="006D71C7">
        <w:rPr>
          <w:i/>
          <w:szCs w:val="24"/>
        </w:rPr>
        <w:t xml:space="preserve">Utworzone miejsca pracy brutto, </w:t>
      </w:r>
      <w:r w:rsidRPr="006D71C7">
        <w:rPr>
          <w:szCs w:val="24"/>
        </w:rPr>
        <w:t>gdzie wartość równa jest</w:t>
      </w:r>
      <w:r w:rsidRPr="006D71C7">
        <w:rPr>
          <w:i/>
          <w:szCs w:val="24"/>
        </w:rPr>
        <w:t xml:space="preserve"> 2119,25</w:t>
      </w:r>
      <w:r w:rsidRPr="006D71C7">
        <w:rPr>
          <w:szCs w:val="24"/>
        </w:rPr>
        <w:t xml:space="preserve"> szt. </w:t>
      </w:r>
      <w:r w:rsidRPr="006D71C7">
        <w:t xml:space="preserve">(miejsc pracy w EPC) </w:t>
      </w:r>
      <w:r w:rsidRPr="006D71C7">
        <w:rPr>
          <w:szCs w:val="24"/>
        </w:rPr>
        <w:t xml:space="preserve">i w kolejnych latach </w:t>
      </w:r>
      <w:r w:rsidR="00D021BA" w:rsidRPr="006D71C7">
        <w:rPr>
          <w:szCs w:val="24"/>
        </w:rPr>
        <w:t xml:space="preserve">- </w:t>
      </w:r>
      <w:r w:rsidRPr="006D71C7">
        <w:rPr>
          <w:szCs w:val="24"/>
        </w:rPr>
        <w:t xml:space="preserve">jak widać z szacowanej realizacji </w:t>
      </w:r>
      <w:r w:rsidR="00D021BA" w:rsidRPr="006D71C7">
        <w:rPr>
          <w:szCs w:val="24"/>
        </w:rPr>
        <w:t xml:space="preserve">- </w:t>
      </w:r>
      <w:r w:rsidRPr="006D71C7">
        <w:rPr>
          <w:szCs w:val="24"/>
        </w:rPr>
        <w:t>będzie wzrastać. Na koniec okresu sprawozdawczego p</w:t>
      </w:r>
      <w:r w:rsidRPr="006D71C7">
        <w:t xml:space="preserve">rzewiduje się utworzenie </w:t>
      </w:r>
      <w:r w:rsidRPr="006D71C7">
        <w:rPr>
          <w:i/>
        </w:rPr>
        <w:t>6570,77</w:t>
      </w:r>
      <w:r w:rsidRPr="006D71C7">
        <w:t xml:space="preserve"> nowych miejsc pracy, a postęp przedmiotowego wskaźnika przekłada się bezpośrednio</w:t>
      </w:r>
      <w:r w:rsidRPr="006D71C7">
        <w:rPr>
          <w:szCs w:val="24"/>
        </w:rPr>
        <w:t xml:space="preserve"> na</w:t>
      </w:r>
      <w:r w:rsidRPr="006D71C7">
        <w:t> likwidację wskazanych w analizie SWOT słabych stron województwa: niski wskaźnik zatrudnienia i wysoka liczba zarejestrowanych bezrobotnych.</w:t>
      </w:r>
      <w:r w:rsidRPr="006D71C7">
        <w:rPr>
          <w:szCs w:val="24"/>
        </w:rPr>
        <w:t xml:space="preserve"> </w:t>
      </w:r>
    </w:p>
    <w:p w:rsidR="006E4456" w:rsidRDefault="00985FC3" w:rsidP="003030BD">
      <w:pPr>
        <w:autoSpaceDE w:val="0"/>
        <w:autoSpaceDN w:val="0"/>
        <w:adjustRightInd w:val="0"/>
        <w:spacing w:after="0"/>
        <w:jc w:val="both"/>
        <w:rPr>
          <w:rFonts w:eastAsia="Calibri"/>
          <w:szCs w:val="24"/>
        </w:rPr>
      </w:pPr>
      <w:r>
        <w:rPr>
          <w:iCs/>
        </w:rPr>
        <w:t>Realizacja</w:t>
      </w:r>
      <w:r w:rsidR="003030BD">
        <w:rPr>
          <w:iCs/>
        </w:rPr>
        <w:t xml:space="preserve"> wskaźnika </w:t>
      </w:r>
      <w:r w:rsidR="003030BD" w:rsidRPr="00D3287B">
        <w:rPr>
          <w:i/>
          <w:iCs/>
        </w:rPr>
        <w:t>Utworzone miejsca pracy brutto</w:t>
      </w:r>
      <w:r w:rsidR="003030BD">
        <w:rPr>
          <w:iCs/>
        </w:rPr>
        <w:t xml:space="preserve"> w podziale na kobiety i mężczyzn wskazuje na większą liczbę utworzonych miejsc prac dla mężczyzn, których liczba wyniosła 1446,25 etatów</w:t>
      </w:r>
      <w:r>
        <w:rPr>
          <w:iCs/>
        </w:rPr>
        <w:t>,</w:t>
      </w:r>
      <w:r w:rsidR="003030BD">
        <w:rPr>
          <w:iCs/>
        </w:rPr>
        <w:t xml:space="preserve"> co stanowi 68% całkowitej realizacji wskaźnika. Natomiast miejsca pracy utworzone dla kobiet rysują się na poziomie 673 etatów</w:t>
      </w:r>
      <w:r>
        <w:rPr>
          <w:iCs/>
        </w:rPr>
        <w:t>,</w:t>
      </w:r>
      <w:r w:rsidR="003030BD">
        <w:rPr>
          <w:iCs/>
        </w:rPr>
        <w:t xml:space="preserve"> co stanowi 32% ogólnej liczby utworzonych miejsc pracy. Za różnicę w realizacji wskaźników odpowiada w głównej mierze realizacja w priorytecie I, a dokładnie w </w:t>
      </w:r>
      <w:r w:rsidR="00C43B75" w:rsidRPr="00C43B75">
        <w:rPr>
          <w:i/>
          <w:iCs/>
        </w:rPr>
        <w:t>działaniu 1.2 Mikroprzedsiębiorstwa i MŚP</w:t>
      </w:r>
      <w:r w:rsidR="003030BD">
        <w:rPr>
          <w:iCs/>
        </w:rPr>
        <w:t xml:space="preserve">, gdzie dla mężczyzn utworzonych zostało 1355, a dla kobiet 540 nowych etatów. </w:t>
      </w:r>
      <w:r w:rsidR="003030BD" w:rsidRPr="0003480C">
        <w:rPr>
          <w:rFonts w:eastAsia="Calibri"/>
          <w:szCs w:val="24"/>
        </w:rPr>
        <w:t>Równość szans kobiet i mężczyzn jest w</w:t>
      </w:r>
      <w:r w:rsidR="003030BD">
        <w:rPr>
          <w:rFonts w:eastAsia="Calibri"/>
          <w:szCs w:val="24"/>
        </w:rPr>
        <w:t>ażnym</w:t>
      </w:r>
      <w:r w:rsidR="003030BD" w:rsidRPr="0003480C">
        <w:rPr>
          <w:rFonts w:eastAsia="Calibri"/>
          <w:szCs w:val="24"/>
        </w:rPr>
        <w:t xml:space="preserve"> elementem szerszej kwestii równości szans, której przestrzeganie stanowi jedn</w:t>
      </w:r>
      <w:r w:rsidR="003030BD">
        <w:rPr>
          <w:rFonts w:eastAsia="Calibri"/>
          <w:szCs w:val="24"/>
        </w:rPr>
        <w:t>ą</w:t>
      </w:r>
      <w:r w:rsidR="003030BD" w:rsidRPr="0003480C">
        <w:rPr>
          <w:rFonts w:eastAsia="Calibri"/>
          <w:szCs w:val="24"/>
        </w:rPr>
        <w:t xml:space="preserve"> z podstawowych zasad</w:t>
      </w:r>
      <w:r w:rsidR="003030BD">
        <w:rPr>
          <w:rFonts w:eastAsia="Calibri"/>
          <w:szCs w:val="24"/>
        </w:rPr>
        <w:t xml:space="preserve"> RPO WSL. Przy programowaniu zostały założone podwskaźniki: miejsc</w:t>
      </w:r>
      <w:r>
        <w:rPr>
          <w:rFonts w:eastAsia="Calibri"/>
          <w:szCs w:val="24"/>
        </w:rPr>
        <w:t>a</w:t>
      </w:r>
      <w:r w:rsidR="003030BD">
        <w:rPr>
          <w:rFonts w:eastAsia="Calibri"/>
          <w:szCs w:val="24"/>
        </w:rPr>
        <w:t xml:space="preserve"> pracy w podziale na płeć na równym poziomie, beneficjenci składając wnioski o dofinansowanie nie deklarują kogo zatrudnią, gdyż zosta</w:t>
      </w:r>
      <w:r>
        <w:rPr>
          <w:rFonts w:eastAsia="Calibri"/>
          <w:szCs w:val="24"/>
        </w:rPr>
        <w:t>łaby</w:t>
      </w:r>
      <w:r w:rsidR="003030BD">
        <w:rPr>
          <w:rFonts w:eastAsia="Calibri"/>
          <w:szCs w:val="24"/>
        </w:rPr>
        <w:t xml:space="preserve"> zaburzona omawiana zasada</w:t>
      </w:r>
      <w:r w:rsidR="00CE21FB">
        <w:rPr>
          <w:rFonts w:eastAsia="Calibri"/>
          <w:szCs w:val="24"/>
        </w:rPr>
        <w:t>,</w:t>
      </w:r>
      <w:r w:rsidR="003030BD">
        <w:rPr>
          <w:rFonts w:eastAsia="Calibri"/>
          <w:szCs w:val="24"/>
        </w:rPr>
        <w:t xml:space="preserve"> każdy ma mieć równy dostęp do </w:t>
      </w:r>
      <w:r w:rsidR="00CE21FB">
        <w:rPr>
          <w:rFonts w:eastAsia="Calibri"/>
          <w:szCs w:val="24"/>
        </w:rPr>
        <w:t>zatrudnienia</w:t>
      </w:r>
      <w:r w:rsidR="003030BD">
        <w:rPr>
          <w:rFonts w:eastAsia="Calibri"/>
          <w:szCs w:val="24"/>
        </w:rPr>
        <w:t>.</w:t>
      </w:r>
      <w:r w:rsidR="00CE21FB">
        <w:rPr>
          <w:rFonts w:eastAsia="Calibri"/>
          <w:szCs w:val="24"/>
        </w:rPr>
        <w:t xml:space="preserve"> </w:t>
      </w:r>
      <w:r w:rsidR="006E4456">
        <w:rPr>
          <w:rFonts w:eastAsia="Calibri"/>
          <w:szCs w:val="24"/>
        </w:rPr>
        <w:t>Analizując omawiane podwskaźniki w podziale na priorytety, można zaobserwować zróżnicowanie, w jednych więcej zatrudniono kobiet w innych mężczyzn, uzależnione jest to od potrzeb beneficjenta oraz od zgłoszonych ofert potencjalnych pracowników.</w:t>
      </w:r>
    </w:p>
    <w:p w:rsidR="00C43B75" w:rsidRDefault="003030BD" w:rsidP="00C43B75">
      <w:pPr>
        <w:autoSpaceDE w:val="0"/>
        <w:autoSpaceDN w:val="0"/>
        <w:adjustRightInd w:val="0"/>
        <w:spacing w:after="0"/>
        <w:jc w:val="both"/>
        <w:rPr>
          <w:iCs/>
        </w:rPr>
      </w:pPr>
      <w:r w:rsidRPr="00DE3312">
        <w:rPr>
          <w:iCs/>
        </w:rPr>
        <w:t>IZ RPO WSL przyjęła odpowiednie kryteria wyboru projektów do dofinansowania dot. polityk horyzontalnych (ok</w:t>
      </w:r>
      <w:r w:rsidRPr="00DE3312">
        <w:t>reślenie stopnia realizacji polityki równych szans, polityki ochrony środowiska, wpływ projektu na utworzenie nowych miejsc pracy</w:t>
      </w:r>
      <w:r>
        <w:t>). P</w:t>
      </w:r>
      <w:r w:rsidRPr="00DE3312">
        <w:t>rojekt mający pozytywny wpływ na realizacje poszczególnych polityk horyzontalnych otrzymuje dodatkowe punkty w trakcie przeprowadzanej oceny merytoryczno-technicznej, co</w:t>
      </w:r>
      <w:r>
        <w:t xml:space="preserve"> </w:t>
      </w:r>
      <w:r w:rsidRPr="00DE3312">
        <w:t>w</w:t>
      </w:r>
      <w:r>
        <w:t xml:space="preserve"> </w:t>
      </w:r>
      <w:r w:rsidRPr="00DE3312">
        <w:t>konsekwencji zwiększa jego szansę na otrzymanie dofinansowania</w:t>
      </w:r>
      <w:r>
        <w:t>.</w:t>
      </w:r>
    </w:p>
    <w:p w:rsidR="00957B13" w:rsidRPr="006D71C7" w:rsidRDefault="00957B13" w:rsidP="006D71C7">
      <w:pPr>
        <w:pStyle w:val="Akapitzlist"/>
        <w:spacing w:after="240"/>
        <w:ind w:left="0"/>
        <w:jc w:val="both"/>
        <w:rPr>
          <w:szCs w:val="24"/>
          <w:lang w:eastAsia="ar-SA"/>
        </w:rPr>
      </w:pPr>
      <w:r w:rsidRPr="006D71C7">
        <w:rPr>
          <w:szCs w:val="24"/>
          <w:lang w:eastAsia="ar-SA"/>
        </w:rPr>
        <w:t xml:space="preserve">W okresie sprawozdawczym zakończono realizację 118-tu projektów w ramach wskaźnika horyzontalnego produktu </w:t>
      </w:r>
      <w:r w:rsidRPr="006D71C7">
        <w:rPr>
          <w:i/>
          <w:szCs w:val="24"/>
          <w:lang w:eastAsia="ar-SA"/>
        </w:rPr>
        <w:t>Liczba projektów w zakresie usuwania barier funkcjonalnych dla osób niepełnosprawnych</w:t>
      </w:r>
      <w:r w:rsidRPr="006D71C7">
        <w:rPr>
          <w:szCs w:val="24"/>
          <w:lang w:eastAsia="ar-SA"/>
        </w:rPr>
        <w:t xml:space="preserve"> oraz 58-iu w ramach wskaźnika horyzontalnego </w:t>
      </w:r>
      <w:r w:rsidR="00921DC3" w:rsidRPr="006D71C7">
        <w:rPr>
          <w:i/>
          <w:szCs w:val="24"/>
          <w:lang w:eastAsia="ar-SA"/>
        </w:rPr>
        <w:t>Liczba projektów w </w:t>
      </w:r>
      <w:r w:rsidRPr="006D71C7">
        <w:rPr>
          <w:i/>
          <w:szCs w:val="24"/>
          <w:lang w:eastAsia="ar-SA"/>
        </w:rPr>
        <w:t>zakresie poprawy efektywności energetycznej</w:t>
      </w:r>
      <w:r w:rsidRPr="006D71C7">
        <w:rPr>
          <w:szCs w:val="24"/>
          <w:lang w:eastAsia="ar-SA"/>
        </w:rPr>
        <w:t xml:space="preserve">. </w:t>
      </w:r>
    </w:p>
    <w:p w:rsidR="00D021BA" w:rsidRPr="006D71C7" w:rsidRDefault="00957B13" w:rsidP="006D71C7">
      <w:pPr>
        <w:pStyle w:val="Akapitzlist"/>
        <w:ind w:left="0"/>
        <w:jc w:val="both"/>
        <w:rPr>
          <w:szCs w:val="24"/>
          <w:lang w:eastAsia="ar-SA"/>
        </w:rPr>
      </w:pPr>
      <w:r w:rsidRPr="006D71C7">
        <w:rPr>
          <w:szCs w:val="24"/>
          <w:lang w:eastAsia="ar-SA"/>
        </w:rPr>
        <w:t xml:space="preserve">Na wskaźnik horyzontalny </w:t>
      </w:r>
      <w:r w:rsidR="00921DC3" w:rsidRPr="006D71C7">
        <w:rPr>
          <w:i/>
          <w:szCs w:val="24"/>
          <w:lang w:eastAsia="ar-SA"/>
        </w:rPr>
        <w:t xml:space="preserve">Liczba projektów </w:t>
      </w:r>
      <w:r w:rsidRPr="006D71C7">
        <w:rPr>
          <w:i/>
          <w:szCs w:val="24"/>
          <w:lang w:eastAsia="ar-SA"/>
        </w:rPr>
        <w:t>w zakresie poprawy efektywności energetycznej</w:t>
      </w:r>
      <w:r w:rsidRPr="006D71C7">
        <w:rPr>
          <w:szCs w:val="24"/>
          <w:lang w:eastAsia="ar-SA"/>
        </w:rPr>
        <w:t xml:space="preserve"> nie zostały zagregowane projekty, których beneficjenci nie byli w stanie przedstawić wartości zaoszczędzonej energii. Beneficjenci składając projekt we wniosku o dofinansowanie zaznaczają, że projekt jest z zakresu poprawy efektywności energetycznej</w:t>
      </w:r>
      <w:r w:rsidR="00D021BA" w:rsidRPr="006D71C7">
        <w:rPr>
          <w:szCs w:val="24"/>
          <w:lang w:eastAsia="ar-SA"/>
        </w:rPr>
        <w:t>,</w:t>
      </w:r>
      <w:r w:rsidRPr="006D71C7">
        <w:rPr>
          <w:szCs w:val="24"/>
          <w:lang w:eastAsia="ar-SA"/>
        </w:rPr>
        <w:t xml:space="preserve"> ponieważ takie działania są przewidziane w projekcie. Nie przekładają się one jednak na wartość zaoszczędzonej energii z wielu </w:t>
      </w:r>
      <w:r w:rsidR="00921DC3" w:rsidRPr="006D71C7">
        <w:rPr>
          <w:szCs w:val="24"/>
          <w:lang w:eastAsia="ar-SA"/>
        </w:rPr>
        <w:t>przyczyn</w:t>
      </w:r>
      <w:r w:rsidRPr="006D71C7">
        <w:rPr>
          <w:szCs w:val="24"/>
          <w:lang w:eastAsia="ar-SA"/>
        </w:rPr>
        <w:t xml:space="preserve"> między innymi ze względu na charakter projektu, który poza działaniami przeprowadz</w:t>
      </w:r>
      <w:r w:rsidR="00D021BA" w:rsidRPr="006D71C7">
        <w:rPr>
          <w:szCs w:val="24"/>
          <w:lang w:eastAsia="ar-SA"/>
        </w:rPr>
        <w:t>a</w:t>
      </w:r>
      <w:r w:rsidRPr="006D71C7">
        <w:rPr>
          <w:szCs w:val="24"/>
          <w:lang w:eastAsia="ar-SA"/>
        </w:rPr>
        <w:t>n</w:t>
      </w:r>
      <w:r w:rsidR="00D021BA" w:rsidRPr="006D71C7">
        <w:rPr>
          <w:szCs w:val="24"/>
          <w:lang w:eastAsia="ar-SA"/>
        </w:rPr>
        <w:t>ymi</w:t>
      </w:r>
      <w:r w:rsidRPr="006D71C7">
        <w:rPr>
          <w:szCs w:val="24"/>
          <w:lang w:eastAsia="ar-SA"/>
        </w:rPr>
        <w:t xml:space="preserve"> w przedmiotowym budynku</w:t>
      </w:r>
      <w:r w:rsidR="00D021BA" w:rsidRPr="006D71C7">
        <w:rPr>
          <w:szCs w:val="24"/>
          <w:lang w:eastAsia="ar-SA"/>
        </w:rPr>
        <w:t>,</w:t>
      </w:r>
      <w:r w:rsidRPr="006D71C7">
        <w:rPr>
          <w:szCs w:val="24"/>
          <w:lang w:eastAsia="ar-SA"/>
        </w:rPr>
        <w:t xml:space="preserve"> obejmuje także dobudowanie nowej części, co nie tylko nie obniża, ale podwyższa wartość zużywanej energii. Tak więc wartość wskaźnika zawierają wyłącznie projekty, których beneficjenci byli w stanie, czy to poprzez audyt energetyczny czy też własne wyliczenia, wykazać wartość zaoszczędzonej energii. </w:t>
      </w:r>
    </w:p>
    <w:p w:rsidR="00957B13" w:rsidRPr="006D71C7" w:rsidRDefault="00957B13" w:rsidP="006D71C7">
      <w:pPr>
        <w:pStyle w:val="Akapitzlist"/>
        <w:ind w:left="0"/>
        <w:jc w:val="both"/>
        <w:rPr>
          <w:szCs w:val="24"/>
          <w:lang w:eastAsia="ar-SA"/>
        </w:rPr>
      </w:pPr>
      <w:r w:rsidRPr="006D71C7">
        <w:rPr>
          <w:szCs w:val="24"/>
          <w:lang w:eastAsia="ar-SA"/>
        </w:rPr>
        <w:t xml:space="preserve">Osiągnięte wartości ww. wskaźników mają swoje przełożenie na wskaźniki rezultatu i tak, w ramach wskaźnika </w:t>
      </w:r>
      <w:r w:rsidRPr="006D71C7">
        <w:rPr>
          <w:i/>
          <w:szCs w:val="24"/>
          <w:lang w:eastAsia="ar-SA"/>
        </w:rPr>
        <w:t xml:space="preserve">Redukcja zużycia energii we wspartych budynkach </w:t>
      </w:r>
      <w:r w:rsidRPr="006D71C7">
        <w:rPr>
          <w:szCs w:val="24"/>
          <w:lang w:eastAsia="ar-SA"/>
        </w:rPr>
        <w:t xml:space="preserve">osiągnięta wartość to 18804,006 MWh. Natomiast </w:t>
      </w:r>
      <w:r w:rsidRPr="006D71C7">
        <w:rPr>
          <w:i/>
          <w:szCs w:val="24"/>
          <w:lang w:eastAsia="ar-SA"/>
        </w:rPr>
        <w:t>Liczba osób niepełnosprawnych korzystających z udogodnień powstałych w ramach wsparcia RPO</w:t>
      </w:r>
      <w:r w:rsidRPr="006D71C7">
        <w:rPr>
          <w:szCs w:val="24"/>
          <w:lang w:eastAsia="ar-SA"/>
        </w:rPr>
        <w:t xml:space="preserve"> to 43 819 osób.</w:t>
      </w:r>
    </w:p>
    <w:p w:rsidR="00957B13" w:rsidRPr="006D71C7" w:rsidRDefault="00957B13" w:rsidP="006D71C7">
      <w:pPr>
        <w:pStyle w:val="Akapitzlist"/>
        <w:ind w:left="0"/>
        <w:jc w:val="both"/>
        <w:rPr>
          <w:szCs w:val="24"/>
          <w:lang w:eastAsia="ar-SA"/>
        </w:rPr>
      </w:pPr>
      <w:r w:rsidRPr="006D71C7">
        <w:rPr>
          <w:szCs w:val="24"/>
          <w:lang w:eastAsia="ar-SA"/>
        </w:rPr>
        <w:t xml:space="preserve">W związku z brakiem odpowiednich wskaźników na poziomie projektu, które przekładałyby się na realizację wskaźników horyzontalnych rezultatu IZ RPO WSL wprowadziła odpowiednie zapisy do wniosku o płatność końcową, w celu uzyskania potrzebnych danych do monitorowania ww. wskaźników horyzontalnych. </w:t>
      </w:r>
      <w:r w:rsidRPr="006D71C7">
        <w:rPr>
          <w:szCs w:val="24"/>
        </w:rPr>
        <w:t xml:space="preserve">Dla wskaźnika </w:t>
      </w:r>
      <w:r w:rsidRPr="006D71C7">
        <w:rPr>
          <w:i/>
          <w:szCs w:val="24"/>
        </w:rPr>
        <w:t>Liczba osób niepełnosprawnych korzystających z udogodnień powstałych w ramach projektu</w:t>
      </w:r>
      <w:r w:rsidRPr="006D71C7">
        <w:rPr>
          <w:szCs w:val="24"/>
        </w:rPr>
        <w:t xml:space="preserve"> – </w:t>
      </w:r>
      <w:r w:rsidR="00921DC3" w:rsidRPr="006D71C7">
        <w:rPr>
          <w:szCs w:val="24"/>
        </w:rPr>
        <w:t>w </w:t>
      </w:r>
      <w:r w:rsidRPr="006D71C7">
        <w:rPr>
          <w:szCs w:val="24"/>
        </w:rPr>
        <w:t xml:space="preserve">przypadku gdy Beneficjent we wniosku o dofinansowanie w polu C.8. </w:t>
      </w:r>
      <w:r w:rsidRPr="006D71C7">
        <w:rPr>
          <w:i/>
          <w:szCs w:val="24"/>
        </w:rPr>
        <w:t xml:space="preserve">Usuwanie barier dla osób niepełnosprawnych </w:t>
      </w:r>
      <w:r w:rsidRPr="006D71C7">
        <w:rPr>
          <w:szCs w:val="24"/>
        </w:rPr>
        <w:t xml:space="preserve">zaznaczył odpowiedź TAK przedstawia w momencie składania wniosku o płatność końcową szacunkową wartość wskaźnika </w:t>
      </w:r>
      <w:r w:rsidR="002E76DD" w:rsidRPr="006D71C7">
        <w:rPr>
          <w:szCs w:val="24"/>
        </w:rPr>
        <w:t xml:space="preserve">a </w:t>
      </w:r>
      <w:r w:rsidRPr="006D71C7">
        <w:rPr>
          <w:szCs w:val="24"/>
        </w:rPr>
        <w:t>w rok po zakończeniu realizacji projektu przedstawia IZ RPO WSL osiągniętą wartość wskaźnika.</w:t>
      </w:r>
    </w:p>
    <w:p w:rsidR="00957B13" w:rsidRPr="006D71C7" w:rsidRDefault="00957B13" w:rsidP="006D71C7">
      <w:pPr>
        <w:tabs>
          <w:tab w:val="num" w:pos="0"/>
        </w:tabs>
        <w:autoSpaceDE w:val="0"/>
        <w:autoSpaceDN w:val="0"/>
        <w:adjustRightInd w:val="0"/>
        <w:spacing w:after="120"/>
        <w:jc w:val="both"/>
        <w:rPr>
          <w:szCs w:val="24"/>
        </w:rPr>
      </w:pPr>
      <w:r w:rsidRPr="006D71C7">
        <w:rPr>
          <w:szCs w:val="24"/>
        </w:rPr>
        <w:t xml:space="preserve">Dla wskaźnika </w:t>
      </w:r>
      <w:r w:rsidRPr="006D71C7">
        <w:rPr>
          <w:i/>
          <w:szCs w:val="24"/>
        </w:rPr>
        <w:t xml:space="preserve">Redukcja zużycia energii w modernizowanych budynkach </w:t>
      </w:r>
      <w:r w:rsidRPr="006D71C7">
        <w:rPr>
          <w:szCs w:val="24"/>
        </w:rPr>
        <w:t xml:space="preserve">– w przypadku gdy Beneficjent we wniosku o dofinansowanie w polu C.7. </w:t>
      </w:r>
      <w:r w:rsidRPr="006D71C7">
        <w:rPr>
          <w:i/>
          <w:szCs w:val="24"/>
        </w:rPr>
        <w:t xml:space="preserve">Poprawa efektywności energetycznej w modernizowanych budynkach </w:t>
      </w:r>
      <w:r w:rsidRPr="006D71C7">
        <w:rPr>
          <w:szCs w:val="24"/>
        </w:rPr>
        <w:t xml:space="preserve">zaznaczył odpowiedź TAK przedstawia w momencie składania wniosku o płatność szacunkową wartość wskaźnika </w:t>
      </w:r>
      <w:r w:rsidR="002E76DD" w:rsidRPr="006D71C7">
        <w:rPr>
          <w:szCs w:val="24"/>
        </w:rPr>
        <w:t xml:space="preserve">a </w:t>
      </w:r>
      <w:r w:rsidRPr="006D71C7">
        <w:rPr>
          <w:szCs w:val="24"/>
        </w:rPr>
        <w:t xml:space="preserve">w rok po zakończeniu realizacji projektu przedstawia IZ RPO WSL osiągniętą wartość wskaźnika. </w:t>
      </w:r>
    </w:p>
    <w:p w:rsidR="00957B13" w:rsidRPr="006D71C7" w:rsidRDefault="00957B13" w:rsidP="006D71C7">
      <w:pPr>
        <w:jc w:val="both"/>
        <w:rPr>
          <w:sz w:val="23"/>
          <w:szCs w:val="23"/>
        </w:rPr>
      </w:pPr>
      <w:r w:rsidRPr="006D71C7">
        <w:rPr>
          <w:sz w:val="23"/>
          <w:szCs w:val="23"/>
        </w:rPr>
        <w:t xml:space="preserve">Wartość szacowana dla wskaźnika </w:t>
      </w:r>
      <w:r w:rsidR="007338BD" w:rsidRPr="006D71C7">
        <w:rPr>
          <w:i/>
          <w:sz w:val="23"/>
          <w:szCs w:val="23"/>
        </w:rPr>
        <w:t>utworzone miejsca pracy w podziale na kobiety i mężczyzn</w:t>
      </w:r>
      <w:r w:rsidRPr="006D71C7">
        <w:rPr>
          <w:sz w:val="23"/>
          <w:szCs w:val="23"/>
        </w:rPr>
        <w:t xml:space="preserve"> jest na poziomie zerowym, gdyż beneficjenci nie określają we wnioskach/umowach o dofinansowaniu kogo zatrudnią – przestrzegana jest zasada równości szans.</w:t>
      </w:r>
    </w:p>
    <w:p w:rsidR="00957B13" w:rsidRPr="006D71C7" w:rsidRDefault="00957B13" w:rsidP="006D71C7">
      <w:pPr>
        <w:pStyle w:val="Default"/>
        <w:spacing w:line="276" w:lineRule="auto"/>
        <w:jc w:val="both"/>
        <w:rPr>
          <w:color w:val="auto"/>
          <w:sz w:val="23"/>
          <w:szCs w:val="23"/>
        </w:rPr>
      </w:pPr>
      <w:r w:rsidRPr="006D71C7">
        <w:rPr>
          <w:color w:val="auto"/>
          <w:sz w:val="23"/>
          <w:szCs w:val="23"/>
        </w:rPr>
        <w:t xml:space="preserve">Na etapie renegocjacji </w:t>
      </w:r>
      <w:r w:rsidRPr="006D71C7">
        <w:rPr>
          <w:i/>
          <w:color w:val="auto"/>
          <w:sz w:val="23"/>
          <w:szCs w:val="23"/>
        </w:rPr>
        <w:t>Programu</w:t>
      </w:r>
      <w:r w:rsidRPr="006D71C7">
        <w:rPr>
          <w:color w:val="auto"/>
          <w:sz w:val="23"/>
          <w:szCs w:val="23"/>
        </w:rPr>
        <w:t xml:space="preserve"> we wskaźnikach celu głównego oraz horyzontalnych została wprowadzona jedna zmiana. Zmniejszona została liczba utworzonych miejsc pracy z 11590 do </w:t>
      </w:r>
      <w:r w:rsidRPr="006D71C7">
        <w:rPr>
          <w:rFonts w:ascii="TimesNewRoman" w:hAnsi="TimesNewRoman" w:cs="TimesNewRoman"/>
          <w:color w:val="auto"/>
        </w:rPr>
        <w:t xml:space="preserve">10431. Zmiana podyktowana była obowiązkiem przestawiania wartości wskaźnika </w:t>
      </w:r>
      <w:r w:rsidR="00921DC3" w:rsidRPr="006D71C7">
        <w:rPr>
          <w:rFonts w:ascii="TimesNewRoman" w:hAnsi="TimesNewRoman" w:cs="TimesNewRoman"/>
          <w:color w:val="auto"/>
        </w:rPr>
        <w:t>w EPC</w:t>
      </w:r>
      <w:r w:rsidR="00D021BA" w:rsidRPr="006D71C7">
        <w:rPr>
          <w:rFonts w:ascii="TimesNewRoman" w:hAnsi="TimesNewRoman" w:cs="TimesNewRoman"/>
          <w:color w:val="auto"/>
        </w:rPr>
        <w:t xml:space="preserve"> (ekwiwalent czasu pracy),</w:t>
      </w:r>
      <w:r w:rsidR="00921DC3" w:rsidRPr="006D71C7">
        <w:rPr>
          <w:rFonts w:ascii="TimesNewRoman" w:hAnsi="TimesNewRoman" w:cs="TimesNewRoman"/>
          <w:color w:val="auto"/>
        </w:rPr>
        <w:t xml:space="preserve"> a </w:t>
      </w:r>
      <w:r w:rsidRPr="006D71C7">
        <w:rPr>
          <w:rFonts w:ascii="TimesNewRoman" w:hAnsi="TimesNewRoman" w:cs="TimesNewRoman"/>
          <w:color w:val="auto"/>
        </w:rPr>
        <w:t xml:space="preserve">nie </w:t>
      </w:r>
      <w:r w:rsidR="00D021BA" w:rsidRPr="006D71C7">
        <w:rPr>
          <w:rFonts w:ascii="TimesNewRoman" w:hAnsi="TimesNewRoman" w:cs="TimesNewRoman"/>
          <w:color w:val="auto"/>
        </w:rPr>
        <w:t xml:space="preserve">- </w:t>
      </w:r>
      <w:r w:rsidRPr="006D71C7">
        <w:rPr>
          <w:rFonts w:ascii="TimesNewRoman" w:hAnsi="TimesNewRoman" w:cs="TimesNewRoman"/>
          <w:color w:val="auto"/>
        </w:rPr>
        <w:t>jak to miało miejsce</w:t>
      </w:r>
      <w:r w:rsidR="00921DC3" w:rsidRPr="006D71C7">
        <w:rPr>
          <w:rFonts w:ascii="TimesNewRoman" w:hAnsi="TimesNewRoman" w:cs="TimesNewRoman"/>
          <w:color w:val="auto"/>
        </w:rPr>
        <w:t xml:space="preserve"> w momencie programowania</w:t>
      </w:r>
      <w:r w:rsidRPr="006D71C7">
        <w:rPr>
          <w:rFonts w:ascii="TimesNewRoman" w:hAnsi="TimesNewRoman" w:cs="TimesNewRoman"/>
          <w:color w:val="auto"/>
        </w:rPr>
        <w:t xml:space="preserve"> </w:t>
      </w:r>
      <w:r w:rsidR="00D021BA" w:rsidRPr="006D71C7">
        <w:rPr>
          <w:rFonts w:ascii="TimesNewRoman" w:hAnsi="TimesNewRoman" w:cs="TimesNewRoman"/>
          <w:color w:val="auto"/>
        </w:rPr>
        <w:t xml:space="preserve">- </w:t>
      </w:r>
      <w:r w:rsidRPr="006D71C7">
        <w:rPr>
          <w:rFonts w:ascii="TimesNewRoman" w:hAnsi="TimesNewRoman" w:cs="TimesNewRoman"/>
          <w:color w:val="auto"/>
        </w:rPr>
        <w:t>brutto</w:t>
      </w:r>
      <w:r w:rsidR="00D021BA" w:rsidRPr="006D71C7">
        <w:rPr>
          <w:rFonts w:ascii="TimesNewRoman" w:hAnsi="TimesNewRoman" w:cs="TimesNewRoman"/>
          <w:color w:val="auto"/>
        </w:rPr>
        <w:t>, co automatycznie przekłada się na sumowanie niepełnych etatów i w efekcie końc</w:t>
      </w:r>
      <w:r w:rsidR="00AD4DC9" w:rsidRPr="006D71C7">
        <w:rPr>
          <w:rFonts w:ascii="TimesNewRoman" w:hAnsi="TimesNewRoman" w:cs="TimesNewRoman"/>
          <w:color w:val="auto"/>
        </w:rPr>
        <w:t>owym na mniejszą wartość finalną</w:t>
      </w:r>
      <w:r w:rsidRPr="006D71C7">
        <w:rPr>
          <w:rFonts w:ascii="TimesNewRoman" w:hAnsi="TimesNewRoman" w:cs="TimesNewRoman"/>
          <w:color w:val="auto"/>
        </w:rPr>
        <w:t>.</w:t>
      </w:r>
    </w:p>
    <w:p w:rsidR="0018155F" w:rsidRPr="006D71C7" w:rsidRDefault="00ED61D8" w:rsidP="00BA2FE7">
      <w:pPr>
        <w:pStyle w:val="Nagwek1"/>
        <w:numPr>
          <w:ilvl w:val="3"/>
          <w:numId w:val="25"/>
        </w:numPr>
        <w:tabs>
          <w:tab w:val="left" w:pos="1560"/>
        </w:tabs>
        <w:spacing w:after="120"/>
        <w:ind w:left="1701" w:hanging="338"/>
        <w:jc w:val="both"/>
        <w:rPr>
          <w:szCs w:val="24"/>
          <w:lang w:eastAsia="ar-SA"/>
        </w:rPr>
      </w:pPr>
      <w:bookmarkStart w:id="137" w:name="_Toc292789250"/>
      <w:bookmarkStart w:id="138" w:name="_Toc292793535"/>
      <w:bookmarkStart w:id="139" w:name="_Toc327259215"/>
      <w:r w:rsidRPr="006D71C7">
        <w:rPr>
          <w:szCs w:val="24"/>
          <w:lang w:eastAsia="ar-SA"/>
        </w:rPr>
        <w:t>R</w:t>
      </w:r>
      <w:r w:rsidR="00B14803" w:rsidRPr="006D71C7">
        <w:rPr>
          <w:szCs w:val="24"/>
          <w:lang w:eastAsia="ar-SA"/>
        </w:rPr>
        <w:t>EKOMENDACJE</w:t>
      </w:r>
      <w:r w:rsidRPr="006D71C7">
        <w:rPr>
          <w:szCs w:val="24"/>
          <w:lang w:eastAsia="ar-SA"/>
        </w:rPr>
        <w:t xml:space="preserve"> KE</w:t>
      </w:r>
      <w:bookmarkEnd w:id="137"/>
      <w:bookmarkEnd w:id="138"/>
      <w:bookmarkEnd w:id="139"/>
    </w:p>
    <w:p w:rsidR="00B14803" w:rsidRPr="006D71C7" w:rsidRDefault="00374E9F" w:rsidP="006D71C7">
      <w:pPr>
        <w:pStyle w:val="Akapitzlist"/>
        <w:spacing w:before="120" w:after="120"/>
        <w:ind w:left="0"/>
        <w:jc w:val="both"/>
        <w:rPr>
          <w:szCs w:val="24"/>
          <w:lang w:eastAsia="ar-SA"/>
        </w:rPr>
      </w:pPr>
      <w:r w:rsidRPr="006D71C7">
        <w:rPr>
          <w:szCs w:val="24"/>
          <w:lang w:eastAsia="ar-SA"/>
        </w:rPr>
        <w:t xml:space="preserve">IZ RPO WSL otrzymała od KE zalecenia i rekomendacje po złożeniu </w:t>
      </w:r>
      <w:r w:rsidRPr="006D71C7">
        <w:rPr>
          <w:i/>
          <w:szCs w:val="24"/>
          <w:lang w:eastAsia="ar-SA"/>
        </w:rPr>
        <w:t xml:space="preserve">Sprawozdania rocznego z realizacji RPO WSL w roku 2010. </w:t>
      </w:r>
      <w:r w:rsidRPr="006D71C7">
        <w:rPr>
          <w:szCs w:val="24"/>
          <w:lang w:eastAsia="ar-SA"/>
        </w:rPr>
        <w:t xml:space="preserve">W związku z powyższym IZ RPO WSL w niniejszym </w:t>
      </w:r>
      <w:r w:rsidRPr="006D71C7">
        <w:rPr>
          <w:i/>
          <w:szCs w:val="24"/>
          <w:lang w:eastAsia="ar-SA"/>
        </w:rPr>
        <w:t>Sprawozdaniu</w:t>
      </w:r>
      <w:r w:rsidRPr="006D71C7">
        <w:rPr>
          <w:szCs w:val="24"/>
          <w:lang w:eastAsia="ar-SA"/>
        </w:rPr>
        <w:t xml:space="preserve"> zastosowała się do otrzymanych zaleceń w poniższym zakresie:</w:t>
      </w:r>
    </w:p>
    <w:p w:rsidR="00AB09DB" w:rsidRPr="006D71C7" w:rsidRDefault="005C643A" w:rsidP="00BA2FE7">
      <w:pPr>
        <w:pStyle w:val="Akapitzlist"/>
        <w:numPr>
          <w:ilvl w:val="0"/>
          <w:numId w:val="43"/>
        </w:numPr>
        <w:spacing w:before="120" w:after="120"/>
        <w:jc w:val="both"/>
        <w:rPr>
          <w:szCs w:val="24"/>
          <w:lang w:eastAsia="ar-SA"/>
        </w:rPr>
      </w:pPr>
      <w:r w:rsidRPr="006D71C7">
        <w:rPr>
          <w:szCs w:val="24"/>
          <w:lang w:eastAsia="ar-SA"/>
        </w:rPr>
        <w:t>wzmocnienie analizy jakościowej,</w:t>
      </w:r>
    </w:p>
    <w:p w:rsidR="004C6AA8" w:rsidRPr="006D71C7" w:rsidRDefault="004C6AA8" w:rsidP="00BA2FE7">
      <w:pPr>
        <w:pStyle w:val="Akapitzlist"/>
        <w:numPr>
          <w:ilvl w:val="0"/>
          <w:numId w:val="43"/>
        </w:numPr>
        <w:spacing w:before="120" w:after="120"/>
        <w:jc w:val="both"/>
        <w:rPr>
          <w:szCs w:val="24"/>
          <w:lang w:eastAsia="ar-SA"/>
        </w:rPr>
      </w:pPr>
      <w:r w:rsidRPr="006D71C7">
        <w:rPr>
          <w:szCs w:val="24"/>
          <w:lang w:eastAsia="ar-SA"/>
        </w:rPr>
        <w:t xml:space="preserve">zaprezentowanie napotkanych problemów w ramach </w:t>
      </w:r>
      <w:r w:rsidR="00781EC9" w:rsidRPr="006D71C7">
        <w:rPr>
          <w:szCs w:val="24"/>
          <w:lang w:eastAsia="ar-SA"/>
        </w:rPr>
        <w:t>każdego priorytetu</w:t>
      </w:r>
      <w:r w:rsidRPr="006D71C7">
        <w:rPr>
          <w:szCs w:val="24"/>
          <w:lang w:eastAsia="ar-SA"/>
        </w:rPr>
        <w:t>,</w:t>
      </w:r>
    </w:p>
    <w:p w:rsidR="00781EC9" w:rsidRPr="006D71C7" w:rsidRDefault="00D22DAD" w:rsidP="00BA2FE7">
      <w:pPr>
        <w:pStyle w:val="Akapitzlist"/>
        <w:numPr>
          <w:ilvl w:val="0"/>
          <w:numId w:val="43"/>
        </w:numPr>
        <w:spacing w:before="120" w:after="120"/>
        <w:jc w:val="both"/>
        <w:rPr>
          <w:szCs w:val="24"/>
          <w:lang w:eastAsia="ar-SA"/>
        </w:rPr>
      </w:pPr>
      <w:r w:rsidRPr="006D71C7">
        <w:rPr>
          <w:bCs/>
          <w:szCs w:val="24"/>
        </w:rPr>
        <w:t xml:space="preserve">zamieszczenie informacji o postępie prac nad </w:t>
      </w:r>
      <w:r w:rsidRPr="006D71C7">
        <w:rPr>
          <w:rFonts w:eastAsia="Calibri"/>
          <w:bCs/>
          <w:i/>
        </w:rPr>
        <w:t>Programem Rozwoju Technologii Województwa Śląskiego na lata 2010 -2020,</w:t>
      </w:r>
    </w:p>
    <w:p w:rsidR="00245F70" w:rsidRPr="006D71C7" w:rsidRDefault="00D22DAD" w:rsidP="00BA2FE7">
      <w:pPr>
        <w:pStyle w:val="Akapitzlist"/>
        <w:numPr>
          <w:ilvl w:val="0"/>
          <w:numId w:val="43"/>
        </w:numPr>
        <w:spacing w:before="120" w:after="120"/>
        <w:jc w:val="both"/>
        <w:rPr>
          <w:i/>
          <w:szCs w:val="24"/>
          <w:lang w:eastAsia="ar-SA"/>
        </w:rPr>
      </w:pPr>
      <w:r w:rsidRPr="006D71C7">
        <w:rPr>
          <w:szCs w:val="24"/>
        </w:rPr>
        <w:t>przedstawienie informacji na temat potencjalnych nieprawidłowości, wynikających z niepodpisania kontraktów z Narodowym Funduszem Zdrowia przez Beneficjentów działających w sektorze ochrony zdrowi</w:t>
      </w:r>
      <w:r w:rsidR="00781EC9" w:rsidRPr="006D71C7">
        <w:rPr>
          <w:szCs w:val="24"/>
        </w:rPr>
        <w:t>a.</w:t>
      </w:r>
    </w:p>
    <w:p w:rsidR="00BC4E1A" w:rsidRPr="006D71C7" w:rsidRDefault="00B14803" w:rsidP="00BA2FE7">
      <w:pPr>
        <w:pStyle w:val="Nagwek1"/>
        <w:numPr>
          <w:ilvl w:val="3"/>
          <w:numId w:val="25"/>
        </w:numPr>
        <w:tabs>
          <w:tab w:val="left" w:pos="1560"/>
        </w:tabs>
        <w:spacing w:before="120" w:after="120"/>
        <w:ind w:left="1701" w:hanging="340"/>
        <w:jc w:val="both"/>
        <w:rPr>
          <w:szCs w:val="24"/>
          <w:lang w:eastAsia="ar-SA"/>
        </w:rPr>
      </w:pPr>
      <w:bookmarkStart w:id="140" w:name="_Toc292789251"/>
      <w:bookmarkStart w:id="141" w:name="_Toc292793536"/>
      <w:bookmarkStart w:id="142" w:name="_Toc327259216"/>
      <w:r w:rsidRPr="006D71C7">
        <w:rPr>
          <w:szCs w:val="24"/>
          <w:lang w:eastAsia="ar-SA"/>
        </w:rPr>
        <w:t>REKOMENDACJE IZ I INNYCH INSTYTUCJI</w:t>
      </w:r>
      <w:bookmarkEnd w:id="140"/>
      <w:bookmarkEnd w:id="141"/>
      <w:bookmarkEnd w:id="142"/>
    </w:p>
    <w:p w:rsidR="00245F70" w:rsidRPr="006D71C7" w:rsidRDefault="009D6DD9" w:rsidP="006D71C7">
      <w:pPr>
        <w:jc w:val="both"/>
        <w:rPr>
          <w:rFonts w:eastAsia="Calibri"/>
          <w:i/>
          <w:szCs w:val="24"/>
        </w:rPr>
      </w:pPr>
      <w:r w:rsidRPr="006D71C7">
        <w:rPr>
          <w:rFonts w:eastAsia="Calibri"/>
          <w:szCs w:val="24"/>
        </w:rPr>
        <w:t>IZ RPO WSL na bieżąco monitoruje postęp wdrażania RPO WSL zarówno w zakresie postępu finansowego jak i rzeczowego. Biorąc pod uwagę projekty wybrane do dofinanso</w:t>
      </w:r>
      <w:r w:rsidR="007338BD" w:rsidRPr="006D71C7">
        <w:rPr>
          <w:rFonts w:eastAsia="Calibri"/>
          <w:i/>
          <w:szCs w:val="24"/>
          <w:lang w:eastAsia="ar-SA"/>
        </w:rPr>
        <w:t>w</w:t>
      </w:r>
      <w:r w:rsidRPr="006D71C7">
        <w:rPr>
          <w:rFonts w:eastAsia="Calibri"/>
          <w:szCs w:val="24"/>
        </w:rPr>
        <w:t xml:space="preserve">ania, IZ RPO WSL uznaje że przekazane wsparcie w pełni realizuje cele, jakie zostały założone na etapie programowania uwzględniając wyniki diagnozy społeczno-gospodarczej ujętej w </w:t>
      </w:r>
      <w:r w:rsidRPr="006D71C7">
        <w:rPr>
          <w:rFonts w:eastAsia="Calibri"/>
          <w:i/>
          <w:szCs w:val="24"/>
        </w:rPr>
        <w:t>Programie</w:t>
      </w:r>
      <w:r w:rsidR="007338BD" w:rsidRPr="006D71C7">
        <w:rPr>
          <w:rFonts w:eastAsia="Calibri"/>
          <w:szCs w:val="24"/>
        </w:rPr>
        <w:t xml:space="preserve">. </w:t>
      </w:r>
      <w:r w:rsidR="00AF1772" w:rsidRPr="006D71C7">
        <w:rPr>
          <w:rFonts w:eastAsia="Calibri"/>
          <w:szCs w:val="24"/>
        </w:rPr>
        <w:t>W kolejnym okresie sprawozdawczym IZ RPO WSL</w:t>
      </w:r>
      <w:r w:rsidR="00AF1772" w:rsidRPr="006D71C7">
        <w:rPr>
          <w:rFonts w:eastAsia="Calibri"/>
          <w:i/>
          <w:szCs w:val="24"/>
        </w:rPr>
        <w:t xml:space="preserve"> </w:t>
      </w:r>
      <w:r w:rsidR="00AF1772" w:rsidRPr="006D71C7">
        <w:rPr>
          <w:rFonts w:eastAsia="Calibri"/>
          <w:szCs w:val="24"/>
        </w:rPr>
        <w:t xml:space="preserve">na bieżąco będzie monitorować postęp rzeczowy i finansowy </w:t>
      </w:r>
      <w:r w:rsidR="007338BD" w:rsidRPr="006D71C7">
        <w:rPr>
          <w:rFonts w:eastAsia="Calibri"/>
          <w:i/>
          <w:szCs w:val="24"/>
        </w:rPr>
        <w:t>Programu</w:t>
      </w:r>
      <w:r w:rsidR="00AF1772" w:rsidRPr="006D71C7">
        <w:rPr>
          <w:rFonts w:eastAsia="Calibri"/>
          <w:szCs w:val="24"/>
        </w:rPr>
        <w:t xml:space="preserve"> w celu sprawnego i efektywnego wdrażania, </w:t>
      </w:r>
      <w:r w:rsidR="003C5FA3" w:rsidRPr="006D71C7">
        <w:rPr>
          <w:rFonts w:eastAsia="Calibri"/>
          <w:szCs w:val="24"/>
        </w:rPr>
        <w:t xml:space="preserve">ponadto </w:t>
      </w:r>
      <w:r w:rsidR="00AF1772" w:rsidRPr="006D71C7">
        <w:rPr>
          <w:rFonts w:eastAsia="Calibri"/>
          <w:szCs w:val="24"/>
        </w:rPr>
        <w:t xml:space="preserve">na bieżąco będzie kontaktować się z beneficjentami. Ponadto będzie kontynuować pracę nad </w:t>
      </w:r>
      <w:r w:rsidR="00AF1772" w:rsidRPr="006D71C7">
        <w:rPr>
          <w:szCs w:val="24"/>
          <w:lang w:eastAsia="ar-SA"/>
        </w:rPr>
        <w:t>wzmocnieniem znaczenia KM RPO WSL m.in. poprzez organizację spotkać powołanej grupy roboczej ds. partnerstwa.</w:t>
      </w:r>
      <w:r w:rsidR="00AF1772" w:rsidRPr="006D71C7" w:rsidDel="00AF1772">
        <w:rPr>
          <w:rFonts w:eastAsia="Calibri"/>
          <w:szCs w:val="24"/>
        </w:rPr>
        <w:t xml:space="preserve"> </w:t>
      </w:r>
    </w:p>
    <w:p w:rsidR="00245F70" w:rsidRPr="006D71C7" w:rsidRDefault="009D6DD9" w:rsidP="006D71C7">
      <w:pPr>
        <w:jc w:val="both"/>
        <w:rPr>
          <w:b/>
          <w:szCs w:val="24"/>
        </w:rPr>
      </w:pPr>
      <w:r w:rsidRPr="006D71C7">
        <w:rPr>
          <w:rFonts w:eastAsia="Calibri"/>
          <w:szCs w:val="24"/>
        </w:rPr>
        <w:t>IZ RPO WSL</w:t>
      </w:r>
      <w:r w:rsidRPr="006D71C7">
        <w:rPr>
          <w:rFonts w:eastAsia="Calibri"/>
          <w:i/>
          <w:szCs w:val="24"/>
        </w:rPr>
        <w:t xml:space="preserve"> </w:t>
      </w:r>
      <w:r w:rsidRPr="006D71C7">
        <w:rPr>
          <w:szCs w:val="24"/>
        </w:rPr>
        <w:t xml:space="preserve">aktywnie uczestniczyło i uczestniczy w konsultacjach pakietu legislacyjnego dot. przyszłego okresu sprawozdawczego. Ponadto został powołany </w:t>
      </w:r>
      <w:r w:rsidR="007338BD" w:rsidRPr="006D71C7">
        <w:rPr>
          <w:i/>
          <w:szCs w:val="24"/>
        </w:rPr>
        <w:t>Zespół ds. opracowania projektu ramowego zintegrowanego programu regionalnego na lata 2014-2020</w:t>
      </w:r>
      <w:r w:rsidRPr="006D71C7">
        <w:rPr>
          <w:szCs w:val="24"/>
        </w:rPr>
        <w:t xml:space="preserve">. W II kwartale 2012 roku planowane jest zakończenie </w:t>
      </w:r>
      <w:r w:rsidR="007338BD" w:rsidRPr="006D71C7">
        <w:rPr>
          <w:szCs w:val="24"/>
        </w:rPr>
        <w:t xml:space="preserve">prac nad </w:t>
      </w:r>
      <w:r w:rsidR="007338BD" w:rsidRPr="006D71C7">
        <w:rPr>
          <w:i/>
          <w:szCs w:val="24"/>
        </w:rPr>
        <w:t>Założeniami do przyszłego Regionalnego Programu Operacyjnego Województwa Śląskiego na lata 2014-2020</w:t>
      </w:r>
      <w:r w:rsidR="00411B02" w:rsidRPr="006D71C7">
        <w:rPr>
          <w:szCs w:val="24"/>
        </w:rPr>
        <w:t>, które po</w:t>
      </w:r>
      <w:r w:rsidRPr="006D71C7">
        <w:rPr>
          <w:szCs w:val="24"/>
        </w:rPr>
        <w:t> </w:t>
      </w:r>
      <w:r w:rsidR="007338BD" w:rsidRPr="006D71C7">
        <w:rPr>
          <w:szCs w:val="24"/>
        </w:rPr>
        <w:t xml:space="preserve">zatwierdzeniu przez Zarząd Województwa </w:t>
      </w:r>
      <w:r w:rsidRPr="006D71C7">
        <w:rPr>
          <w:szCs w:val="24"/>
        </w:rPr>
        <w:t xml:space="preserve">Śląskiego </w:t>
      </w:r>
      <w:r w:rsidR="007338BD" w:rsidRPr="006D71C7">
        <w:rPr>
          <w:szCs w:val="24"/>
        </w:rPr>
        <w:t>zostaną podane do publicznej wiadomości.</w:t>
      </w:r>
      <w:r w:rsidRPr="006D71C7">
        <w:rPr>
          <w:b/>
          <w:szCs w:val="24"/>
        </w:rPr>
        <w:t xml:space="preserve"> </w:t>
      </w:r>
    </w:p>
    <w:p w:rsidR="009D6DD9" w:rsidRPr="006D71C7" w:rsidRDefault="009D6DD9" w:rsidP="006D71C7">
      <w:pPr>
        <w:spacing w:after="0"/>
        <w:jc w:val="both"/>
        <w:rPr>
          <w:rFonts w:eastAsia="Calibri"/>
          <w:i/>
          <w:szCs w:val="24"/>
        </w:rPr>
      </w:pPr>
      <w:r w:rsidRPr="006D71C7">
        <w:rPr>
          <w:szCs w:val="24"/>
          <w:lang w:eastAsia="ar-SA"/>
        </w:rPr>
        <w:t xml:space="preserve">W poprzednim okresie sprawozdawczym KM RPO WSL przyjął poniższe rekomendacje odnośnie dalszego przebiegu realizacji </w:t>
      </w:r>
      <w:r w:rsidRPr="006D71C7">
        <w:rPr>
          <w:i/>
          <w:szCs w:val="24"/>
          <w:lang w:eastAsia="ar-SA"/>
        </w:rPr>
        <w:t>Programu:</w:t>
      </w:r>
    </w:p>
    <w:p w:rsidR="009D6DD9" w:rsidRPr="006D71C7" w:rsidRDefault="00D97AE2" w:rsidP="00BA2FE7">
      <w:pPr>
        <w:pStyle w:val="Akapitzlist"/>
        <w:numPr>
          <w:ilvl w:val="0"/>
          <w:numId w:val="99"/>
        </w:numPr>
        <w:ind w:left="709"/>
        <w:jc w:val="both"/>
        <w:rPr>
          <w:szCs w:val="24"/>
          <w:lang w:eastAsia="ar-SA"/>
        </w:rPr>
      </w:pPr>
      <w:r w:rsidRPr="006D71C7">
        <w:rPr>
          <w:szCs w:val="24"/>
          <w:lang w:eastAsia="ar-SA"/>
        </w:rPr>
        <w:t>w</w:t>
      </w:r>
      <w:r w:rsidR="009D6DD9" w:rsidRPr="006D71C7">
        <w:rPr>
          <w:szCs w:val="24"/>
          <w:lang w:eastAsia="ar-SA"/>
        </w:rPr>
        <w:t>zmocnieni</w:t>
      </w:r>
      <w:r w:rsidRPr="006D71C7">
        <w:rPr>
          <w:szCs w:val="24"/>
          <w:lang w:eastAsia="ar-SA"/>
        </w:rPr>
        <w:t>e</w:t>
      </w:r>
      <w:r w:rsidR="009D6DD9" w:rsidRPr="006D71C7">
        <w:rPr>
          <w:szCs w:val="24"/>
          <w:lang w:eastAsia="ar-SA"/>
        </w:rPr>
        <w:t xml:space="preserve"> systemu monitoringu</w:t>
      </w:r>
      <w:r w:rsidR="00B6780A" w:rsidRPr="006D71C7">
        <w:rPr>
          <w:szCs w:val="24"/>
          <w:lang w:eastAsia="ar-SA"/>
        </w:rPr>
        <w:t xml:space="preserve"> </w:t>
      </w:r>
      <w:r w:rsidR="008E1FAA" w:rsidRPr="006D71C7">
        <w:rPr>
          <w:szCs w:val="24"/>
          <w:lang w:eastAsia="ar-SA"/>
        </w:rPr>
        <w:t xml:space="preserve">m.in. poprzez przygotowywanie raportów tygodniowych dot. realizacji projektów w zakresie kontraktacji i płatności, </w:t>
      </w:r>
      <w:r w:rsidR="00985FC3">
        <w:rPr>
          <w:szCs w:val="24"/>
          <w:lang w:eastAsia="ar-SA"/>
        </w:rPr>
        <w:t>przeprowadzenie analizy wewnętrznej</w:t>
      </w:r>
      <w:r w:rsidR="008E1FAA" w:rsidRPr="006D71C7">
        <w:rPr>
          <w:szCs w:val="24"/>
          <w:lang w:eastAsia="ar-SA"/>
        </w:rPr>
        <w:t xml:space="preserve"> w zakresie wskaźników programowych,</w:t>
      </w:r>
    </w:p>
    <w:p w:rsidR="008E1FAA" w:rsidRPr="006D71C7" w:rsidRDefault="009D6DD9" w:rsidP="00BA2FE7">
      <w:pPr>
        <w:pStyle w:val="Akapitzlist"/>
        <w:numPr>
          <w:ilvl w:val="0"/>
          <w:numId w:val="99"/>
        </w:numPr>
        <w:ind w:left="709"/>
        <w:jc w:val="both"/>
        <w:rPr>
          <w:szCs w:val="24"/>
          <w:lang w:eastAsia="ar-SA"/>
        </w:rPr>
      </w:pPr>
      <w:r w:rsidRPr="006D71C7">
        <w:rPr>
          <w:szCs w:val="24"/>
          <w:lang w:eastAsia="ar-SA"/>
        </w:rPr>
        <w:t>wzmocnienie znaczenia KM RPO WSL,</w:t>
      </w:r>
      <w:r w:rsidR="00B42B02" w:rsidRPr="006D71C7">
        <w:rPr>
          <w:szCs w:val="24"/>
          <w:lang w:eastAsia="ar-SA"/>
        </w:rPr>
        <w:t xml:space="preserve"> </w:t>
      </w:r>
      <w:r w:rsidR="008E1FAA" w:rsidRPr="006D71C7">
        <w:rPr>
          <w:szCs w:val="24"/>
          <w:lang w:eastAsia="ar-SA"/>
        </w:rPr>
        <w:t xml:space="preserve">poprzez powołanie grupy roboczej ds. partnerstwa społeczno – gospodarczego (szczegółowe informacje w zakres ww. grupy zostały opisane w pkt.2.7 niniejszego </w:t>
      </w:r>
      <w:r w:rsidR="008E1FAA" w:rsidRPr="006D71C7">
        <w:rPr>
          <w:i/>
          <w:szCs w:val="24"/>
          <w:lang w:eastAsia="ar-SA"/>
        </w:rPr>
        <w:t>Sprawozdania),</w:t>
      </w:r>
    </w:p>
    <w:p w:rsidR="009D6DD9" w:rsidRPr="006D71C7" w:rsidRDefault="009D6DD9" w:rsidP="00BA2FE7">
      <w:pPr>
        <w:pStyle w:val="Akapitzlist"/>
        <w:numPr>
          <w:ilvl w:val="0"/>
          <w:numId w:val="99"/>
        </w:numPr>
        <w:ind w:left="709"/>
        <w:jc w:val="both"/>
        <w:rPr>
          <w:szCs w:val="24"/>
          <w:lang w:eastAsia="ar-SA"/>
        </w:rPr>
      </w:pPr>
      <w:r w:rsidRPr="006D71C7">
        <w:rPr>
          <w:szCs w:val="24"/>
          <w:lang w:eastAsia="ar-SA"/>
        </w:rPr>
        <w:t>wykorzystanie w większym stopniu ewaluacji do bieżącego monitorowania efektów</w:t>
      </w:r>
      <w:r w:rsidR="008E1FAA" w:rsidRPr="006D71C7">
        <w:rPr>
          <w:szCs w:val="24"/>
          <w:lang w:eastAsia="ar-SA"/>
        </w:rPr>
        <w:t xml:space="preserve"> m.in. rekomendacje z przeprowadzonego badania ewaluacyjnego dot. oceny działań innowacyjnych zostały wykorzystane w przygotowywaniu</w:t>
      </w:r>
      <w:r w:rsidR="00985FC3">
        <w:rPr>
          <w:szCs w:val="24"/>
          <w:lang w:eastAsia="ar-SA"/>
        </w:rPr>
        <w:t xml:space="preserve"> nowego</w:t>
      </w:r>
      <w:r w:rsidR="008E1FAA" w:rsidRPr="006D71C7">
        <w:rPr>
          <w:szCs w:val="24"/>
          <w:lang w:eastAsia="ar-SA"/>
        </w:rPr>
        <w:t xml:space="preserve"> naboru dla przedsiębiorców w zakresie innowacji,</w:t>
      </w:r>
      <w:r w:rsidR="00B42B02" w:rsidRPr="006D71C7">
        <w:rPr>
          <w:szCs w:val="24"/>
          <w:lang w:eastAsia="ar-SA"/>
        </w:rPr>
        <w:t xml:space="preserve"> </w:t>
      </w:r>
    </w:p>
    <w:p w:rsidR="009D6DD9" w:rsidRPr="006D71C7" w:rsidRDefault="007D3FD0" w:rsidP="00BA2FE7">
      <w:pPr>
        <w:pStyle w:val="Akapitzlist"/>
        <w:numPr>
          <w:ilvl w:val="0"/>
          <w:numId w:val="99"/>
        </w:numPr>
        <w:spacing w:before="120" w:after="120"/>
        <w:ind w:left="709"/>
        <w:jc w:val="both"/>
        <w:rPr>
          <w:bCs/>
          <w:szCs w:val="24"/>
        </w:rPr>
      </w:pPr>
      <w:r>
        <w:rPr>
          <w:bCs/>
          <w:szCs w:val="24"/>
          <w:lang w:eastAsia="ar-SA"/>
        </w:rPr>
        <w:t>upowszechnianie dobrych i złych pr</w:t>
      </w:r>
      <w:r w:rsidR="009D6DD9" w:rsidRPr="006D71C7">
        <w:rPr>
          <w:bCs/>
          <w:szCs w:val="24"/>
        </w:rPr>
        <w:t>aktyk m.in. na szkoleniach</w:t>
      </w:r>
      <w:r w:rsidR="00B42B02" w:rsidRPr="006D71C7">
        <w:rPr>
          <w:bCs/>
          <w:szCs w:val="24"/>
        </w:rPr>
        <w:t xml:space="preserve"> organizowanych </w:t>
      </w:r>
      <w:r w:rsidR="009D6DD9" w:rsidRPr="006D71C7">
        <w:rPr>
          <w:bCs/>
          <w:szCs w:val="24"/>
        </w:rPr>
        <w:t>dla beneficjentów,</w:t>
      </w:r>
    </w:p>
    <w:p w:rsidR="009D6DD9" w:rsidRPr="006D71C7" w:rsidRDefault="009D6DD9" w:rsidP="00BA2FE7">
      <w:pPr>
        <w:pStyle w:val="Akapitzlist"/>
        <w:numPr>
          <w:ilvl w:val="0"/>
          <w:numId w:val="99"/>
        </w:numPr>
        <w:spacing w:before="120" w:after="240"/>
        <w:ind w:left="709"/>
        <w:jc w:val="both"/>
        <w:rPr>
          <w:bCs/>
          <w:szCs w:val="24"/>
        </w:rPr>
      </w:pPr>
      <w:r w:rsidRPr="006D71C7">
        <w:rPr>
          <w:bCs/>
          <w:szCs w:val="24"/>
        </w:rPr>
        <w:t>upowszechnianie dobrych praktyk wśród projektów realizowanych w obecnej perspektywie programowania</w:t>
      </w:r>
      <w:r w:rsidR="00B42B02" w:rsidRPr="006D71C7">
        <w:rPr>
          <w:bCs/>
          <w:szCs w:val="24"/>
        </w:rPr>
        <w:t xml:space="preserve"> m</w:t>
      </w:r>
      <w:r w:rsidR="008E1FAA" w:rsidRPr="006D71C7">
        <w:rPr>
          <w:bCs/>
          <w:szCs w:val="24"/>
        </w:rPr>
        <w:t xml:space="preserve">.in. poprzez prezentację przykładowych </w:t>
      </w:r>
      <w:r w:rsidR="00985FC3">
        <w:rPr>
          <w:bCs/>
          <w:szCs w:val="24"/>
        </w:rPr>
        <w:t>projektów na </w:t>
      </w:r>
      <w:r w:rsidR="008E1FAA" w:rsidRPr="006D71C7">
        <w:rPr>
          <w:bCs/>
          <w:szCs w:val="24"/>
        </w:rPr>
        <w:t>stronie http://rpo-promocja.slaskie.pl/,</w:t>
      </w:r>
    </w:p>
    <w:p w:rsidR="009D6DD9" w:rsidRPr="006D71C7" w:rsidRDefault="009D6DD9" w:rsidP="00BA2FE7">
      <w:pPr>
        <w:pStyle w:val="Akapitzlist"/>
        <w:numPr>
          <w:ilvl w:val="0"/>
          <w:numId w:val="99"/>
        </w:numPr>
        <w:spacing w:before="120" w:after="240"/>
        <w:ind w:left="709"/>
        <w:jc w:val="both"/>
        <w:rPr>
          <w:bCs/>
          <w:szCs w:val="24"/>
        </w:rPr>
      </w:pPr>
      <w:r w:rsidRPr="006D71C7">
        <w:rPr>
          <w:bCs/>
          <w:szCs w:val="24"/>
        </w:rPr>
        <w:t>zwiększenie kontaktów z beneficjentami</w:t>
      </w:r>
      <w:r w:rsidR="008E1FAA" w:rsidRPr="006D71C7">
        <w:rPr>
          <w:bCs/>
          <w:szCs w:val="24"/>
        </w:rPr>
        <w:t>, zarówno drogą mailową jak i telefoniczną</w:t>
      </w:r>
      <w:r w:rsidRPr="006D71C7">
        <w:rPr>
          <w:bCs/>
          <w:szCs w:val="24"/>
        </w:rPr>
        <w:t>.</w:t>
      </w:r>
    </w:p>
    <w:p w:rsidR="009D6DD9" w:rsidRPr="006D71C7" w:rsidRDefault="009D6DD9" w:rsidP="006D71C7">
      <w:pPr>
        <w:spacing w:before="120" w:after="240"/>
        <w:jc w:val="both"/>
        <w:rPr>
          <w:bCs/>
          <w:szCs w:val="24"/>
        </w:rPr>
      </w:pPr>
      <w:r w:rsidRPr="006D71C7">
        <w:rPr>
          <w:bCs/>
          <w:szCs w:val="24"/>
        </w:rPr>
        <w:t>Wszystkie ww. rekomendacje zostały wdrożone w okresie sprawozdawczym przez IZ RPO WSL.</w:t>
      </w:r>
    </w:p>
    <w:p w:rsidR="00BE5A01" w:rsidRPr="006D71C7" w:rsidRDefault="00773839" w:rsidP="00BA2FE7">
      <w:pPr>
        <w:pStyle w:val="Nagwek1"/>
        <w:numPr>
          <w:ilvl w:val="3"/>
          <w:numId w:val="25"/>
        </w:numPr>
        <w:tabs>
          <w:tab w:val="left" w:pos="1560"/>
        </w:tabs>
        <w:spacing w:before="120" w:after="120"/>
        <w:ind w:left="1701" w:hanging="425"/>
        <w:jc w:val="both"/>
        <w:rPr>
          <w:szCs w:val="24"/>
          <w:lang w:eastAsia="ar-SA"/>
        </w:rPr>
      </w:pPr>
      <w:bookmarkStart w:id="143" w:name="_Toc324786807"/>
      <w:bookmarkStart w:id="144" w:name="_Toc324853865"/>
      <w:bookmarkStart w:id="145" w:name="_Toc292789252"/>
      <w:bookmarkStart w:id="146" w:name="_Toc292793537"/>
      <w:bookmarkStart w:id="147" w:name="_Toc327259217"/>
      <w:bookmarkEnd w:id="143"/>
      <w:bookmarkEnd w:id="144"/>
      <w:r w:rsidRPr="006D71C7">
        <w:rPr>
          <w:szCs w:val="24"/>
          <w:lang w:eastAsia="ar-SA"/>
        </w:rPr>
        <w:t>INSTRUMENTY INŻ</w:t>
      </w:r>
      <w:r w:rsidR="00B14803" w:rsidRPr="006D71C7">
        <w:rPr>
          <w:szCs w:val="24"/>
          <w:lang w:eastAsia="ar-SA"/>
        </w:rPr>
        <w:t>YNIERII FINANSOWEJ</w:t>
      </w:r>
      <w:bookmarkEnd w:id="145"/>
      <w:bookmarkEnd w:id="146"/>
      <w:bookmarkEnd w:id="147"/>
    </w:p>
    <w:p w:rsidR="00F61FCA" w:rsidRPr="006D71C7" w:rsidRDefault="00F61FCA" w:rsidP="006D71C7">
      <w:pPr>
        <w:jc w:val="both"/>
        <w:rPr>
          <w:b/>
          <w:lang w:eastAsia="ar-SA"/>
        </w:rPr>
      </w:pPr>
      <w:r w:rsidRPr="006D71C7">
        <w:rPr>
          <w:b/>
          <w:lang w:eastAsia="ar-SA"/>
        </w:rPr>
        <w:t>Inicjatywa JESSICA</w:t>
      </w:r>
    </w:p>
    <w:p w:rsidR="00D27062" w:rsidRPr="006D71C7" w:rsidRDefault="00D27062" w:rsidP="006D71C7">
      <w:pPr>
        <w:shd w:val="clear" w:color="auto" w:fill="FFFFFF"/>
        <w:spacing w:after="0"/>
        <w:jc w:val="both"/>
      </w:pPr>
      <w:r w:rsidRPr="006D71C7">
        <w:t>W okresie sprawozdawczym Europejski Bank Inwestycyjny jako Menedżer Fundusz Powierniczy JESSICA dla Województwa Śląskiego (FPJWS) podjął następujące działania:</w:t>
      </w:r>
    </w:p>
    <w:p w:rsidR="00BC4E1A" w:rsidRPr="006D71C7" w:rsidRDefault="00D27062" w:rsidP="00BA2FE7">
      <w:pPr>
        <w:keepNext/>
        <w:numPr>
          <w:ilvl w:val="0"/>
          <w:numId w:val="44"/>
        </w:numPr>
        <w:tabs>
          <w:tab w:val="num" w:pos="360"/>
        </w:tabs>
        <w:spacing w:after="0"/>
        <w:ind w:left="426"/>
        <w:jc w:val="both"/>
      </w:pPr>
      <w:r w:rsidRPr="006D71C7">
        <w:t xml:space="preserve">Monitorowanie i nadzór nad pracami doradczymi wykonywanymi przez konsultanta biznesowego (TPA Horwath EU Sp. z o.o.), który kończąc realizację zlecenia, przygotował </w:t>
      </w:r>
      <w:r w:rsidRPr="006D71C7">
        <w:rPr>
          <w:i/>
        </w:rPr>
        <w:t xml:space="preserve">Raport Końcowy z Działań Podjętych w Ramach Usług Doradztwa Biznesowego dla Funduszu Powierniczego JESSICA dla Województwa Śląskiego  </w:t>
      </w:r>
      <w:r w:rsidRPr="006D71C7">
        <w:t>podsumowujący wszystkie</w:t>
      </w:r>
      <w:r w:rsidR="00C11C85" w:rsidRPr="006D71C7">
        <w:t xml:space="preserve"> podjęte</w:t>
      </w:r>
      <w:r w:rsidRPr="006D71C7">
        <w:t xml:space="preserve"> działania.</w:t>
      </w:r>
    </w:p>
    <w:p w:rsidR="00EA2205" w:rsidRPr="006D71C7" w:rsidRDefault="00EA2205" w:rsidP="00BA2FE7">
      <w:pPr>
        <w:pStyle w:val="Akapitzlist"/>
        <w:keepNext/>
        <w:numPr>
          <w:ilvl w:val="0"/>
          <w:numId w:val="44"/>
        </w:numPr>
        <w:spacing w:after="0"/>
        <w:ind w:left="426"/>
        <w:jc w:val="both"/>
      </w:pPr>
      <w:r w:rsidRPr="006D71C7">
        <w:t>Przygotowanie i udział w posiedzeniach Rady Inwestycyjnej Funduszu Powierniczego JESSICA dla Województwa Śląskiego. Poniżej w tabeli szczegółowe informacje dot. posiedzeń.</w:t>
      </w:r>
    </w:p>
    <w:p w:rsidR="00EA2205" w:rsidRPr="006D71C7" w:rsidRDefault="00EA2205" w:rsidP="006D71C7">
      <w:pPr>
        <w:pStyle w:val="Akapitzlist"/>
        <w:keepNext/>
        <w:spacing w:after="0"/>
        <w:ind w:left="426"/>
        <w:jc w:val="both"/>
      </w:pPr>
    </w:p>
    <w:p w:rsidR="00EA2205" w:rsidRPr="006D71C7" w:rsidRDefault="001E656A" w:rsidP="006D71C7">
      <w:pPr>
        <w:pStyle w:val="Legenda"/>
        <w:spacing w:after="120"/>
        <w:jc w:val="both"/>
        <w:rPr>
          <w:color w:val="auto"/>
          <w:sz w:val="20"/>
          <w:szCs w:val="20"/>
        </w:rPr>
      </w:pPr>
      <w:bookmarkStart w:id="148" w:name="_Toc324853698"/>
      <w:bookmarkStart w:id="149" w:name="_Toc326046361"/>
      <w:r w:rsidRPr="006D71C7">
        <w:rPr>
          <w:color w:val="auto"/>
          <w:sz w:val="20"/>
          <w:szCs w:val="20"/>
        </w:rPr>
        <w:t>Tabela</w:t>
      </w:r>
      <w:r w:rsidR="00EA2205" w:rsidRPr="006D71C7">
        <w:rPr>
          <w:color w:val="auto"/>
          <w:sz w:val="20"/>
          <w:szCs w:val="20"/>
        </w:rPr>
        <w:t xml:space="preserve">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9</w:t>
      </w:r>
      <w:r w:rsidR="008F7228" w:rsidRPr="006D71C7">
        <w:rPr>
          <w:color w:val="auto"/>
          <w:sz w:val="20"/>
          <w:szCs w:val="20"/>
        </w:rPr>
        <w:fldChar w:fldCharType="end"/>
      </w:r>
      <w:r w:rsidR="00EA2205" w:rsidRPr="006D71C7">
        <w:rPr>
          <w:color w:val="auto"/>
          <w:sz w:val="20"/>
          <w:szCs w:val="20"/>
        </w:rPr>
        <w:t xml:space="preserve"> </w:t>
      </w:r>
      <w:r w:rsidR="00EA2205" w:rsidRPr="006D71C7">
        <w:rPr>
          <w:b w:val="0"/>
          <w:i/>
          <w:color w:val="auto"/>
          <w:sz w:val="20"/>
          <w:szCs w:val="20"/>
        </w:rPr>
        <w:t>Posiedzenia Rady Inwestycyjnej w 2011 roku</w:t>
      </w:r>
      <w:bookmarkEnd w:id="148"/>
      <w:bookmarkEnd w:id="149"/>
    </w:p>
    <w:tbl>
      <w:tblPr>
        <w:tblStyle w:val="redniasiatka3akcent1"/>
        <w:tblW w:w="0" w:type="auto"/>
        <w:shd w:val="clear" w:color="auto" w:fill="F4B29B" w:themeFill="accent1" w:themeFillTint="66"/>
        <w:tblLook w:val="04A0" w:firstRow="1" w:lastRow="0" w:firstColumn="1" w:lastColumn="0" w:noHBand="0" w:noVBand="1"/>
      </w:tblPr>
      <w:tblGrid>
        <w:gridCol w:w="4605"/>
        <w:gridCol w:w="4605"/>
      </w:tblGrid>
      <w:tr w:rsidR="00EA2205" w:rsidRPr="00305508" w:rsidTr="00AF7C0F">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605" w:type="dxa"/>
            <w:shd w:val="clear" w:color="auto" w:fill="F4B29B" w:themeFill="accent1" w:themeFillTint="66"/>
            <w:vAlign w:val="center"/>
          </w:tcPr>
          <w:p w:rsidR="00C43B75" w:rsidRDefault="00EA2205" w:rsidP="00C43B75">
            <w:pPr>
              <w:spacing w:after="0"/>
              <w:jc w:val="center"/>
              <w:rPr>
                <w:b w:val="0"/>
                <w:bCs w:val="0"/>
                <w:color w:val="auto"/>
                <w:sz w:val="20"/>
                <w:szCs w:val="20"/>
                <w:lang w:eastAsia="ar-SA"/>
              </w:rPr>
            </w:pPr>
            <w:r w:rsidRPr="00305508">
              <w:rPr>
                <w:color w:val="auto"/>
                <w:sz w:val="20"/>
                <w:szCs w:val="20"/>
                <w:lang w:eastAsia="ar-SA"/>
              </w:rPr>
              <w:t>TERMIN POSIEDZENIA</w:t>
            </w:r>
          </w:p>
        </w:tc>
        <w:tc>
          <w:tcPr>
            <w:tcW w:w="4605" w:type="dxa"/>
            <w:shd w:val="clear" w:color="auto" w:fill="F4B29B" w:themeFill="accent1" w:themeFillTint="66"/>
            <w:vAlign w:val="center"/>
          </w:tcPr>
          <w:p w:rsidR="00C43B75" w:rsidRDefault="00EA2205" w:rsidP="00C43B75">
            <w:pPr>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ar-SA"/>
              </w:rPr>
            </w:pPr>
            <w:r w:rsidRPr="00305508">
              <w:rPr>
                <w:color w:val="auto"/>
                <w:sz w:val="20"/>
                <w:szCs w:val="20"/>
                <w:lang w:eastAsia="ar-SA"/>
              </w:rPr>
              <w:t>GŁ</w:t>
            </w:r>
            <w:r w:rsidR="00AE25B3" w:rsidRPr="00305508">
              <w:rPr>
                <w:color w:val="auto"/>
                <w:sz w:val="20"/>
                <w:szCs w:val="20"/>
                <w:lang w:eastAsia="ar-SA"/>
              </w:rPr>
              <w:t>Ó</w:t>
            </w:r>
            <w:r w:rsidRPr="00305508">
              <w:rPr>
                <w:color w:val="auto"/>
                <w:sz w:val="20"/>
                <w:szCs w:val="20"/>
                <w:lang w:eastAsia="ar-SA"/>
              </w:rPr>
              <w:t>WNE ZAGADNIENIA</w:t>
            </w:r>
          </w:p>
        </w:tc>
      </w:tr>
      <w:tr w:rsidR="00EA2205" w:rsidRPr="00305508" w:rsidTr="00AF7C0F">
        <w:trPr>
          <w:cnfStyle w:val="000000100000" w:firstRow="0" w:lastRow="0" w:firstColumn="0" w:lastColumn="0" w:oddVBand="0" w:evenVBand="0" w:oddHBand="1" w:evenHBand="0" w:firstRowFirstColumn="0" w:firstRowLastColumn="0" w:lastRowFirstColumn="0" w:lastRowLastColumn="0"/>
          <w:trHeight w:val="2161"/>
        </w:trPr>
        <w:tc>
          <w:tcPr>
            <w:cnfStyle w:val="001000000000" w:firstRow="0" w:lastRow="0" w:firstColumn="1" w:lastColumn="0" w:oddVBand="0" w:evenVBand="0" w:oddHBand="0" w:evenHBand="0" w:firstRowFirstColumn="0" w:firstRowLastColumn="0" w:lastRowFirstColumn="0" w:lastRowLastColumn="0"/>
            <w:tcW w:w="4605" w:type="dxa"/>
            <w:shd w:val="clear" w:color="auto" w:fill="F4B29B" w:themeFill="accent1" w:themeFillTint="66"/>
            <w:vAlign w:val="center"/>
          </w:tcPr>
          <w:p w:rsidR="00C43B75" w:rsidRDefault="00EA2205" w:rsidP="00C43B75">
            <w:pPr>
              <w:spacing w:after="0"/>
              <w:jc w:val="center"/>
              <w:rPr>
                <w:b w:val="0"/>
                <w:bCs w:val="0"/>
                <w:color w:val="auto"/>
                <w:sz w:val="20"/>
                <w:szCs w:val="20"/>
                <w:lang w:eastAsia="ar-SA"/>
              </w:rPr>
            </w:pPr>
            <w:r w:rsidRPr="00305508">
              <w:rPr>
                <w:color w:val="auto"/>
                <w:sz w:val="20"/>
                <w:szCs w:val="20"/>
                <w:lang w:eastAsia="ar-SA"/>
              </w:rPr>
              <w:t>28 kwietnia 2011 r.</w:t>
            </w:r>
          </w:p>
        </w:tc>
        <w:tc>
          <w:tcPr>
            <w:tcW w:w="4605" w:type="dxa"/>
            <w:tcBorders>
              <w:top w:val="single" w:sz="24" w:space="0" w:color="FFFFFF" w:themeColor="background1"/>
            </w:tcBorders>
            <w:shd w:val="clear" w:color="auto" w:fill="F9D8CD" w:themeFill="accent1" w:themeFillTint="33"/>
            <w:vAlign w:val="center"/>
          </w:tcPr>
          <w:p w:rsidR="00EA2205" w:rsidRPr="00305508" w:rsidRDefault="00EA2205" w:rsidP="006D71C7">
            <w:pPr>
              <w:spacing w:after="0"/>
              <w:jc w:val="both"/>
              <w:cnfStyle w:val="000000100000" w:firstRow="0" w:lastRow="0" w:firstColumn="0" w:lastColumn="0" w:oddVBand="0" w:evenVBand="0" w:oddHBand="1" w:evenHBand="0" w:firstRowFirstColumn="0" w:firstRowLastColumn="0" w:lastRowFirstColumn="0" w:lastRowLastColumn="0"/>
              <w:rPr>
                <w:sz w:val="20"/>
                <w:szCs w:val="20"/>
                <w:lang w:eastAsia="ar-SA"/>
              </w:rPr>
            </w:pPr>
            <w:r w:rsidRPr="00305508">
              <w:rPr>
                <w:sz w:val="20"/>
                <w:szCs w:val="20"/>
              </w:rPr>
              <w:t xml:space="preserve">opracowanie założeń i kryteriów odnoszących się do wyboru potencjalnych FROM-ów, prezentacja przez konsultanta wdrożeniowego wyników analiz w zakresie potencjalnych kandydatów na FROMy oraz potencjalnych projektów miejskich, aktualizacja </w:t>
            </w:r>
            <w:r w:rsidRPr="00305508">
              <w:rPr>
                <w:i/>
                <w:sz w:val="20"/>
                <w:szCs w:val="20"/>
              </w:rPr>
              <w:t>Regulaminu Rady Inwestycyjnej i Kodeksu Postępowania</w:t>
            </w:r>
          </w:p>
        </w:tc>
      </w:tr>
      <w:tr w:rsidR="00EA2205" w:rsidRPr="00305508" w:rsidTr="00AF7C0F">
        <w:trPr>
          <w:trHeight w:val="842"/>
        </w:trPr>
        <w:tc>
          <w:tcPr>
            <w:cnfStyle w:val="001000000000" w:firstRow="0" w:lastRow="0" w:firstColumn="1" w:lastColumn="0" w:oddVBand="0" w:evenVBand="0" w:oddHBand="0" w:evenHBand="0" w:firstRowFirstColumn="0" w:firstRowLastColumn="0" w:lastRowFirstColumn="0" w:lastRowLastColumn="0"/>
            <w:tcW w:w="4605" w:type="dxa"/>
            <w:shd w:val="clear" w:color="auto" w:fill="F4B29B" w:themeFill="accent1" w:themeFillTint="66"/>
            <w:vAlign w:val="center"/>
          </w:tcPr>
          <w:p w:rsidR="00C43B75" w:rsidRDefault="00F64F2B" w:rsidP="00C43B75">
            <w:pPr>
              <w:spacing w:after="0"/>
              <w:jc w:val="center"/>
              <w:rPr>
                <w:b w:val="0"/>
                <w:bCs w:val="0"/>
                <w:color w:val="auto"/>
                <w:sz w:val="20"/>
                <w:szCs w:val="20"/>
                <w:lang w:eastAsia="ar-SA"/>
              </w:rPr>
            </w:pPr>
            <w:r w:rsidRPr="00305508">
              <w:rPr>
                <w:color w:val="auto"/>
                <w:sz w:val="20"/>
                <w:szCs w:val="20"/>
                <w:lang w:eastAsia="ar-SA"/>
              </w:rPr>
              <w:t>25 lipca 2011 r.</w:t>
            </w:r>
          </w:p>
        </w:tc>
        <w:tc>
          <w:tcPr>
            <w:tcW w:w="4605" w:type="dxa"/>
            <w:tcBorders>
              <w:top w:val="single" w:sz="8" w:space="0" w:color="FFFFFF" w:themeColor="background1"/>
              <w:bottom w:val="single" w:sz="8" w:space="0" w:color="FFFFFF" w:themeColor="background1"/>
            </w:tcBorders>
            <w:shd w:val="clear" w:color="auto" w:fill="F9D8CD" w:themeFill="accent1" w:themeFillTint="33"/>
            <w:vAlign w:val="center"/>
          </w:tcPr>
          <w:p w:rsidR="00EA2205" w:rsidRPr="00305508" w:rsidRDefault="00EA2205" w:rsidP="006D71C7">
            <w:pPr>
              <w:spacing w:after="0"/>
              <w:jc w:val="both"/>
              <w:cnfStyle w:val="000000000000" w:firstRow="0" w:lastRow="0" w:firstColumn="0" w:lastColumn="0" w:oddVBand="0" w:evenVBand="0" w:oddHBand="0" w:evenHBand="0" w:firstRowFirstColumn="0" w:firstRowLastColumn="0" w:lastRowFirstColumn="0" w:lastRowLastColumn="0"/>
              <w:rPr>
                <w:sz w:val="20"/>
                <w:szCs w:val="20"/>
                <w:lang w:eastAsia="ar-SA"/>
              </w:rPr>
            </w:pPr>
            <w:r w:rsidRPr="00305508">
              <w:rPr>
                <w:sz w:val="20"/>
                <w:szCs w:val="20"/>
                <w:lang w:eastAsia="ar-SA"/>
              </w:rPr>
              <w:t>prezentacja wyników oceny dokumentacji konkursowej</w:t>
            </w:r>
          </w:p>
        </w:tc>
      </w:tr>
      <w:tr w:rsidR="00EA2205" w:rsidRPr="00305508" w:rsidTr="00AF7C0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605" w:type="dxa"/>
            <w:shd w:val="clear" w:color="auto" w:fill="F4B29B" w:themeFill="accent1" w:themeFillTint="66"/>
            <w:vAlign w:val="center"/>
          </w:tcPr>
          <w:p w:rsidR="00C43B75" w:rsidRDefault="00EA2205" w:rsidP="00C43B75">
            <w:pPr>
              <w:spacing w:after="0"/>
              <w:jc w:val="center"/>
              <w:rPr>
                <w:b w:val="0"/>
                <w:bCs w:val="0"/>
                <w:color w:val="auto"/>
                <w:sz w:val="20"/>
                <w:szCs w:val="20"/>
                <w:lang w:eastAsia="ar-SA"/>
              </w:rPr>
            </w:pPr>
            <w:r w:rsidRPr="00305508">
              <w:rPr>
                <w:color w:val="auto"/>
                <w:sz w:val="20"/>
                <w:szCs w:val="20"/>
                <w:lang w:eastAsia="ar-SA"/>
              </w:rPr>
              <w:t>31 sierpnia 2011 r.</w:t>
            </w:r>
          </w:p>
        </w:tc>
        <w:tc>
          <w:tcPr>
            <w:tcW w:w="4605" w:type="dxa"/>
            <w:shd w:val="clear" w:color="auto" w:fill="F9D8CD" w:themeFill="accent1" w:themeFillTint="33"/>
            <w:vAlign w:val="center"/>
          </w:tcPr>
          <w:p w:rsidR="00EA2205" w:rsidRPr="00305508" w:rsidRDefault="00EA2205" w:rsidP="006D71C7">
            <w:pPr>
              <w:spacing w:after="0"/>
              <w:jc w:val="both"/>
              <w:cnfStyle w:val="000000100000" w:firstRow="0" w:lastRow="0" w:firstColumn="0" w:lastColumn="0" w:oddVBand="0" w:evenVBand="0" w:oddHBand="1" w:evenHBand="0" w:firstRowFirstColumn="0" w:firstRowLastColumn="0" w:lastRowFirstColumn="0" w:lastRowLastColumn="0"/>
              <w:rPr>
                <w:sz w:val="20"/>
                <w:szCs w:val="20"/>
                <w:lang w:eastAsia="ar-SA"/>
              </w:rPr>
            </w:pPr>
            <w:r w:rsidRPr="00305508">
              <w:rPr>
                <w:sz w:val="20"/>
                <w:szCs w:val="20"/>
                <w:lang w:eastAsia="ar-SA"/>
              </w:rPr>
              <w:t>wybór FROM</w:t>
            </w:r>
          </w:p>
        </w:tc>
      </w:tr>
    </w:tbl>
    <w:p w:rsidR="00EA2205" w:rsidRPr="006D71C7" w:rsidRDefault="00EA2205" w:rsidP="006D71C7">
      <w:pPr>
        <w:keepNext/>
        <w:spacing w:after="0"/>
        <w:ind w:left="142"/>
        <w:jc w:val="both"/>
      </w:pPr>
    </w:p>
    <w:p w:rsidR="00BC4E1A" w:rsidRPr="006D71C7" w:rsidRDefault="00D27062" w:rsidP="00BA2FE7">
      <w:pPr>
        <w:keepNext/>
        <w:numPr>
          <w:ilvl w:val="0"/>
          <w:numId w:val="44"/>
        </w:numPr>
        <w:tabs>
          <w:tab w:val="num" w:pos="360"/>
        </w:tabs>
        <w:spacing w:after="0"/>
        <w:ind w:left="426"/>
        <w:jc w:val="both"/>
      </w:pPr>
      <w:r w:rsidRPr="006D71C7">
        <w:t xml:space="preserve">Przygotowanie, ogłoszenie i prowadzenie procedury </w:t>
      </w:r>
      <w:r w:rsidRPr="006D71C7">
        <w:rPr>
          <w:i/>
        </w:rPr>
        <w:t xml:space="preserve">Zaproszenia do Wyrażenia Zainteresowania </w:t>
      </w:r>
      <w:r w:rsidRPr="006D71C7">
        <w:t xml:space="preserve">mającej na celu wybór FROM(ów), a także ocena ofert w formie Biznes Planów złożonych przez kandydatów na drugim etapie procedury </w:t>
      </w:r>
      <w:r w:rsidR="00F21F9F" w:rsidRPr="006D71C7">
        <w:rPr>
          <w:i/>
        </w:rPr>
        <w:t>Zaproszenia do </w:t>
      </w:r>
      <w:r w:rsidRPr="006D71C7">
        <w:rPr>
          <w:i/>
        </w:rPr>
        <w:t>Wyrażenia Zainteresowania</w:t>
      </w:r>
      <w:r w:rsidRPr="006D71C7">
        <w:t xml:space="preserve"> oraz przedstawienie Radzie Inwestycyjnej rekomendacji w zakresie wyboru FROM(ów).</w:t>
      </w:r>
      <w:r w:rsidR="00BC4E1A" w:rsidRPr="006D71C7">
        <w:t xml:space="preserve"> Lista instytucji/kandydatów, które wyraziły zainteresowanie</w:t>
      </w:r>
      <w:r w:rsidR="00E062FC" w:rsidRPr="006D71C7">
        <w:t xml:space="preserve"> przedstawia się następująco</w:t>
      </w:r>
      <w:r w:rsidR="00BC4E1A" w:rsidRPr="006D71C7">
        <w:t>:</w:t>
      </w:r>
    </w:p>
    <w:p w:rsidR="00BC4E1A" w:rsidRPr="006D71C7" w:rsidRDefault="00BC4E1A" w:rsidP="00BA2FE7">
      <w:pPr>
        <w:pStyle w:val="Default"/>
        <w:numPr>
          <w:ilvl w:val="0"/>
          <w:numId w:val="45"/>
        </w:numPr>
        <w:suppressAutoHyphens/>
        <w:autoSpaceDE/>
        <w:autoSpaceDN/>
        <w:adjustRightInd/>
        <w:spacing w:line="276" w:lineRule="auto"/>
        <w:ind w:left="1418"/>
        <w:jc w:val="both"/>
        <w:rPr>
          <w:color w:val="auto"/>
          <w:lang w:val="en-US"/>
        </w:rPr>
      </w:pPr>
      <w:r w:rsidRPr="006D71C7">
        <w:rPr>
          <w:color w:val="auto"/>
          <w:lang w:val="en-US"/>
        </w:rPr>
        <w:t>AP Group sp. z o.o.</w:t>
      </w:r>
    </w:p>
    <w:p w:rsidR="00BC4E1A" w:rsidRPr="006D71C7" w:rsidRDefault="00BC4E1A" w:rsidP="00BA2FE7">
      <w:pPr>
        <w:pStyle w:val="Default"/>
        <w:numPr>
          <w:ilvl w:val="0"/>
          <w:numId w:val="45"/>
        </w:numPr>
        <w:suppressAutoHyphens/>
        <w:autoSpaceDE/>
        <w:autoSpaceDN/>
        <w:adjustRightInd/>
        <w:spacing w:line="276" w:lineRule="auto"/>
        <w:ind w:left="1418"/>
        <w:jc w:val="both"/>
        <w:rPr>
          <w:color w:val="auto"/>
        </w:rPr>
      </w:pPr>
      <w:r w:rsidRPr="006D71C7">
        <w:rPr>
          <w:color w:val="auto"/>
        </w:rPr>
        <w:t>Bank Handlowy w Warszawie S.A.</w:t>
      </w:r>
    </w:p>
    <w:p w:rsidR="00BC4E1A" w:rsidRPr="006D71C7" w:rsidRDefault="00BC4E1A" w:rsidP="00BA2FE7">
      <w:pPr>
        <w:pStyle w:val="Default"/>
        <w:numPr>
          <w:ilvl w:val="0"/>
          <w:numId w:val="45"/>
        </w:numPr>
        <w:suppressAutoHyphens/>
        <w:autoSpaceDE/>
        <w:autoSpaceDN/>
        <w:adjustRightInd/>
        <w:spacing w:line="276" w:lineRule="auto"/>
        <w:ind w:left="1418"/>
        <w:jc w:val="both"/>
        <w:rPr>
          <w:color w:val="auto"/>
        </w:rPr>
      </w:pPr>
      <w:r w:rsidRPr="006D71C7">
        <w:rPr>
          <w:color w:val="auto"/>
        </w:rPr>
        <w:t>Bank Zachodni WBK S.A. (w konsorcjum z Funduszem Górnośląskim)</w:t>
      </w:r>
    </w:p>
    <w:p w:rsidR="00BC4E1A" w:rsidRPr="006D71C7" w:rsidRDefault="00BC4E1A" w:rsidP="00BA2FE7">
      <w:pPr>
        <w:pStyle w:val="Default"/>
        <w:numPr>
          <w:ilvl w:val="0"/>
          <w:numId w:val="45"/>
        </w:numPr>
        <w:suppressAutoHyphens/>
        <w:autoSpaceDE/>
        <w:autoSpaceDN/>
        <w:adjustRightInd/>
        <w:spacing w:line="276" w:lineRule="auto"/>
        <w:ind w:left="1418"/>
        <w:jc w:val="both"/>
        <w:rPr>
          <w:color w:val="auto"/>
        </w:rPr>
      </w:pPr>
      <w:r w:rsidRPr="006D71C7">
        <w:rPr>
          <w:color w:val="auto"/>
        </w:rPr>
        <w:t>Bank Gospodarstwa Krajowego</w:t>
      </w:r>
    </w:p>
    <w:p w:rsidR="00BC4E1A" w:rsidRPr="006D71C7" w:rsidRDefault="00BC4E1A" w:rsidP="00BA2FE7">
      <w:pPr>
        <w:pStyle w:val="Default"/>
        <w:numPr>
          <w:ilvl w:val="0"/>
          <w:numId w:val="45"/>
        </w:numPr>
        <w:suppressAutoHyphens/>
        <w:autoSpaceDE/>
        <w:autoSpaceDN/>
        <w:adjustRightInd/>
        <w:spacing w:line="276" w:lineRule="auto"/>
        <w:ind w:left="1418"/>
        <w:jc w:val="both"/>
        <w:rPr>
          <w:color w:val="auto"/>
        </w:rPr>
      </w:pPr>
      <w:r w:rsidRPr="006D71C7">
        <w:rPr>
          <w:color w:val="auto"/>
        </w:rPr>
        <w:t>Skarbiec Towarzystwa Funduszy Inwestycyjnych S.A.</w:t>
      </w:r>
    </w:p>
    <w:p w:rsidR="00D27062" w:rsidRPr="006D71C7" w:rsidRDefault="00BC4E1A" w:rsidP="00BA2FE7">
      <w:pPr>
        <w:keepNext/>
        <w:numPr>
          <w:ilvl w:val="0"/>
          <w:numId w:val="45"/>
        </w:numPr>
        <w:spacing w:after="0"/>
        <w:ind w:left="1418"/>
        <w:jc w:val="both"/>
      </w:pPr>
      <w:r w:rsidRPr="006D71C7">
        <w:t>Bank Ochrony Środowiska</w:t>
      </w:r>
    </w:p>
    <w:p w:rsidR="00BC4E1A" w:rsidRPr="006D71C7" w:rsidRDefault="00BC4E1A" w:rsidP="006D71C7">
      <w:pPr>
        <w:pStyle w:val="Default"/>
        <w:spacing w:line="276" w:lineRule="auto"/>
        <w:ind w:left="426"/>
        <w:jc w:val="both"/>
        <w:rPr>
          <w:color w:val="auto"/>
        </w:rPr>
      </w:pPr>
      <w:r w:rsidRPr="006D71C7">
        <w:rPr>
          <w:color w:val="auto"/>
        </w:rPr>
        <w:t>Wszystkie ww. instytucje przeszły pozytywnie „I etap” oceny i zostały zaproszone do</w:t>
      </w:r>
      <w:r w:rsidR="00296468" w:rsidRPr="006D71C7">
        <w:rPr>
          <w:color w:val="auto"/>
        </w:rPr>
        <w:t> </w:t>
      </w:r>
      <w:r w:rsidRPr="006D71C7">
        <w:rPr>
          <w:color w:val="auto"/>
        </w:rPr>
        <w:t>„Ofert” – „II etap”. Najlep</w:t>
      </w:r>
      <w:r w:rsidR="00711C5A" w:rsidRPr="006D71C7">
        <w:rPr>
          <w:color w:val="auto"/>
        </w:rPr>
        <w:t>szy wynik w II etapie otrzymał B</w:t>
      </w:r>
      <w:r w:rsidRPr="006D71C7">
        <w:rPr>
          <w:color w:val="auto"/>
        </w:rPr>
        <w:t xml:space="preserve">ank Ochrony Środowiska, który został wybrany przez Radę Inwestycyjną na FROM. </w:t>
      </w:r>
    </w:p>
    <w:p w:rsidR="008E5D23" w:rsidRPr="006D71C7" w:rsidRDefault="00D27062" w:rsidP="00BA2FE7">
      <w:pPr>
        <w:keepNext/>
        <w:numPr>
          <w:ilvl w:val="0"/>
          <w:numId w:val="44"/>
        </w:numPr>
        <w:tabs>
          <w:tab w:val="num" w:pos="360"/>
        </w:tabs>
        <w:spacing w:after="0"/>
        <w:ind w:left="426"/>
        <w:jc w:val="both"/>
      </w:pPr>
      <w:r w:rsidRPr="006D71C7">
        <w:t>Negocjacje i podpisanie</w:t>
      </w:r>
      <w:r w:rsidR="003E4BBC" w:rsidRPr="006D71C7">
        <w:t xml:space="preserve"> w dniu 23 października 2011 r. </w:t>
      </w:r>
      <w:r w:rsidRPr="006D71C7">
        <w:t>Umowy</w:t>
      </w:r>
      <w:r w:rsidR="003E4BBC" w:rsidRPr="006D71C7">
        <w:t xml:space="preserve"> dotyczącej Deponowania i </w:t>
      </w:r>
      <w:r w:rsidRPr="006D71C7">
        <w:t>Zarządzania Funduszami („Umowa Operacyjna”) z Bankiem Ochrony Środowiska S.A. („BOŚ”) – podmiotem zatwierdzonym przez Radę Inwestycyjną jako zarządzający FROMem dla Województwa Śląskiego.</w:t>
      </w:r>
    </w:p>
    <w:p w:rsidR="008E5D23" w:rsidRPr="006D71C7" w:rsidRDefault="008E5D23" w:rsidP="00BA2FE7">
      <w:pPr>
        <w:keepNext/>
        <w:numPr>
          <w:ilvl w:val="0"/>
          <w:numId w:val="44"/>
        </w:numPr>
        <w:tabs>
          <w:tab w:val="num" w:pos="360"/>
        </w:tabs>
        <w:spacing w:after="0"/>
        <w:ind w:left="426"/>
        <w:jc w:val="both"/>
      </w:pPr>
      <w:r w:rsidRPr="006D71C7">
        <w:rPr>
          <w:szCs w:val="24"/>
        </w:rPr>
        <w:t xml:space="preserve">W dn. </w:t>
      </w:r>
      <w:r w:rsidRPr="006D71C7">
        <w:rPr>
          <w:bCs/>
          <w:szCs w:val="24"/>
        </w:rPr>
        <w:t>1 grudnia 2011 r</w:t>
      </w:r>
      <w:r w:rsidRPr="006D71C7">
        <w:rPr>
          <w:b/>
          <w:bCs/>
          <w:szCs w:val="24"/>
        </w:rPr>
        <w:t>.</w:t>
      </w:r>
      <w:r w:rsidRPr="006D71C7">
        <w:rPr>
          <w:szCs w:val="24"/>
        </w:rPr>
        <w:t xml:space="preserve"> Bank Ochrony Środowiska ogłosił nabór wniosków o udzielenie pożyczki JESSICA na realizację Projektów Miejskich w ramach RPO WSL. Wnioski o</w:t>
      </w:r>
      <w:r w:rsidR="00BB61CA" w:rsidRPr="006D71C7">
        <w:rPr>
          <w:szCs w:val="24"/>
        </w:rPr>
        <w:t> </w:t>
      </w:r>
      <w:r w:rsidRPr="006D71C7">
        <w:rPr>
          <w:szCs w:val="24"/>
        </w:rPr>
        <w:t xml:space="preserve">udzielenie pożyczki JESSICA przyjmowane </w:t>
      </w:r>
      <w:r w:rsidR="00EF3105" w:rsidRPr="006D71C7">
        <w:rPr>
          <w:szCs w:val="24"/>
        </w:rPr>
        <w:t xml:space="preserve">są </w:t>
      </w:r>
      <w:r w:rsidR="0038074A" w:rsidRPr="006D71C7">
        <w:rPr>
          <w:szCs w:val="24"/>
        </w:rPr>
        <w:t>od </w:t>
      </w:r>
      <w:r w:rsidRPr="006D71C7">
        <w:rPr>
          <w:szCs w:val="24"/>
        </w:rPr>
        <w:t xml:space="preserve">dnia </w:t>
      </w:r>
      <w:r w:rsidRPr="006D71C7">
        <w:rPr>
          <w:bCs/>
          <w:szCs w:val="24"/>
        </w:rPr>
        <w:t>5 grudnia 2011 r</w:t>
      </w:r>
      <w:r w:rsidRPr="006D71C7">
        <w:rPr>
          <w:b/>
          <w:bCs/>
          <w:szCs w:val="24"/>
        </w:rPr>
        <w:t>.</w:t>
      </w:r>
      <w:r w:rsidRPr="006D71C7">
        <w:rPr>
          <w:szCs w:val="24"/>
        </w:rPr>
        <w:t xml:space="preserve"> do</w:t>
      </w:r>
      <w:r w:rsidR="00C11C85" w:rsidRPr="006D71C7">
        <w:rPr>
          <w:szCs w:val="24"/>
        </w:rPr>
        <w:t> </w:t>
      </w:r>
      <w:r w:rsidRPr="006D71C7">
        <w:rPr>
          <w:szCs w:val="24"/>
        </w:rPr>
        <w:t>wyczerpania alokacji.</w:t>
      </w:r>
    </w:p>
    <w:p w:rsidR="00D27062" w:rsidRPr="006D71C7" w:rsidRDefault="00D27062" w:rsidP="00BA2FE7">
      <w:pPr>
        <w:keepNext/>
        <w:numPr>
          <w:ilvl w:val="0"/>
          <w:numId w:val="44"/>
        </w:numPr>
        <w:tabs>
          <w:tab w:val="num" w:pos="360"/>
        </w:tabs>
        <w:spacing w:after="0"/>
        <w:ind w:left="426"/>
        <w:jc w:val="both"/>
      </w:pPr>
      <w:r w:rsidRPr="006D71C7">
        <w:t>Wypłata środków na rzecz FROMu w dniu 12 grudnia 2</w:t>
      </w:r>
      <w:r w:rsidR="0038074A" w:rsidRPr="006D71C7">
        <w:t>011 roku na podstawie wniosku o </w:t>
      </w:r>
      <w:r w:rsidRPr="006D71C7">
        <w:t>zaliczkę z dnia 24 listopada 2011 roku.</w:t>
      </w:r>
    </w:p>
    <w:p w:rsidR="00D27062" w:rsidRPr="006D71C7" w:rsidRDefault="00D27062" w:rsidP="00BA2FE7">
      <w:pPr>
        <w:keepNext/>
        <w:numPr>
          <w:ilvl w:val="0"/>
          <w:numId w:val="44"/>
        </w:numPr>
        <w:tabs>
          <w:tab w:val="num" w:pos="360"/>
        </w:tabs>
        <w:spacing w:after="0"/>
        <w:ind w:left="426"/>
        <w:jc w:val="both"/>
      </w:pPr>
      <w:r w:rsidRPr="006D71C7">
        <w:t xml:space="preserve">Organizacja wydarzeń informacyjnych i promocyjnych, które były prowadzone w ścisłej współpracy z Instytucją Zarządzającą RPO WSL </w:t>
      </w:r>
      <w:r w:rsidR="0038074A" w:rsidRPr="006D71C7">
        <w:t>i z Konsultantem</w:t>
      </w:r>
      <w:r w:rsidR="003C5FA3" w:rsidRPr="006D71C7">
        <w:t xml:space="preserve"> biznesowym</w:t>
      </w:r>
      <w:r w:rsidR="0038074A" w:rsidRPr="006D71C7">
        <w:t>. Następnie, po </w:t>
      </w:r>
      <w:r w:rsidRPr="006D71C7">
        <w:t xml:space="preserve">zakończeniu procedury </w:t>
      </w:r>
      <w:r w:rsidRPr="006D71C7">
        <w:rPr>
          <w:i/>
        </w:rPr>
        <w:t>Zaproszenia do Wyrażenia Zainteresowania</w:t>
      </w:r>
      <w:r w:rsidR="00D97AE2" w:rsidRPr="006D71C7">
        <w:t xml:space="preserve"> i </w:t>
      </w:r>
      <w:r w:rsidRPr="006D71C7">
        <w:t xml:space="preserve">podpisaniu </w:t>
      </w:r>
      <w:r w:rsidRPr="006D71C7">
        <w:rPr>
          <w:i/>
        </w:rPr>
        <w:t>Umowy Operacyjne</w:t>
      </w:r>
      <w:r w:rsidRPr="006D71C7">
        <w:t xml:space="preserve">j, część działań w zakresie informacji i promocji została przejęta przez wybrany </w:t>
      </w:r>
      <w:r w:rsidR="008E5D23" w:rsidRPr="006D71C7">
        <w:t>FROM, tj. BOŚ</w:t>
      </w:r>
      <w:r w:rsidRPr="006D71C7">
        <w:t>.</w:t>
      </w:r>
    </w:p>
    <w:p w:rsidR="008E5D23" w:rsidRPr="006D71C7" w:rsidRDefault="00D27062" w:rsidP="00BA2FE7">
      <w:pPr>
        <w:keepNext/>
        <w:numPr>
          <w:ilvl w:val="0"/>
          <w:numId w:val="44"/>
        </w:numPr>
        <w:tabs>
          <w:tab w:val="num" w:pos="360"/>
        </w:tabs>
        <w:spacing w:after="120"/>
        <w:ind w:left="425" w:hanging="357"/>
        <w:jc w:val="both"/>
      </w:pPr>
      <w:r w:rsidRPr="006D71C7">
        <w:t>Przeprowadzenie audytu zewnętrznego FPJWS (</w:t>
      </w:r>
      <w:r w:rsidRPr="006D71C7">
        <w:rPr>
          <w:i/>
        </w:rPr>
        <w:t>Sprawozdanie Finansowe Funduszu Powierniczego JESSICA dla Województwa Śląskiego</w:t>
      </w:r>
      <w:r w:rsidRPr="006D71C7">
        <w:t xml:space="preserve"> </w:t>
      </w:r>
      <w:r w:rsidRPr="006D71C7">
        <w:rPr>
          <w:i/>
        </w:rPr>
        <w:t>na dzień 31 grudnia 2010 roku</w:t>
      </w:r>
      <w:r w:rsidRPr="006D71C7">
        <w:t xml:space="preserve"> („Sprawozdanie Finansowe”) zostało poddane audytowi przez niezależnego biegłego rewidenta (KPMG). </w:t>
      </w:r>
    </w:p>
    <w:p w:rsidR="00C758E1" w:rsidRPr="006D71C7" w:rsidRDefault="008E5D23" w:rsidP="006D71C7">
      <w:pPr>
        <w:jc w:val="both"/>
        <w:rPr>
          <w:rFonts w:cs="Arial"/>
        </w:rPr>
      </w:pPr>
      <w:r w:rsidRPr="006D71C7">
        <w:rPr>
          <w:rFonts w:cs="Arial"/>
        </w:rPr>
        <w:t xml:space="preserve">Zgodnie ze </w:t>
      </w:r>
      <w:r w:rsidRPr="006D71C7">
        <w:rPr>
          <w:rFonts w:cs="Arial"/>
          <w:i/>
        </w:rPr>
        <w:t>Strategią Inwestycyjną</w:t>
      </w:r>
      <w:r w:rsidRPr="006D71C7">
        <w:rPr>
          <w:rFonts w:cs="Arial"/>
        </w:rPr>
        <w:t xml:space="preserve">, Projekty Miejskie będące przedmiotem wsparcia </w:t>
      </w:r>
      <w:r w:rsidR="00BB61CA" w:rsidRPr="006D71C7">
        <w:rPr>
          <w:rFonts w:cs="Arial"/>
        </w:rPr>
        <w:t>I</w:t>
      </w:r>
      <w:r w:rsidRPr="006D71C7">
        <w:rPr>
          <w:rFonts w:cs="Arial"/>
        </w:rPr>
        <w:t xml:space="preserve">nicjatywy JESSICA w Województwie Śląskim powinny przyczyniać się do osiągnięcia stosownych wskaźników RPO WSL. Jednakże, wskaźniki nie znajdują zastosowania na etapie wdrażania </w:t>
      </w:r>
      <w:r w:rsidR="00BB61CA" w:rsidRPr="006D71C7">
        <w:rPr>
          <w:rFonts w:cs="Arial"/>
        </w:rPr>
        <w:t>I</w:t>
      </w:r>
      <w:r w:rsidRPr="006D71C7">
        <w:rPr>
          <w:rFonts w:cs="Arial"/>
        </w:rPr>
        <w:t xml:space="preserve">nicjatywy JESSICA, do którego odnosi się niniejsze </w:t>
      </w:r>
      <w:r w:rsidRPr="006D71C7">
        <w:rPr>
          <w:rFonts w:cs="Arial"/>
          <w:i/>
        </w:rPr>
        <w:t>Sprawozdanie,</w:t>
      </w:r>
      <w:r w:rsidRPr="006D71C7">
        <w:rPr>
          <w:rFonts w:cs="Arial"/>
        </w:rPr>
        <w:t xml:space="preserve"> ponieważ wybrany w Województwie Śląskim FROM nie rozpoczął jeszcze inwestycji w Projekty Miejskie.</w:t>
      </w:r>
    </w:p>
    <w:p w:rsidR="003E3913" w:rsidRPr="006D71C7" w:rsidRDefault="003E3913" w:rsidP="006D71C7">
      <w:pPr>
        <w:jc w:val="both"/>
        <w:rPr>
          <w:lang w:eastAsia="ar-SA"/>
        </w:rPr>
      </w:pPr>
      <w:r w:rsidRPr="006D71C7">
        <w:rPr>
          <w:rFonts w:cs="Arial"/>
        </w:rPr>
        <w:t>Do końca okresu sprawozdawczego nie została udzielona żadna pożyczka w ramach Inicjatywy JESSICA.</w:t>
      </w:r>
    </w:p>
    <w:p w:rsidR="00F61FCA" w:rsidRPr="006D71C7" w:rsidRDefault="00B32933" w:rsidP="006D71C7">
      <w:pPr>
        <w:jc w:val="both"/>
        <w:rPr>
          <w:b/>
          <w:lang w:eastAsia="ar-SA"/>
        </w:rPr>
      </w:pPr>
      <w:r w:rsidRPr="006D71C7">
        <w:rPr>
          <w:b/>
          <w:lang w:eastAsia="ar-SA"/>
        </w:rPr>
        <w:t>Dokapitalizowanie zewnętrznych źródeł dofinansowania przedsiębiorczości</w:t>
      </w:r>
    </w:p>
    <w:p w:rsidR="00672BEA" w:rsidRPr="006D71C7" w:rsidRDefault="00672BEA" w:rsidP="006D71C7">
      <w:pPr>
        <w:spacing w:after="240"/>
        <w:jc w:val="both"/>
        <w:rPr>
          <w:szCs w:val="24"/>
        </w:rPr>
      </w:pPr>
      <w:r w:rsidRPr="006D71C7">
        <w:rPr>
          <w:szCs w:val="24"/>
        </w:rPr>
        <w:t xml:space="preserve">IZ RPO WSL w ramach </w:t>
      </w:r>
      <w:r w:rsidR="00A4511D" w:rsidRPr="006D71C7">
        <w:rPr>
          <w:i/>
          <w:szCs w:val="24"/>
        </w:rPr>
        <w:t>p</w:t>
      </w:r>
      <w:r w:rsidRPr="006D71C7">
        <w:rPr>
          <w:i/>
          <w:szCs w:val="24"/>
        </w:rPr>
        <w:t>riorytetu I Badania i rozwój przedsiębiorczości (B+R), innowacje i przedsiębiorczość</w:t>
      </w:r>
      <w:r w:rsidRPr="006D71C7">
        <w:rPr>
          <w:szCs w:val="24"/>
        </w:rPr>
        <w:t xml:space="preserve"> realizuje poddziałanie 1.1.1 typ projektu 7, którego celem jest ułatwienie dostępu do zewnętrznych źródeł finansowania działalności MŚP, posiadających siedzibę na terenie województwa śląskiego lub prowadzących inwestycje na terenie województwa śląskiego poprzez dokapitalizowanie lokalnych, regionalnych oraz ponadregionalnych funduszy pożyczkowych, mikropożyczkowych i funduszy poręczeniowych. Instrument ten</w:t>
      </w:r>
      <w:r w:rsidR="00C11C85" w:rsidRPr="006D71C7">
        <w:rPr>
          <w:szCs w:val="24"/>
        </w:rPr>
        <w:t> </w:t>
      </w:r>
      <w:r w:rsidRPr="006D71C7">
        <w:rPr>
          <w:szCs w:val="24"/>
        </w:rPr>
        <w:t>zapewni</w:t>
      </w:r>
      <w:r w:rsidR="00EF3105" w:rsidRPr="006D71C7">
        <w:rPr>
          <w:szCs w:val="24"/>
        </w:rPr>
        <w:t>a</w:t>
      </w:r>
      <w:r w:rsidRPr="006D71C7">
        <w:rPr>
          <w:szCs w:val="24"/>
        </w:rPr>
        <w:t xml:space="preserve"> dodatkowe wsparcie finansowe przedsiębiorcom (oprócz dotacji unijnych), którzy posiadają siedzibę na terenie województwa śląskiego lub prowadzą inwestycje na</w:t>
      </w:r>
      <w:r w:rsidR="00C11C85" w:rsidRPr="006D71C7">
        <w:rPr>
          <w:szCs w:val="24"/>
        </w:rPr>
        <w:t> </w:t>
      </w:r>
      <w:r w:rsidRPr="006D71C7">
        <w:rPr>
          <w:szCs w:val="24"/>
        </w:rPr>
        <w:t xml:space="preserve">terenie regionu. </w:t>
      </w:r>
      <w:r w:rsidRPr="006D71C7">
        <w:rPr>
          <w:rFonts w:eastAsia="+mn-ea"/>
          <w:szCs w:val="24"/>
        </w:rPr>
        <w:t>W ramach RPO WSL utworzone zostały 3 fundusze pożyc</w:t>
      </w:r>
      <w:r w:rsidRPr="006D71C7">
        <w:rPr>
          <w:szCs w:val="24"/>
        </w:rPr>
        <w:t xml:space="preserve">zkowe i 1 fundusz poręczeniowy. </w:t>
      </w:r>
      <w:r w:rsidRPr="006D71C7">
        <w:rPr>
          <w:rFonts w:eastAsia="+mn-ea"/>
          <w:szCs w:val="24"/>
        </w:rPr>
        <w:t>Pożyczki przeznaczane mają być na finansowanie przedsięwzięć inwestycyjnych i obrotowych realizowanych przez MŚP z obszaru województwa śląskiego. Poręczenia udzielane są MŚP z terenu województwa śląskiego w celu ułatwienia im dostępu do kredytów i pożyczek poprzez dodatkowe zabezpieczenie spłat tych zobowiązań.</w:t>
      </w:r>
    </w:p>
    <w:p w:rsidR="00672BEA" w:rsidRPr="006D71C7" w:rsidRDefault="00672BEA" w:rsidP="006D71C7">
      <w:pPr>
        <w:spacing w:after="240"/>
        <w:jc w:val="both"/>
        <w:rPr>
          <w:rFonts w:eastAsia="+mn-ea"/>
          <w:szCs w:val="24"/>
        </w:rPr>
      </w:pPr>
      <w:r w:rsidRPr="006D71C7">
        <w:rPr>
          <w:rFonts w:eastAsia="+mn-ea"/>
          <w:szCs w:val="24"/>
        </w:rPr>
        <w:t>Struktura środków w ramach w/w funduszy kształtuje się następująco: 71% środków fundusze pożyczkowe, 29%  środków fundusz poręczeniowy.</w:t>
      </w:r>
      <w:r w:rsidRPr="006D71C7">
        <w:rPr>
          <w:szCs w:val="24"/>
        </w:rPr>
        <w:t xml:space="preserve"> </w:t>
      </w:r>
      <w:r w:rsidR="008301A0" w:rsidRPr="006D71C7">
        <w:rPr>
          <w:rFonts w:eastAsia="+mn-ea"/>
          <w:szCs w:val="24"/>
        </w:rPr>
        <w:t>Podmioty wdrażające IF to </w:t>
      </w:r>
      <w:r w:rsidRPr="006D71C7">
        <w:rPr>
          <w:rFonts w:eastAsia="+mn-ea"/>
          <w:szCs w:val="24"/>
        </w:rPr>
        <w:t>spółki kapitałowe z większościowym wkładam publicznym (nie są to fundusze powiernicze).</w:t>
      </w:r>
    </w:p>
    <w:p w:rsidR="008301A0" w:rsidRPr="006D71C7" w:rsidRDefault="001E656A" w:rsidP="006D71C7">
      <w:pPr>
        <w:pStyle w:val="Legenda"/>
        <w:jc w:val="both"/>
        <w:rPr>
          <w:rFonts w:eastAsia="+mn-ea"/>
          <w:color w:val="auto"/>
          <w:sz w:val="20"/>
          <w:szCs w:val="20"/>
        </w:rPr>
      </w:pPr>
      <w:bookmarkStart w:id="150" w:name="_Toc324853699"/>
      <w:bookmarkStart w:id="151" w:name="_Toc326046362"/>
      <w:r w:rsidRPr="006D71C7">
        <w:rPr>
          <w:color w:val="auto"/>
          <w:sz w:val="20"/>
          <w:szCs w:val="20"/>
        </w:rPr>
        <w:t>Tabela</w:t>
      </w:r>
      <w:r w:rsidR="008301A0" w:rsidRPr="006D71C7">
        <w:rPr>
          <w:color w:val="auto"/>
          <w:sz w:val="20"/>
          <w:szCs w:val="20"/>
        </w:rPr>
        <w:t xml:space="preserve">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10</w:t>
      </w:r>
      <w:r w:rsidR="008F7228" w:rsidRPr="006D71C7">
        <w:rPr>
          <w:color w:val="auto"/>
          <w:sz w:val="20"/>
          <w:szCs w:val="20"/>
        </w:rPr>
        <w:fldChar w:fldCharType="end"/>
      </w:r>
      <w:r w:rsidR="008301A0" w:rsidRPr="006D71C7">
        <w:rPr>
          <w:color w:val="auto"/>
          <w:sz w:val="20"/>
          <w:szCs w:val="20"/>
        </w:rPr>
        <w:t xml:space="preserve"> </w:t>
      </w:r>
      <w:r w:rsidR="008301A0" w:rsidRPr="006D71C7">
        <w:rPr>
          <w:b w:val="0"/>
          <w:i/>
          <w:color w:val="auto"/>
          <w:sz w:val="20"/>
          <w:szCs w:val="20"/>
        </w:rPr>
        <w:t>Zestawienie udzielonych poręczeń wypłaconych pożyczek</w:t>
      </w:r>
      <w:bookmarkEnd w:id="150"/>
      <w:bookmarkEnd w:id="151"/>
    </w:p>
    <w:tbl>
      <w:tblPr>
        <w:tblStyle w:val="redniasiatka1akcent3"/>
        <w:tblW w:w="10632" w:type="dxa"/>
        <w:tblInd w:w="-459" w:type="dxa"/>
        <w:shd w:val="clear" w:color="auto" w:fill="F4B29B" w:themeFill="accent1" w:themeFillTint="66"/>
        <w:tblLayout w:type="fixed"/>
        <w:tblLook w:val="04A0" w:firstRow="1" w:lastRow="0" w:firstColumn="1" w:lastColumn="0" w:noHBand="0" w:noVBand="1"/>
      </w:tblPr>
      <w:tblGrid>
        <w:gridCol w:w="1416"/>
        <w:gridCol w:w="1703"/>
        <w:gridCol w:w="1417"/>
        <w:gridCol w:w="1276"/>
        <w:gridCol w:w="1276"/>
        <w:gridCol w:w="1559"/>
        <w:gridCol w:w="1985"/>
      </w:tblGrid>
      <w:tr w:rsidR="008301A0" w:rsidRPr="006D71C7" w:rsidTr="00AF7C0F">
        <w:trPr>
          <w:cnfStyle w:val="100000000000" w:firstRow="1" w:lastRow="0" w:firstColumn="0" w:lastColumn="0" w:oddVBand="0" w:evenVBand="0" w:oddHBand="0"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1416" w:type="dxa"/>
            <w:shd w:val="clear" w:color="auto" w:fill="F4B29B" w:themeFill="accent1" w:themeFillTint="66"/>
            <w:vAlign w:val="center"/>
          </w:tcPr>
          <w:p w:rsidR="00C43B75" w:rsidRDefault="008301A0" w:rsidP="00C43B75">
            <w:pPr>
              <w:pStyle w:val="NormalnyWeb"/>
              <w:jc w:val="center"/>
              <w:rPr>
                <w:rFonts w:cs="Times New Roman"/>
                <w:b w:val="0"/>
                <w:bCs w:val="0"/>
                <w:sz w:val="36"/>
                <w:szCs w:val="36"/>
                <w:lang w:eastAsia="pl-PL"/>
              </w:rPr>
            </w:pPr>
            <w:r w:rsidRPr="006D71C7">
              <w:rPr>
                <w:rFonts w:eastAsia="Calibri"/>
                <w:kern w:val="24"/>
                <w:sz w:val="20"/>
                <w:szCs w:val="20"/>
              </w:rPr>
              <w:t>Rodzaj IIF</w:t>
            </w:r>
          </w:p>
        </w:tc>
        <w:tc>
          <w:tcPr>
            <w:tcW w:w="1703" w:type="dxa"/>
            <w:tcBorders>
              <w:bottom w:val="single" w:sz="8" w:space="0" w:color="B9AA8F" w:themeColor="accent3" w:themeTint="BF"/>
            </w:tcBorders>
            <w:shd w:val="clear" w:color="auto" w:fill="F4B29B" w:themeFill="accent1" w:themeFillTint="66"/>
            <w:vAlign w:val="center"/>
          </w:tcPr>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Kwota całkowita projektu</w:t>
            </w:r>
            <w:r w:rsidRPr="006D71C7">
              <w:rPr>
                <w:rFonts w:eastAsia="Calibri"/>
                <w:kern w:val="24"/>
                <w:sz w:val="20"/>
                <w:szCs w:val="20"/>
              </w:rPr>
              <w:br/>
              <w:t>(dofinansowanie i wkład własny)</w:t>
            </w:r>
          </w:p>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[EUR]</w:t>
            </w:r>
          </w:p>
        </w:tc>
        <w:tc>
          <w:tcPr>
            <w:tcW w:w="1417" w:type="dxa"/>
            <w:tcBorders>
              <w:bottom w:val="single" w:sz="8" w:space="0" w:color="B9AA8F" w:themeColor="accent3" w:themeTint="BF"/>
            </w:tcBorders>
            <w:shd w:val="clear" w:color="auto" w:fill="F4B29B" w:themeFill="accent1" w:themeFillTint="66"/>
            <w:vAlign w:val="center"/>
          </w:tcPr>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Wkład z EFRR</w:t>
            </w:r>
          </w:p>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[EUR]</w:t>
            </w:r>
          </w:p>
        </w:tc>
        <w:tc>
          <w:tcPr>
            <w:tcW w:w="1276" w:type="dxa"/>
            <w:tcBorders>
              <w:bottom w:val="single" w:sz="8" w:space="0" w:color="B9AA8F" w:themeColor="accent3" w:themeTint="BF"/>
            </w:tcBorders>
            <w:shd w:val="clear" w:color="auto" w:fill="F4B29B" w:themeFill="accent1" w:themeFillTint="66"/>
            <w:vAlign w:val="center"/>
          </w:tcPr>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Wartość udzielonych pożyczek/ poręczeń</w:t>
            </w:r>
          </w:p>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[EUR]</w:t>
            </w:r>
          </w:p>
        </w:tc>
        <w:tc>
          <w:tcPr>
            <w:tcW w:w="1276" w:type="dxa"/>
            <w:tcBorders>
              <w:bottom w:val="single" w:sz="8" w:space="0" w:color="B9AA8F" w:themeColor="accent3" w:themeTint="BF"/>
            </w:tcBorders>
            <w:shd w:val="clear" w:color="auto" w:fill="F4B29B" w:themeFill="accent1" w:themeFillTint="66"/>
            <w:vAlign w:val="center"/>
          </w:tcPr>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Liczba udzielonych pożyczek/ poręczeń</w:t>
            </w:r>
          </w:p>
        </w:tc>
        <w:tc>
          <w:tcPr>
            <w:tcW w:w="1559" w:type="dxa"/>
            <w:tcBorders>
              <w:bottom w:val="single" w:sz="8" w:space="0" w:color="B9AA8F" w:themeColor="accent3" w:themeTint="BF"/>
            </w:tcBorders>
            <w:shd w:val="clear" w:color="auto" w:fill="F4B29B" w:themeFill="accent1" w:themeFillTint="66"/>
            <w:vAlign w:val="center"/>
          </w:tcPr>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Wartość faktycznie wypłaconych pożyczek/ udzielonych poręczeń</w:t>
            </w:r>
            <w:r w:rsidRPr="006D71C7">
              <w:rPr>
                <w:sz w:val="36"/>
                <w:szCs w:val="36"/>
              </w:rPr>
              <w:t xml:space="preserve">             </w:t>
            </w:r>
            <w:r w:rsidRPr="006D71C7">
              <w:rPr>
                <w:rFonts w:eastAsia="Calibri"/>
                <w:kern w:val="24"/>
                <w:sz w:val="20"/>
                <w:szCs w:val="20"/>
              </w:rPr>
              <w:t>(z EFRR)</w:t>
            </w:r>
          </w:p>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[EUR]</w:t>
            </w:r>
          </w:p>
        </w:tc>
        <w:tc>
          <w:tcPr>
            <w:tcW w:w="1985" w:type="dxa"/>
            <w:tcBorders>
              <w:bottom w:val="single" w:sz="8" w:space="0" w:color="B9AA8F" w:themeColor="accent3" w:themeTint="BF"/>
            </w:tcBorders>
            <w:shd w:val="clear" w:color="auto" w:fill="F4B29B" w:themeFill="accent1" w:themeFillTint="66"/>
            <w:vAlign w:val="center"/>
          </w:tcPr>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Wartość faktycznie wypłaconych pożyczek/ udzielonych poręczeń</w:t>
            </w:r>
            <w:r w:rsidRPr="006D71C7">
              <w:rPr>
                <w:sz w:val="36"/>
                <w:szCs w:val="36"/>
              </w:rPr>
              <w:t xml:space="preserve"> </w:t>
            </w:r>
            <w:r w:rsidRPr="006D71C7">
              <w:rPr>
                <w:rFonts w:eastAsia="Calibri"/>
                <w:kern w:val="24"/>
                <w:sz w:val="20"/>
                <w:szCs w:val="20"/>
              </w:rPr>
              <w:t>(wkład krajowy)</w:t>
            </w:r>
          </w:p>
          <w:p w:rsidR="00C43B75" w:rsidRDefault="008301A0" w:rsidP="00C43B75">
            <w:pPr>
              <w:pStyle w:val="NormalnyWeb"/>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36"/>
                <w:szCs w:val="36"/>
                <w:lang w:eastAsia="pl-PL"/>
              </w:rPr>
            </w:pPr>
            <w:r w:rsidRPr="006D71C7">
              <w:rPr>
                <w:rFonts w:eastAsia="Calibri"/>
                <w:kern w:val="24"/>
                <w:sz w:val="20"/>
                <w:szCs w:val="20"/>
              </w:rPr>
              <w:t>[EUR]</w:t>
            </w:r>
          </w:p>
        </w:tc>
      </w:tr>
      <w:tr w:rsidR="008301A0" w:rsidRPr="006D71C7" w:rsidTr="00AF7C0F">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416" w:type="dxa"/>
            <w:shd w:val="clear" w:color="auto" w:fill="F4B29B" w:themeFill="accent1" w:themeFillTint="66"/>
            <w:vAlign w:val="center"/>
          </w:tcPr>
          <w:p w:rsidR="008301A0" w:rsidRPr="006D71C7" w:rsidRDefault="008301A0" w:rsidP="006D71C7">
            <w:pPr>
              <w:pStyle w:val="NormalnyWeb"/>
              <w:jc w:val="both"/>
              <w:rPr>
                <w:sz w:val="36"/>
                <w:szCs w:val="36"/>
              </w:rPr>
            </w:pPr>
            <w:r w:rsidRPr="006D71C7">
              <w:rPr>
                <w:rFonts w:eastAsia="Calibri"/>
                <w:kern w:val="24"/>
                <w:sz w:val="20"/>
                <w:szCs w:val="20"/>
              </w:rPr>
              <w:t>Pożyczkowe</w:t>
            </w:r>
          </w:p>
        </w:tc>
        <w:tc>
          <w:tcPr>
            <w:tcW w:w="1703" w:type="dxa"/>
            <w:shd w:val="clear" w:color="auto" w:fill="F9D8CD" w:themeFill="accent1" w:themeFillTint="33"/>
            <w:vAlign w:val="center"/>
          </w:tcPr>
          <w:p w:rsidR="008301A0" w:rsidRPr="006D71C7" w:rsidRDefault="008301A0" w:rsidP="006D71C7">
            <w:pPr>
              <w:pStyle w:val="NormalnyWeb"/>
              <w:jc w:val="both"/>
              <w:cnfStyle w:val="000000100000" w:firstRow="0" w:lastRow="0" w:firstColumn="0" w:lastColumn="0" w:oddVBand="0" w:evenVBand="0" w:oddHBand="1" w:evenHBand="0" w:firstRowFirstColumn="0" w:firstRowLastColumn="0" w:lastRowFirstColumn="0" w:lastRowLastColumn="0"/>
              <w:rPr>
                <w:b/>
                <w:sz w:val="36"/>
                <w:szCs w:val="36"/>
              </w:rPr>
            </w:pPr>
            <w:r w:rsidRPr="006D71C7">
              <w:rPr>
                <w:rFonts w:eastAsia="Calibri"/>
                <w:b/>
                <w:kern w:val="24"/>
                <w:sz w:val="20"/>
                <w:szCs w:val="20"/>
              </w:rPr>
              <w:t>12 997 662,90</w:t>
            </w:r>
          </w:p>
        </w:tc>
        <w:tc>
          <w:tcPr>
            <w:tcW w:w="1417" w:type="dxa"/>
            <w:shd w:val="clear" w:color="auto" w:fill="F9D8CD" w:themeFill="accent1" w:themeFillTint="33"/>
            <w:vAlign w:val="center"/>
          </w:tcPr>
          <w:p w:rsidR="008301A0" w:rsidRPr="006D71C7" w:rsidRDefault="008301A0" w:rsidP="006D71C7">
            <w:pPr>
              <w:pStyle w:val="NormalnyWeb"/>
              <w:jc w:val="both"/>
              <w:cnfStyle w:val="000000100000" w:firstRow="0" w:lastRow="0" w:firstColumn="0" w:lastColumn="0" w:oddVBand="0" w:evenVBand="0" w:oddHBand="1" w:evenHBand="0" w:firstRowFirstColumn="0" w:firstRowLastColumn="0" w:lastRowFirstColumn="0" w:lastRowLastColumn="0"/>
              <w:rPr>
                <w:b/>
                <w:sz w:val="36"/>
                <w:szCs w:val="36"/>
              </w:rPr>
            </w:pPr>
            <w:r w:rsidRPr="006D71C7">
              <w:rPr>
                <w:rFonts w:eastAsia="Calibri"/>
                <w:b/>
                <w:kern w:val="24"/>
                <w:sz w:val="20"/>
                <w:szCs w:val="20"/>
              </w:rPr>
              <w:t>10 159 743,00</w:t>
            </w:r>
          </w:p>
        </w:tc>
        <w:tc>
          <w:tcPr>
            <w:tcW w:w="1276" w:type="dxa"/>
            <w:shd w:val="clear" w:color="auto" w:fill="F9D8CD" w:themeFill="accent1" w:themeFillTint="33"/>
            <w:vAlign w:val="center"/>
          </w:tcPr>
          <w:p w:rsidR="008301A0" w:rsidRPr="006D71C7" w:rsidRDefault="008301A0" w:rsidP="006D71C7">
            <w:pPr>
              <w:pStyle w:val="NormalnyWeb"/>
              <w:jc w:val="both"/>
              <w:cnfStyle w:val="000000100000" w:firstRow="0" w:lastRow="0" w:firstColumn="0" w:lastColumn="0" w:oddVBand="0" w:evenVBand="0" w:oddHBand="1" w:evenHBand="0" w:firstRowFirstColumn="0" w:firstRowLastColumn="0" w:lastRowFirstColumn="0" w:lastRowLastColumn="0"/>
              <w:rPr>
                <w:b/>
                <w:sz w:val="36"/>
                <w:szCs w:val="36"/>
              </w:rPr>
            </w:pPr>
            <w:r w:rsidRPr="006D71C7">
              <w:rPr>
                <w:rFonts w:eastAsia="Calibri"/>
                <w:b/>
                <w:kern w:val="24"/>
                <w:sz w:val="20"/>
                <w:szCs w:val="20"/>
              </w:rPr>
              <w:t>6 349 218,91</w:t>
            </w:r>
          </w:p>
        </w:tc>
        <w:tc>
          <w:tcPr>
            <w:tcW w:w="1276" w:type="dxa"/>
            <w:shd w:val="clear" w:color="auto" w:fill="F9D8CD" w:themeFill="accent1" w:themeFillTint="33"/>
            <w:vAlign w:val="center"/>
          </w:tcPr>
          <w:p w:rsidR="008301A0" w:rsidRPr="006D71C7" w:rsidRDefault="008301A0" w:rsidP="006D71C7">
            <w:pPr>
              <w:pStyle w:val="NormalnyWeb"/>
              <w:jc w:val="both"/>
              <w:cnfStyle w:val="000000100000" w:firstRow="0" w:lastRow="0" w:firstColumn="0" w:lastColumn="0" w:oddVBand="0" w:evenVBand="0" w:oddHBand="1" w:evenHBand="0" w:firstRowFirstColumn="0" w:firstRowLastColumn="0" w:lastRowFirstColumn="0" w:lastRowLastColumn="0"/>
              <w:rPr>
                <w:b/>
                <w:sz w:val="36"/>
                <w:szCs w:val="36"/>
              </w:rPr>
            </w:pPr>
            <w:r w:rsidRPr="006D71C7">
              <w:rPr>
                <w:rFonts w:eastAsia="Calibri"/>
                <w:b/>
                <w:kern w:val="24"/>
                <w:sz w:val="20"/>
                <w:szCs w:val="20"/>
              </w:rPr>
              <w:t>106</w:t>
            </w:r>
          </w:p>
        </w:tc>
        <w:tc>
          <w:tcPr>
            <w:tcW w:w="1559" w:type="dxa"/>
            <w:shd w:val="clear" w:color="auto" w:fill="F9D8CD" w:themeFill="accent1" w:themeFillTint="33"/>
            <w:vAlign w:val="center"/>
          </w:tcPr>
          <w:p w:rsidR="008301A0" w:rsidRPr="006D71C7" w:rsidRDefault="008301A0" w:rsidP="006D71C7">
            <w:pPr>
              <w:pStyle w:val="NormalnyWeb"/>
              <w:jc w:val="both"/>
              <w:cnfStyle w:val="000000100000" w:firstRow="0" w:lastRow="0" w:firstColumn="0" w:lastColumn="0" w:oddVBand="0" w:evenVBand="0" w:oddHBand="1" w:evenHBand="0" w:firstRowFirstColumn="0" w:firstRowLastColumn="0" w:lastRowFirstColumn="0" w:lastRowLastColumn="0"/>
              <w:rPr>
                <w:b/>
                <w:sz w:val="36"/>
                <w:szCs w:val="36"/>
              </w:rPr>
            </w:pPr>
            <w:r w:rsidRPr="006D71C7">
              <w:rPr>
                <w:rFonts w:eastAsia="Calibri"/>
                <w:b/>
                <w:kern w:val="24"/>
                <w:sz w:val="20"/>
                <w:szCs w:val="20"/>
              </w:rPr>
              <w:t>4 216 111,38</w:t>
            </w:r>
          </w:p>
        </w:tc>
        <w:tc>
          <w:tcPr>
            <w:tcW w:w="1985" w:type="dxa"/>
            <w:shd w:val="clear" w:color="auto" w:fill="F9D8CD" w:themeFill="accent1" w:themeFillTint="33"/>
            <w:vAlign w:val="center"/>
          </w:tcPr>
          <w:p w:rsidR="008301A0" w:rsidRPr="006D71C7" w:rsidRDefault="008301A0" w:rsidP="006D71C7">
            <w:pPr>
              <w:pStyle w:val="NormalnyWeb"/>
              <w:jc w:val="both"/>
              <w:cnfStyle w:val="000000100000" w:firstRow="0" w:lastRow="0" w:firstColumn="0" w:lastColumn="0" w:oddVBand="0" w:evenVBand="0" w:oddHBand="1" w:evenHBand="0" w:firstRowFirstColumn="0" w:firstRowLastColumn="0" w:lastRowFirstColumn="0" w:lastRowLastColumn="0"/>
              <w:rPr>
                <w:b/>
                <w:sz w:val="36"/>
                <w:szCs w:val="36"/>
              </w:rPr>
            </w:pPr>
            <w:r w:rsidRPr="006D71C7">
              <w:rPr>
                <w:rFonts w:eastAsia="Calibri"/>
                <w:b/>
                <w:kern w:val="24"/>
                <w:sz w:val="20"/>
                <w:szCs w:val="20"/>
              </w:rPr>
              <w:t>1 430 954,52</w:t>
            </w:r>
          </w:p>
        </w:tc>
      </w:tr>
      <w:tr w:rsidR="008301A0" w:rsidRPr="006D71C7" w:rsidTr="00AF7C0F">
        <w:trPr>
          <w:trHeight w:val="992"/>
        </w:trPr>
        <w:tc>
          <w:tcPr>
            <w:cnfStyle w:val="001000000000" w:firstRow="0" w:lastRow="0" w:firstColumn="1" w:lastColumn="0" w:oddVBand="0" w:evenVBand="0" w:oddHBand="0" w:evenHBand="0" w:firstRowFirstColumn="0" w:firstRowLastColumn="0" w:lastRowFirstColumn="0" w:lastRowLastColumn="0"/>
            <w:tcW w:w="1416" w:type="dxa"/>
            <w:shd w:val="clear" w:color="auto" w:fill="F4B29B" w:themeFill="accent1" w:themeFillTint="66"/>
            <w:vAlign w:val="center"/>
          </w:tcPr>
          <w:p w:rsidR="008301A0" w:rsidRPr="006D71C7" w:rsidRDefault="008301A0" w:rsidP="006D71C7">
            <w:pPr>
              <w:pStyle w:val="NormalnyWeb"/>
              <w:jc w:val="both"/>
              <w:rPr>
                <w:sz w:val="36"/>
                <w:szCs w:val="36"/>
              </w:rPr>
            </w:pPr>
            <w:r w:rsidRPr="006D71C7">
              <w:rPr>
                <w:rFonts w:eastAsia="Calibri"/>
                <w:kern w:val="24"/>
                <w:sz w:val="20"/>
                <w:szCs w:val="20"/>
              </w:rPr>
              <w:t>Poręczeniowe</w:t>
            </w:r>
          </w:p>
        </w:tc>
        <w:tc>
          <w:tcPr>
            <w:tcW w:w="1703" w:type="dxa"/>
            <w:shd w:val="clear" w:color="auto" w:fill="F9D8CD" w:themeFill="accent1" w:themeFillTint="33"/>
            <w:vAlign w:val="center"/>
          </w:tcPr>
          <w:p w:rsidR="008301A0" w:rsidRPr="006D71C7" w:rsidRDefault="008301A0" w:rsidP="006D71C7">
            <w:pPr>
              <w:pStyle w:val="NormalnyWeb"/>
              <w:jc w:val="both"/>
              <w:cnfStyle w:val="000000000000" w:firstRow="0" w:lastRow="0" w:firstColumn="0" w:lastColumn="0" w:oddVBand="0" w:evenVBand="0" w:oddHBand="0" w:evenHBand="0" w:firstRowFirstColumn="0" w:firstRowLastColumn="0" w:lastRowFirstColumn="0" w:lastRowLastColumn="0"/>
              <w:rPr>
                <w:b/>
                <w:sz w:val="36"/>
                <w:szCs w:val="36"/>
              </w:rPr>
            </w:pPr>
            <w:r w:rsidRPr="006D71C7">
              <w:rPr>
                <w:rFonts w:eastAsia="Calibri"/>
                <w:b/>
                <w:kern w:val="24"/>
                <w:sz w:val="20"/>
                <w:szCs w:val="20"/>
              </w:rPr>
              <w:t>5 296 591,78</w:t>
            </w:r>
          </w:p>
        </w:tc>
        <w:tc>
          <w:tcPr>
            <w:tcW w:w="1417" w:type="dxa"/>
            <w:shd w:val="clear" w:color="auto" w:fill="F9D8CD" w:themeFill="accent1" w:themeFillTint="33"/>
            <w:vAlign w:val="center"/>
          </w:tcPr>
          <w:p w:rsidR="008301A0" w:rsidRPr="006D71C7" w:rsidRDefault="008301A0" w:rsidP="006D71C7">
            <w:pPr>
              <w:pStyle w:val="NormalnyWeb"/>
              <w:jc w:val="both"/>
              <w:cnfStyle w:val="000000000000" w:firstRow="0" w:lastRow="0" w:firstColumn="0" w:lastColumn="0" w:oddVBand="0" w:evenVBand="0" w:oddHBand="0" w:evenHBand="0" w:firstRowFirstColumn="0" w:firstRowLastColumn="0" w:lastRowFirstColumn="0" w:lastRowLastColumn="0"/>
              <w:rPr>
                <w:b/>
                <w:sz w:val="36"/>
                <w:szCs w:val="36"/>
              </w:rPr>
            </w:pPr>
            <w:r w:rsidRPr="006D71C7">
              <w:rPr>
                <w:rFonts w:eastAsia="Calibri"/>
                <w:b/>
                <w:kern w:val="24"/>
                <w:sz w:val="20"/>
                <w:szCs w:val="20"/>
              </w:rPr>
              <w:t>4 418 157,72</w:t>
            </w:r>
          </w:p>
        </w:tc>
        <w:tc>
          <w:tcPr>
            <w:tcW w:w="1276" w:type="dxa"/>
            <w:shd w:val="clear" w:color="auto" w:fill="F9D8CD" w:themeFill="accent1" w:themeFillTint="33"/>
            <w:vAlign w:val="center"/>
          </w:tcPr>
          <w:p w:rsidR="008301A0" w:rsidRPr="006D71C7" w:rsidRDefault="008301A0" w:rsidP="006D71C7">
            <w:pPr>
              <w:pStyle w:val="NormalnyWeb"/>
              <w:jc w:val="both"/>
              <w:cnfStyle w:val="000000000000" w:firstRow="0" w:lastRow="0" w:firstColumn="0" w:lastColumn="0" w:oddVBand="0" w:evenVBand="0" w:oddHBand="0" w:evenHBand="0" w:firstRowFirstColumn="0" w:firstRowLastColumn="0" w:lastRowFirstColumn="0" w:lastRowLastColumn="0"/>
              <w:rPr>
                <w:b/>
                <w:sz w:val="36"/>
                <w:szCs w:val="36"/>
              </w:rPr>
            </w:pPr>
            <w:r w:rsidRPr="006D71C7">
              <w:rPr>
                <w:rFonts w:eastAsia="Calibri"/>
                <w:b/>
                <w:kern w:val="24"/>
                <w:sz w:val="20"/>
                <w:szCs w:val="20"/>
              </w:rPr>
              <w:t>638 391,87</w:t>
            </w:r>
          </w:p>
        </w:tc>
        <w:tc>
          <w:tcPr>
            <w:tcW w:w="1276" w:type="dxa"/>
            <w:shd w:val="clear" w:color="auto" w:fill="F9D8CD" w:themeFill="accent1" w:themeFillTint="33"/>
            <w:vAlign w:val="center"/>
          </w:tcPr>
          <w:p w:rsidR="008301A0" w:rsidRPr="006D71C7" w:rsidRDefault="008301A0" w:rsidP="006D71C7">
            <w:pPr>
              <w:pStyle w:val="NormalnyWeb"/>
              <w:jc w:val="both"/>
              <w:cnfStyle w:val="000000000000" w:firstRow="0" w:lastRow="0" w:firstColumn="0" w:lastColumn="0" w:oddVBand="0" w:evenVBand="0" w:oddHBand="0" w:evenHBand="0" w:firstRowFirstColumn="0" w:firstRowLastColumn="0" w:lastRowFirstColumn="0" w:lastRowLastColumn="0"/>
              <w:rPr>
                <w:b/>
                <w:sz w:val="36"/>
                <w:szCs w:val="36"/>
              </w:rPr>
            </w:pPr>
            <w:r w:rsidRPr="006D71C7">
              <w:rPr>
                <w:rFonts w:eastAsia="Calibri"/>
                <w:b/>
                <w:kern w:val="24"/>
                <w:sz w:val="20"/>
                <w:szCs w:val="20"/>
              </w:rPr>
              <w:t>24</w:t>
            </w:r>
          </w:p>
        </w:tc>
        <w:tc>
          <w:tcPr>
            <w:tcW w:w="1559" w:type="dxa"/>
            <w:shd w:val="clear" w:color="auto" w:fill="F9D8CD" w:themeFill="accent1" w:themeFillTint="33"/>
            <w:vAlign w:val="center"/>
          </w:tcPr>
          <w:p w:rsidR="008301A0" w:rsidRPr="006D71C7" w:rsidRDefault="008301A0" w:rsidP="006D71C7">
            <w:pPr>
              <w:pStyle w:val="NormalnyWeb"/>
              <w:jc w:val="both"/>
              <w:cnfStyle w:val="000000000000" w:firstRow="0" w:lastRow="0" w:firstColumn="0" w:lastColumn="0" w:oddVBand="0" w:evenVBand="0" w:oddHBand="0" w:evenHBand="0" w:firstRowFirstColumn="0" w:firstRowLastColumn="0" w:lastRowFirstColumn="0" w:lastRowLastColumn="0"/>
              <w:rPr>
                <w:b/>
                <w:sz w:val="36"/>
                <w:szCs w:val="36"/>
              </w:rPr>
            </w:pPr>
            <w:r w:rsidRPr="006D71C7">
              <w:rPr>
                <w:rFonts w:eastAsia="Calibri"/>
                <w:b/>
                <w:kern w:val="24"/>
                <w:sz w:val="20"/>
                <w:szCs w:val="20"/>
              </w:rPr>
              <w:t>541 037,11</w:t>
            </w:r>
          </w:p>
        </w:tc>
        <w:tc>
          <w:tcPr>
            <w:tcW w:w="1985" w:type="dxa"/>
            <w:shd w:val="clear" w:color="auto" w:fill="F9D8CD" w:themeFill="accent1" w:themeFillTint="33"/>
            <w:vAlign w:val="center"/>
          </w:tcPr>
          <w:p w:rsidR="008301A0" w:rsidRPr="006D71C7" w:rsidRDefault="008301A0" w:rsidP="006D71C7">
            <w:pPr>
              <w:jc w:val="both"/>
              <w:cnfStyle w:val="000000000000" w:firstRow="0" w:lastRow="0" w:firstColumn="0" w:lastColumn="0" w:oddVBand="0" w:evenVBand="0" w:oddHBand="0" w:evenHBand="0" w:firstRowFirstColumn="0" w:firstRowLastColumn="0" w:lastRowFirstColumn="0" w:lastRowLastColumn="0"/>
              <w:rPr>
                <w:b/>
                <w:sz w:val="36"/>
                <w:szCs w:val="36"/>
              </w:rPr>
            </w:pPr>
            <w:r w:rsidRPr="006D71C7">
              <w:rPr>
                <w:rFonts w:eastAsia="Calibri"/>
                <w:b/>
                <w:kern w:val="24"/>
                <w:sz w:val="20"/>
                <w:szCs w:val="20"/>
              </w:rPr>
              <w:t xml:space="preserve">         97 354,76</w:t>
            </w:r>
          </w:p>
        </w:tc>
      </w:tr>
    </w:tbl>
    <w:p w:rsidR="00672BEA" w:rsidRPr="006D71C7" w:rsidRDefault="00672BEA" w:rsidP="006D71C7">
      <w:pPr>
        <w:spacing w:after="240"/>
        <w:jc w:val="both"/>
        <w:rPr>
          <w:rFonts w:eastAsia="+mn-ea"/>
          <w:szCs w:val="24"/>
        </w:rPr>
      </w:pPr>
    </w:p>
    <w:p w:rsidR="001915C3" w:rsidRPr="006D71C7" w:rsidRDefault="008301A0" w:rsidP="006D71C7">
      <w:pPr>
        <w:tabs>
          <w:tab w:val="left" w:pos="3969"/>
        </w:tabs>
        <w:spacing w:after="240"/>
        <w:jc w:val="both"/>
        <w:rPr>
          <w:rFonts w:eastAsia="+mn-ea"/>
          <w:szCs w:val="24"/>
        </w:rPr>
      </w:pPr>
      <w:r w:rsidRPr="006D71C7">
        <w:rPr>
          <w:rFonts w:eastAsia="+mn-ea"/>
          <w:noProof/>
          <w:szCs w:val="24"/>
        </w:rPr>
        <w:drawing>
          <wp:inline distT="0" distB="0" distL="0" distR="0">
            <wp:extent cx="5943600" cy="2445489"/>
            <wp:effectExtent l="19050" t="0" r="0" b="0"/>
            <wp:docPr id="2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45F70" w:rsidRPr="006D71C7" w:rsidRDefault="007338BD" w:rsidP="006D71C7">
      <w:pPr>
        <w:pStyle w:val="Legenda"/>
        <w:jc w:val="both"/>
        <w:rPr>
          <w:color w:val="auto"/>
          <w:sz w:val="20"/>
          <w:szCs w:val="20"/>
        </w:rPr>
      </w:pPr>
      <w:bookmarkStart w:id="152" w:name="_Toc324786936"/>
      <w:bookmarkStart w:id="153" w:name="_Toc324854700"/>
      <w:bookmarkStart w:id="154" w:name="_Toc324854764"/>
      <w:bookmarkStart w:id="155" w:name="_Toc326055334"/>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16</w:t>
      </w:r>
      <w:r w:rsidR="008F7228">
        <w:rPr>
          <w:color w:val="auto"/>
          <w:sz w:val="20"/>
          <w:szCs w:val="20"/>
        </w:rPr>
        <w:fldChar w:fldCharType="end"/>
      </w:r>
      <w:r w:rsidRPr="006D71C7">
        <w:rPr>
          <w:color w:val="auto"/>
          <w:sz w:val="20"/>
          <w:szCs w:val="20"/>
        </w:rPr>
        <w:t xml:space="preserve"> </w:t>
      </w:r>
      <w:r w:rsidRPr="006D71C7">
        <w:rPr>
          <w:b w:val="0"/>
          <w:i/>
          <w:color w:val="auto"/>
          <w:sz w:val="20"/>
          <w:szCs w:val="20"/>
        </w:rPr>
        <w:t>Ilościowa struktura wypłaconych pożyczek wg. wielkości przedsiębiorstwa</w:t>
      </w:r>
      <w:bookmarkEnd w:id="152"/>
      <w:bookmarkEnd w:id="153"/>
      <w:bookmarkEnd w:id="154"/>
      <w:bookmarkEnd w:id="155"/>
    </w:p>
    <w:p w:rsidR="00245F70" w:rsidRPr="006D71C7" w:rsidRDefault="0018639C" w:rsidP="006D71C7">
      <w:pPr>
        <w:jc w:val="both"/>
        <w:rPr>
          <w:i/>
          <w:sz w:val="20"/>
          <w:szCs w:val="20"/>
        </w:rPr>
      </w:pPr>
      <w:r w:rsidRPr="006D71C7">
        <w:rPr>
          <w:rFonts w:eastAsia="+mn-ea"/>
          <w:noProof/>
          <w:szCs w:val="24"/>
        </w:rPr>
        <w:drawing>
          <wp:inline distT="0" distB="0" distL="0" distR="0">
            <wp:extent cx="5124893" cy="2775097"/>
            <wp:effectExtent l="1905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8301A0" w:rsidRPr="006D71C7">
        <w:rPr>
          <w:b/>
          <w:i/>
          <w:sz w:val="20"/>
          <w:szCs w:val="20"/>
        </w:rPr>
        <w:t xml:space="preserve"> </w:t>
      </w:r>
    </w:p>
    <w:p w:rsidR="00245F70" w:rsidRPr="006D71C7" w:rsidRDefault="007338BD" w:rsidP="006D71C7">
      <w:pPr>
        <w:pStyle w:val="Legenda"/>
        <w:jc w:val="both"/>
        <w:rPr>
          <w:b w:val="0"/>
          <w:i/>
          <w:color w:val="auto"/>
          <w:sz w:val="20"/>
          <w:szCs w:val="20"/>
        </w:rPr>
      </w:pPr>
      <w:bookmarkStart w:id="156" w:name="_Toc326055335"/>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17</w:t>
      </w:r>
      <w:r w:rsidR="008F7228">
        <w:rPr>
          <w:color w:val="auto"/>
          <w:sz w:val="20"/>
          <w:szCs w:val="20"/>
        </w:rPr>
        <w:fldChar w:fldCharType="end"/>
      </w:r>
      <w:r w:rsidR="00BB3672" w:rsidRPr="006D71C7">
        <w:rPr>
          <w:color w:val="auto"/>
        </w:rPr>
        <w:t xml:space="preserve"> </w:t>
      </w:r>
      <w:r w:rsidR="00BB3672" w:rsidRPr="006D71C7">
        <w:rPr>
          <w:b w:val="0"/>
          <w:i/>
          <w:color w:val="auto"/>
          <w:sz w:val="20"/>
          <w:szCs w:val="20"/>
        </w:rPr>
        <w:t>Wartościowa struktura wypłaconych pożyczek wg. wielkości przedsiębiorstwa</w:t>
      </w:r>
      <w:bookmarkEnd w:id="156"/>
    </w:p>
    <w:p w:rsidR="001915C3" w:rsidRPr="006D71C7" w:rsidRDefault="007338BD" w:rsidP="00BA2FE7">
      <w:pPr>
        <w:pStyle w:val="Nagwek1"/>
        <w:numPr>
          <w:ilvl w:val="3"/>
          <w:numId w:val="25"/>
        </w:numPr>
        <w:tabs>
          <w:tab w:val="left" w:pos="1560"/>
        </w:tabs>
        <w:spacing w:before="120" w:after="120"/>
        <w:ind w:left="1701" w:hanging="425"/>
        <w:jc w:val="both"/>
        <w:rPr>
          <w:lang w:eastAsia="ar-SA"/>
        </w:rPr>
      </w:pPr>
      <w:bookmarkStart w:id="157" w:name="_Toc324786809"/>
      <w:bookmarkStart w:id="158" w:name="_Toc324853867"/>
      <w:bookmarkStart w:id="159" w:name="_Toc327259218"/>
      <w:bookmarkEnd w:id="157"/>
      <w:bookmarkEnd w:id="158"/>
      <w:r w:rsidRPr="006D71C7">
        <w:rPr>
          <w:lang w:eastAsia="ar-SA"/>
        </w:rPr>
        <w:t>REALIZACJA ZAŁOŻEŃ STRATEGII EU 2020</w:t>
      </w:r>
      <w:bookmarkEnd w:id="159"/>
    </w:p>
    <w:p w:rsidR="007E478B" w:rsidRPr="006D71C7" w:rsidRDefault="007E478B" w:rsidP="006D71C7">
      <w:pPr>
        <w:spacing w:after="120"/>
        <w:jc w:val="both"/>
      </w:pPr>
      <w:r w:rsidRPr="006D71C7">
        <w:t xml:space="preserve">W marcu 2010 r. Unia Europejska przyjęła nową strategię rozwojową wyznaczającą cele i kierunki działań dla instytucji UE i państw członkowskich w perspektywie do 2020 r. - </w:t>
      </w:r>
      <w:r w:rsidRPr="006D71C7">
        <w:rPr>
          <w:i/>
          <w:iCs/>
        </w:rPr>
        <w:t>„Europa 2020. Strategia na rzecz inteligentnego i zrównoważonego rozwoju sprzyjającego włączeniu społecznemu”.</w:t>
      </w:r>
      <w:r w:rsidRPr="006D71C7">
        <w:t xml:space="preserve"> Strategia ta zastąpiła obowiązującą przez poprzednie dziesięciolecie Strategię Lizbońską. Uwzględniając sytuację gospodarczą i społeczną państw członkowskich, na której mocno odznaczył się kryzys gospodarczy, Unia Europejska wyznaczyła sobie trzy powiązane ze sobą i wzajemnie się wspierające priorytety: inteligentny </w:t>
      </w:r>
      <w:r w:rsidRPr="006D71C7">
        <w:rPr>
          <w:bCs/>
          <w:i/>
          <w:iCs/>
        </w:rPr>
        <w:t>(smart)</w:t>
      </w:r>
      <w:r w:rsidRPr="006D71C7">
        <w:rPr>
          <w:bCs/>
        </w:rPr>
        <w:t>,</w:t>
      </w:r>
      <w:r w:rsidRPr="006D71C7">
        <w:t xml:space="preserve"> zrównoważony </w:t>
      </w:r>
      <w:r w:rsidRPr="006D71C7">
        <w:rPr>
          <w:bCs/>
          <w:i/>
          <w:iCs/>
        </w:rPr>
        <w:t>(sustainable)</w:t>
      </w:r>
      <w:r w:rsidRPr="006D71C7">
        <w:t xml:space="preserve"> oraz sprzyjający włączeniu społecznemu </w:t>
      </w:r>
      <w:r w:rsidRPr="006D71C7">
        <w:rPr>
          <w:bCs/>
          <w:i/>
          <w:iCs/>
        </w:rPr>
        <w:t>(inclusive)</w:t>
      </w:r>
      <w:r w:rsidRPr="006D71C7">
        <w:t xml:space="preserve"> wzrost. </w:t>
      </w:r>
    </w:p>
    <w:p w:rsidR="00245F70" w:rsidRPr="006D71C7" w:rsidRDefault="007338BD" w:rsidP="006D71C7">
      <w:pPr>
        <w:pStyle w:val="Legenda"/>
        <w:spacing w:line="276" w:lineRule="auto"/>
        <w:jc w:val="both"/>
        <w:rPr>
          <w:color w:val="auto"/>
          <w:szCs w:val="24"/>
        </w:rPr>
      </w:pPr>
      <w:r w:rsidRPr="006D71C7">
        <w:rPr>
          <w:b w:val="0"/>
          <w:color w:val="auto"/>
          <w:sz w:val="24"/>
          <w:szCs w:val="24"/>
        </w:rPr>
        <w:t xml:space="preserve">Poniżej przedstawiono wielkość alokacji RPO WSL, która odpowiada poszczególnym priorytetom Strategii EU 2020. </w:t>
      </w:r>
    </w:p>
    <w:p w:rsidR="00C43B75" w:rsidRDefault="00854704" w:rsidP="00C43B75">
      <w:pPr>
        <w:spacing w:after="120"/>
        <w:jc w:val="center"/>
      </w:pPr>
      <w:r w:rsidRPr="006D71C7">
        <w:rPr>
          <w:noProof/>
        </w:rPr>
        <w:drawing>
          <wp:inline distT="0" distB="0" distL="0" distR="0">
            <wp:extent cx="4468672" cy="2426438"/>
            <wp:effectExtent l="38100" t="19050" r="27128"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915C3" w:rsidRPr="006D71C7" w:rsidRDefault="007338BD" w:rsidP="006D71C7">
      <w:pPr>
        <w:pStyle w:val="Legenda"/>
        <w:jc w:val="both"/>
        <w:rPr>
          <w:color w:val="auto"/>
        </w:rPr>
      </w:pPr>
      <w:bookmarkStart w:id="160" w:name="_Toc292793704"/>
      <w:bookmarkStart w:id="161" w:name="_Toc292796292"/>
      <w:bookmarkStart w:id="162" w:name="_Toc292796786"/>
      <w:bookmarkStart w:id="163" w:name="_Toc292889096"/>
      <w:bookmarkStart w:id="164" w:name="_Toc295293398"/>
      <w:bookmarkStart w:id="165" w:name="_Toc324853700"/>
      <w:bookmarkStart w:id="166" w:name="_Toc324854701"/>
      <w:bookmarkStart w:id="167" w:name="_Toc324854765"/>
      <w:bookmarkStart w:id="168" w:name="_Toc324855747"/>
      <w:bookmarkStart w:id="169" w:name="_Toc324855869"/>
      <w:bookmarkStart w:id="170" w:name="_Toc326055336"/>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18</w:t>
      </w:r>
      <w:r w:rsidR="008F7228">
        <w:rPr>
          <w:color w:val="auto"/>
          <w:sz w:val="20"/>
          <w:szCs w:val="20"/>
        </w:rPr>
        <w:fldChar w:fldCharType="end"/>
      </w:r>
      <w:r w:rsidR="00C11C85" w:rsidRPr="006D71C7">
        <w:rPr>
          <w:color w:val="auto"/>
        </w:rPr>
        <w:t xml:space="preserve"> </w:t>
      </w:r>
      <w:r w:rsidR="001B34C2" w:rsidRPr="006D71C7">
        <w:rPr>
          <w:b w:val="0"/>
          <w:i/>
          <w:color w:val="auto"/>
          <w:sz w:val="20"/>
          <w:szCs w:val="20"/>
        </w:rPr>
        <w:t>Wielkość alokacji RPO WSL odpowiadająca poszczególnym priorytetom Strategii</w:t>
      </w:r>
      <w:bookmarkEnd w:id="160"/>
      <w:bookmarkEnd w:id="161"/>
      <w:bookmarkEnd w:id="162"/>
      <w:r w:rsidR="00D776DB" w:rsidRPr="006D71C7">
        <w:rPr>
          <w:b w:val="0"/>
          <w:i/>
          <w:color w:val="auto"/>
          <w:sz w:val="20"/>
          <w:szCs w:val="20"/>
        </w:rPr>
        <w:t xml:space="preserve"> EU 2020</w:t>
      </w:r>
      <w:bookmarkEnd w:id="163"/>
      <w:bookmarkEnd w:id="164"/>
      <w:bookmarkEnd w:id="165"/>
      <w:bookmarkEnd w:id="166"/>
      <w:bookmarkEnd w:id="167"/>
      <w:bookmarkEnd w:id="168"/>
      <w:bookmarkEnd w:id="169"/>
      <w:bookmarkEnd w:id="170"/>
    </w:p>
    <w:p w:rsidR="000E70C4" w:rsidRPr="006D71C7" w:rsidRDefault="00EF38E5" w:rsidP="006D71C7">
      <w:pPr>
        <w:jc w:val="both"/>
      </w:pPr>
      <w:r w:rsidRPr="006D71C7">
        <w:t xml:space="preserve">Większość </w:t>
      </w:r>
      <w:r w:rsidR="000E70C4" w:rsidRPr="006D71C7">
        <w:t xml:space="preserve">założonych w </w:t>
      </w:r>
      <w:r w:rsidRPr="006D71C7">
        <w:t xml:space="preserve">Strategii Europa 2020 </w:t>
      </w:r>
      <w:r w:rsidR="000E70C4" w:rsidRPr="006D71C7">
        <w:t xml:space="preserve">inicjatyw </w:t>
      </w:r>
      <w:r w:rsidRPr="006D71C7">
        <w:t xml:space="preserve">wpisuje się </w:t>
      </w:r>
      <w:r w:rsidR="000E70C4" w:rsidRPr="006D71C7">
        <w:t>w zakres realizacji</w:t>
      </w:r>
      <w:r w:rsidRPr="006D71C7">
        <w:t xml:space="preserve"> RPO WSL. </w:t>
      </w:r>
      <w:r w:rsidR="007E660D" w:rsidRPr="006D71C7">
        <w:t>Wyjątkiem jest</w:t>
      </w:r>
      <w:r w:rsidR="000E70C4" w:rsidRPr="006D71C7">
        <w:t xml:space="preserve"> inicjatywa dot. </w:t>
      </w:r>
      <w:r w:rsidR="00A1643A" w:rsidRPr="006D71C7">
        <w:rPr>
          <w:i/>
        </w:rPr>
        <w:t>zatrudnienia</w:t>
      </w:r>
      <w:r w:rsidR="00BD5481" w:rsidRPr="006D71C7">
        <w:rPr>
          <w:i/>
        </w:rPr>
        <w:t xml:space="preserve">, </w:t>
      </w:r>
      <w:r w:rsidR="00BD5481" w:rsidRPr="006D71C7">
        <w:t xml:space="preserve">w związku z faktem iż </w:t>
      </w:r>
      <w:r w:rsidR="00BD5481" w:rsidRPr="006D71C7">
        <w:rPr>
          <w:i/>
        </w:rPr>
        <w:t>Program</w:t>
      </w:r>
      <w:r w:rsidR="00BD5481" w:rsidRPr="006D71C7">
        <w:t xml:space="preserve"> skierowany jest na projekty infrastrukturalne a nie miękkie.</w:t>
      </w:r>
      <w:r w:rsidR="00BD5481" w:rsidRPr="006D71C7">
        <w:rPr>
          <w:i/>
        </w:rPr>
        <w:t xml:space="preserve"> </w:t>
      </w:r>
      <w:r w:rsidR="00E062FC" w:rsidRPr="006D71C7">
        <w:t>Wdrażany w regionie PO KL realizuje ww. inicjatywę.</w:t>
      </w:r>
      <w:r w:rsidR="000E70C4" w:rsidRPr="006D71C7">
        <w:t xml:space="preserve"> </w:t>
      </w:r>
    </w:p>
    <w:p w:rsidR="000304D8" w:rsidRPr="006D71C7" w:rsidRDefault="00A1643A" w:rsidP="006D71C7">
      <w:pPr>
        <w:pStyle w:val="Nagwek2"/>
        <w:numPr>
          <w:ilvl w:val="0"/>
          <w:numId w:val="0"/>
        </w:numPr>
        <w:spacing w:line="276" w:lineRule="auto"/>
        <w:ind w:hanging="9"/>
        <w:jc w:val="both"/>
        <w:rPr>
          <w:b w:val="0"/>
          <w:sz w:val="24"/>
          <w:szCs w:val="24"/>
        </w:rPr>
      </w:pPr>
      <w:bookmarkStart w:id="171" w:name="_Toc324786811"/>
      <w:bookmarkStart w:id="172" w:name="_Toc324853869"/>
      <w:bookmarkStart w:id="173" w:name="_Toc327259219"/>
      <w:r w:rsidRPr="006D71C7">
        <w:rPr>
          <w:b w:val="0"/>
          <w:sz w:val="24"/>
          <w:szCs w:val="24"/>
        </w:rPr>
        <w:t>Założeniem RPO WSL jest stymulowanie dynamicznego rozwoju regionu, m.in. poprzez stworzenie nowoczesnej i zaawansowanej technologicznie gospodarki. Województwo śląskie to region</w:t>
      </w:r>
      <w:r w:rsidR="003D6B3E" w:rsidRPr="006D71C7">
        <w:rPr>
          <w:b w:val="0"/>
          <w:sz w:val="24"/>
          <w:szCs w:val="24"/>
        </w:rPr>
        <w:t>,</w:t>
      </w:r>
      <w:r w:rsidRPr="006D71C7">
        <w:rPr>
          <w:b w:val="0"/>
          <w:sz w:val="24"/>
          <w:szCs w:val="24"/>
        </w:rPr>
        <w:t xml:space="preserve"> gdzie obok unowocześniania tradycyjnych sektorów, konieczne jest wyzwolenie potencjału w nowych niszach technologicznych. Rozwój oparty na wiedzy i innowacji to</w:t>
      </w:r>
      <w:r w:rsidR="00BB3672" w:rsidRPr="006D71C7">
        <w:rPr>
          <w:b w:val="0"/>
          <w:sz w:val="24"/>
          <w:szCs w:val="24"/>
        </w:rPr>
        <w:t> </w:t>
      </w:r>
      <w:r w:rsidRPr="006D71C7">
        <w:rPr>
          <w:b w:val="0"/>
          <w:sz w:val="24"/>
          <w:szCs w:val="24"/>
        </w:rPr>
        <w:t>klucz do zdobycia przewagi konkurencyjnej firm czy regionów. Innowacyjność rozumiana jako umiejętność przekształcania wiedzy w nowe produkty, usługi czy technologie i</w:t>
      </w:r>
      <w:r w:rsidR="00BB3672" w:rsidRPr="006D71C7">
        <w:rPr>
          <w:b w:val="0"/>
          <w:sz w:val="24"/>
          <w:szCs w:val="24"/>
        </w:rPr>
        <w:t> </w:t>
      </w:r>
      <w:r w:rsidRPr="006D71C7">
        <w:rPr>
          <w:b w:val="0"/>
          <w:sz w:val="24"/>
          <w:szCs w:val="24"/>
        </w:rPr>
        <w:t xml:space="preserve">przynoszące efekty rynkowe nadal nie jest </w:t>
      </w:r>
      <w:r w:rsidR="003D6B3E" w:rsidRPr="006D71C7">
        <w:rPr>
          <w:b w:val="0"/>
          <w:sz w:val="24"/>
          <w:szCs w:val="24"/>
        </w:rPr>
        <w:t xml:space="preserve">wystarczająco </w:t>
      </w:r>
      <w:r w:rsidRPr="006D71C7">
        <w:rPr>
          <w:b w:val="0"/>
          <w:sz w:val="24"/>
          <w:szCs w:val="24"/>
        </w:rPr>
        <w:t>mocną stroną biznesu i nauki</w:t>
      </w:r>
      <w:r w:rsidR="00692885" w:rsidRPr="006D71C7">
        <w:rPr>
          <w:b w:val="0"/>
          <w:sz w:val="24"/>
          <w:szCs w:val="24"/>
        </w:rPr>
        <w:t xml:space="preserve"> w</w:t>
      </w:r>
      <w:r w:rsidR="00BB3672" w:rsidRPr="006D71C7">
        <w:rPr>
          <w:b w:val="0"/>
          <w:sz w:val="24"/>
          <w:szCs w:val="24"/>
        </w:rPr>
        <w:t> </w:t>
      </w:r>
      <w:r w:rsidR="00692885" w:rsidRPr="006D71C7">
        <w:rPr>
          <w:b w:val="0"/>
          <w:sz w:val="24"/>
          <w:szCs w:val="24"/>
        </w:rPr>
        <w:t xml:space="preserve">regionie śląskim. </w:t>
      </w:r>
      <w:r w:rsidRPr="006D71C7">
        <w:rPr>
          <w:b w:val="0"/>
          <w:sz w:val="24"/>
          <w:szCs w:val="24"/>
        </w:rPr>
        <w:t xml:space="preserve">Aby wspierać komercjalizację wiedzy w regionie w ramach RPO WSL ogłoszony został konkurs w ramach </w:t>
      </w:r>
      <w:r w:rsidR="007338BD" w:rsidRPr="006D71C7">
        <w:rPr>
          <w:b w:val="0"/>
          <w:i/>
          <w:sz w:val="24"/>
          <w:szCs w:val="24"/>
        </w:rPr>
        <w:t>działania 1.3,</w:t>
      </w:r>
      <w:r w:rsidRPr="006D71C7">
        <w:rPr>
          <w:b w:val="0"/>
          <w:sz w:val="24"/>
          <w:szCs w:val="24"/>
        </w:rPr>
        <w:t xml:space="preserve"> dzięki któremu </w:t>
      </w:r>
      <w:r w:rsidR="003D6B3E" w:rsidRPr="006D71C7">
        <w:rPr>
          <w:b w:val="0"/>
          <w:sz w:val="24"/>
          <w:szCs w:val="24"/>
        </w:rPr>
        <w:t xml:space="preserve">innowacyjność Śląska jest wzmacniana </w:t>
      </w:r>
      <w:r w:rsidRPr="006D71C7">
        <w:rPr>
          <w:b w:val="0"/>
          <w:sz w:val="24"/>
          <w:szCs w:val="24"/>
        </w:rPr>
        <w:t xml:space="preserve">przez zakup usług doradczych, tworzenie sieci powiązań pomiędzy instytucjami otoczenia biznesu czy tworzenie klastrów. Szczegółowe informacje dot. realizacji działań innowacyjnych w ramach RPO WSL zostały przedstawione w pkt. 3 niniejszego </w:t>
      </w:r>
      <w:r w:rsidRPr="006D71C7">
        <w:rPr>
          <w:b w:val="0"/>
          <w:i/>
          <w:sz w:val="24"/>
          <w:szCs w:val="24"/>
        </w:rPr>
        <w:t>Sprawozdania.</w:t>
      </w:r>
      <w:bookmarkEnd w:id="171"/>
      <w:bookmarkEnd w:id="172"/>
      <w:bookmarkEnd w:id="173"/>
    </w:p>
    <w:p w:rsidR="00591EF2" w:rsidRPr="006D71C7" w:rsidRDefault="00A1643A" w:rsidP="006D71C7">
      <w:pPr>
        <w:pStyle w:val="Default"/>
        <w:spacing w:line="276" w:lineRule="auto"/>
        <w:jc w:val="both"/>
        <w:rPr>
          <w:color w:val="auto"/>
          <w:sz w:val="23"/>
          <w:szCs w:val="23"/>
        </w:rPr>
      </w:pPr>
      <w:r w:rsidRPr="006D71C7">
        <w:rPr>
          <w:i/>
          <w:color w:val="auto"/>
        </w:rPr>
        <w:t>Regionalna Strategia Innowacji Województwa Śląskiego</w:t>
      </w:r>
      <w:r w:rsidRPr="006D71C7">
        <w:rPr>
          <w:color w:val="auto"/>
        </w:rPr>
        <w:t xml:space="preserve"> </w:t>
      </w:r>
      <w:r w:rsidR="003D6B3E" w:rsidRPr="006D71C7">
        <w:rPr>
          <w:color w:val="auto"/>
        </w:rPr>
        <w:t xml:space="preserve">służy </w:t>
      </w:r>
      <w:r w:rsidRPr="006D71C7">
        <w:rPr>
          <w:color w:val="auto"/>
        </w:rPr>
        <w:t>rozwijani</w:t>
      </w:r>
      <w:r w:rsidR="003D6B3E" w:rsidRPr="006D71C7">
        <w:rPr>
          <w:color w:val="auto"/>
        </w:rPr>
        <w:t>u</w:t>
      </w:r>
      <w:r w:rsidRPr="006D71C7">
        <w:rPr>
          <w:color w:val="auto"/>
        </w:rPr>
        <w:t xml:space="preserve"> przyjaznego klimatu dla innowacji w regionie i skierowana jest na wspieranie podmiotów wpływających na rozwój nauki, badań i technologii.</w:t>
      </w:r>
      <w:r w:rsidRPr="006D71C7">
        <w:rPr>
          <w:color w:val="auto"/>
          <w:sz w:val="23"/>
          <w:szCs w:val="23"/>
        </w:rPr>
        <w:t xml:space="preserve"> </w:t>
      </w:r>
      <w:r w:rsidR="003D6B3E" w:rsidRPr="006D71C7">
        <w:rPr>
          <w:color w:val="auto"/>
          <w:sz w:val="23"/>
          <w:szCs w:val="23"/>
        </w:rPr>
        <w:t xml:space="preserve">W celu zidentyfikowania inteligentnej specjalizacji Śląska </w:t>
      </w:r>
      <w:r w:rsidRPr="006D71C7">
        <w:rPr>
          <w:color w:val="auto"/>
          <w:sz w:val="23"/>
          <w:szCs w:val="23"/>
        </w:rPr>
        <w:t xml:space="preserve">został opracowany strategiczny plan technologicznego rozwoju regionu, </w:t>
      </w:r>
      <w:r w:rsidR="00692885" w:rsidRPr="006D71C7">
        <w:rPr>
          <w:color w:val="auto"/>
          <w:sz w:val="23"/>
          <w:szCs w:val="23"/>
        </w:rPr>
        <w:t>tj.</w:t>
      </w:r>
      <w:r w:rsidRPr="006D71C7">
        <w:rPr>
          <w:color w:val="auto"/>
          <w:sz w:val="23"/>
          <w:szCs w:val="23"/>
        </w:rPr>
        <w:t xml:space="preserve"> </w:t>
      </w:r>
      <w:r w:rsidRPr="006D71C7">
        <w:rPr>
          <w:i/>
          <w:color w:val="auto"/>
          <w:sz w:val="23"/>
          <w:szCs w:val="23"/>
        </w:rPr>
        <w:t>Program Rozwoju Technologii Województwa Śląskiego na lata 2010-2020</w:t>
      </w:r>
      <w:r w:rsidRPr="006D71C7">
        <w:rPr>
          <w:color w:val="auto"/>
          <w:sz w:val="23"/>
          <w:szCs w:val="23"/>
        </w:rPr>
        <w:t>,</w:t>
      </w:r>
      <w:r w:rsidR="00F4309D" w:rsidRPr="006D71C7">
        <w:rPr>
          <w:color w:val="auto"/>
          <w:sz w:val="23"/>
          <w:szCs w:val="23"/>
        </w:rPr>
        <w:t xml:space="preserve"> szczegółowe informacje zostały przedstawione w pkt. 3 niniejszego </w:t>
      </w:r>
      <w:r w:rsidR="00F4309D" w:rsidRPr="006D71C7">
        <w:rPr>
          <w:i/>
          <w:color w:val="auto"/>
          <w:sz w:val="23"/>
          <w:szCs w:val="23"/>
        </w:rPr>
        <w:t>Sprawozdania</w:t>
      </w:r>
      <w:r w:rsidR="00F4309D" w:rsidRPr="006D71C7">
        <w:rPr>
          <w:color w:val="auto"/>
          <w:sz w:val="23"/>
          <w:szCs w:val="23"/>
        </w:rPr>
        <w:t xml:space="preserve"> przy opisie priorytetu I.</w:t>
      </w:r>
      <w:r w:rsidRPr="006D71C7">
        <w:rPr>
          <w:color w:val="auto"/>
          <w:sz w:val="23"/>
          <w:szCs w:val="23"/>
        </w:rPr>
        <w:t xml:space="preserve"> </w:t>
      </w:r>
    </w:p>
    <w:p w:rsidR="00F4309D" w:rsidRPr="006D71C7" w:rsidRDefault="00F4309D" w:rsidP="006D71C7">
      <w:pPr>
        <w:pStyle w:val="Default"/>
        <w:spacing w:line="276" w:lineRule="auto"/>
        <w:jc w:val="both"/>
        <w:rPr>
          <w:color w:val="auto"/>
        </w:rPr>
      </w:pPr>
    </w:p>
    <w:p w:rsidR="00591EF2" w:rsidRPr="006D71C7" w:rsidRDefault="00591EF2" w:rsidP="006D71C7">
      <w:pPr>
        <w:pStyle w:val="Default"/>
        <w:spacing w:line="276" w:lineRule="auto"/>
        <w:jc w:val="both"/>
        <w:rPr>
          <w:rFonts w:eastAsia="Calibri"/>
          <w:color w:val="auto"/>
        </w:rPr>
      </w:pPr>
      <w:r w:rsidRPr="006D71C7">
        <w:rPr>
          <w:rFonts w:eastAsia="Calibri"/>
          <w:color w:val="auto"/>
        </w:rPr>
        <w:t xml:space="preserve">Przykłady projektów, które przyczyniają się do realizacji Strategii EU 2020 zostały opisane przy opisie analizy jakościowej poszczególnych </w:t>
      </w:r>
      <w:r w:rsidR="00A2743F" w:rsidRPr="006D71C7">
        <w:rPr>
          <w:rFonts w:eastAsia="Calibri"/>
          <w:color w:val="auto"/>
        </w:rPr>
        <w:t>priorytetów</w:t>
      </w:r>
      <w:r w:rsidR="00692885" w:rsidRPr="006D71C7">
        <w:rPr>
          <w:rFonts w:eastAsia="Calibri"/>
          <w:color w:val="auto"/>
        </w:rPr>
        <w:t xml:space="preserve"> w pkt</w:t>
      </w:r>
      <w:r w:rsidRPr="006D71C7">
        <w:rPr>
          <w:rFonts w:eastAsia="Calibri"/>
          <w:color w:val="auto"/>
        </w:rPr>
        <w:t>.</w:t>
      </w:r>
      <w:r w:rsidR="00692885" w:rsidRPr="006D71C7">
        <w:rPr>
          <w:rFonts w:eastAsia="Calibri"/>
          <w:color w:val="auto"/>
        </w:rPr>
        <w:t xml:space="preserve"> 3 niniejszego </w:t>
      </w:r>
      <w:r w:rsidR="00692885" w:rsidRPr="006D71C7">
        <w:rPr>
          <w:rFonts w:eastAsia="Calibri"/>
          <w:i/>
          <w:color w:val="auto"/>
        </w:rPr>
        <w:t>Sprawozdania.</w:t>
      </w:r>
      <w:r w:rsidR="00692885" w:rsidRPr="006D71C7">
        <w:rPr>
          <w:rFonts w:eastAsia="Calibri"/>
          <w:color w:val="auto"/>
        </w:rPr>
        <w:t xml:space="preserve"> </w:t>
      </w:r>
    </w:p>
    <w:p w:rsidR="00F95271" w:rsidRPr="006D71C7" w:rsidRDefault="00F95271" w:rsidP="006D71C7">
      <w:pPr>
        <w:pStyle w:val="Legenda"/>
        <w:jc w:val="both"/>
        <w:rPr>
          <w:color w:val="auto"/>
        </w:rPr>
      </w:pPr>
    </w:p>
    <w:p w:rsidR="00245F70" w:rsidRPr="006D71C7" w:rsidRDefault="001E656A" w:rsidP="006D71C7">
      <w:pPr>
        <w:pStyle w:val="Legenda"/>
        <w:spacing w:line="276" w:lineRule="auto"/>
        <w:jc w:val="both"/>
        <w:rPr>
          <w:b w:val="0"/>
          <w:i/>
          <w:color w:val="auto"/>
          <w:sz w:val="20"/>
          <w:szCs w:val="20"/>
        </w:rPr>
      </w:pPr>
      <w:bookmarkStart w:id="174" w:name="_Toc324853701"/>
      <w:bookmarkStart w:id="175" w:name="_Toc326046363"/>
      <w:r w:rsidRPr="006D71C7">
        <w:rPr>
          <w:color w:val="auto"/>
          <w:sz w:val="20"/>
          <w:szCs w:val="20"/>
        </w:rPr>
        <w:t>Tabela</w:t>
      </w:r>
      <w:r w:rsidR="00F95271" w:rsidRPr="006D71C7">
        <w:rPr>
          <w:color w:val="auto"/>
          <w:sz w:val="20"/>
          <w:szCs w:val="20"/>
        </w:rPr>
        <w:t xml:space="preserve">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11</w:t>
      </w:r>
      <w:r w:rsidR="008F7228" w:rsidRPr="006D71C7">
        <w:rPr>
          <w:color w:val="auto"/>
          <w:sz w:val="20"/>
          <w:szCs w:val="20"/>
        </w:rPr>
        <w:fldChar w:fldCharType="end"/>
      </w:r>
      <w:r w:rsidR="00F95271" w:rsidRPr="006D71C7">
        <w:rPr>
          <w:color w:val="auto"/>
          <w:sz w:val="20"/>
          <w:szCs w:val="20"/>
        </w:rPr>
        <w:t xml:space="preserve"> </w:t>
      </w:r>
      <w:r w:rsidR="00F95271" w:rsidRPr="006D71C7">
        <w:rPr>
          <w:rFonts w:eastAsia="Calibri"/>
          <w:b w:val="0"/>
          <w:i/>
          <w:color w:val="auto"/>
          <w:sz w:val="20"/>
          <w:szCs w:val="20"/>
        </w:rPr>
        <w:t>Poziom kontraktacji i płatności dla umów wpisujących się w inicjatywy flagowe Strategii Europa 2020</w:t>
      </w:r>
      <w:bookmarkEnd w:id="174"/>
      <w:bookmarkEnd w:id="175"/>
    </w:p>
    <w:tbl>
      <w:tblPr>
        <w:tblStyle w:val="redniasiatka3akcent3"/>
        <w:tblW w:w="9180" w:type="dxa"/>
        <w:shd w:val="clear" w:color="auto" w:fill="F4B29B" w:themeFill="accent1" w:themeFillTint="66"/>
        <w:tblLook w:val="04A0" w:firstRow="1" w:lastRow="0" w:firstColumn="1" w:lastColumn="0" w:noHBand="0" w:noVBand="1"/>
      </w:tblPr>
      <w:tblGrid>
        <w:gridCol w:w="511"/>
        <w:gridCol w:w="3860"/>
        <w:gridCol w:w="2650"/>
        <w:gridCol w:w="2265"/>
      </w:tblGrid>
      <w:tr w:rsidR="00F95271" w:rsidRPr="00081212" w:rsidTr="00CA5E40">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92" w:type="dxa"/>
            <w:shd w:val="clear" w:color="auto" w:fill="F4B29B" w:themeFill="accent1" w:themeFillTint="66"/>
            <w:noWrap/>
            <w:vAlign w:val="center"/>
            <w:hideMark/>
          </w:tcPr>
          <w:p w:rsidR="001C2ABA" w:rsidRPr="00081212" w:rsidRDefault="00C43B75" w:rsidP="006D71C7">
            <w:pPr>
              <w:spacing w:after="0" w:line="240" w:lineRule="auto"/>
              <w:jc w:val="both"/>
              <w:rPr>
                <w:color w:val="auto"/>
                <w:sz w:val="20"/>
                <w:szCs w:val="20"/>
              </w:rPr>
            </w:pPr>
            <w:r w:rsidRPr="00C43B75">
              <w:rPr>
                <w:color w:val="auto"/>
                <w:sz w:val="20"/>
                <w:szCs w:val="20"/>
              </w:rPr>
              <w:t>Lp.</w:t>
            </w:r>
          </w:p>
        </w:tc>
        <w:tc>
          <w:tcPr>
            <w:tcW w:w="3866" w:type="dxa"/>
            <w:shd w:val="clear" w:color="auto" w:fill="F4B29B" w:themeFill="accent1" w:themeFillTint="66"/>
            <w:noWrap/>
            <w:vAlign w:val="center"/>
            <w:hideMark/>
          </w:tcPr>
          <w:p w:rsidR="001C2ABA" w:rsidRPr="00081212" w:rsidRDefault="00C43B75" w:rsidP="006D71C7">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Inicjatywa flagowa</w:t>
            </w:r>
          </w:p>
        </w:tc>
        <w:tc>
          <w:tcPr>
            <w:tcW w:w="2654" w:type="dxa"/>
            <w:shd w:val="clear" w:color="auto" w:fill="F4B29B" w:themeFill="accent1" w:themeFillTint="66"/>
            <w:noWrap/>
            <w:vAlign w:val="center"/>
            <w:hideMark/>
          </w:tcPr>
          <w:p w:rsidR="001C2ABA" w:rsidRPr="00081212" w:rsidRDefault="00C43B75" w:rsidP="006D71C7">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Kontraktacja (w mln EUR)</w:t>
            </w:r>
          </w:p>
        </w:tc>
        <w:tc>
          <w:tcPr>
            <w:tcW w:w="2268" w:type="dxa"/>
            <w:shd w:val="clear" w:color="auto" w:fill="F4B29B" w:themeFill="accent1" w:themeFillTint="66"/>
            <w:noWrap/>
            <w:vAlign w:val="center"/>
            <w:hideMark/>
          </w:tcPr>
          <w:p w:rsidR="001C2ABA" w:rsidRPr="00081212" w:rsidRDefault="00C43B75" w:rsidP="006D71C7">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Płatności (w mln EUR)</w:t>
            </w:r>
          </w:p>
        </w:tc>
      </w:tr>
      <w:tr w:rsidR="00F95271" w:rsidRPr="00081212" w:rsidTr="00CA5E4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92" w:type="dxa"/>
            <w:shd w:val="clear" w:color="auto" w:fill="F4B29B" w:themeFill="accent1" w:themeFillTint="66"/>
            <w:noWrap/>
            <w:vAlign w:val="center"/>
            <w:hideMark/>
          </w:tcPr>
          <w:p w:rsidR="001C2ABA" w:rsidRPr="00081212" w:rsidRDefault="00C43B75" w:rsidP="006D71C7">
            <w:pPr>
              <w:spacing w:after="0" w:line="240" w:lineRule="auto"/>
              <w:jc w:val="both"/>
              <w:rPr>
                <w:color w:val="auto"/>
                <w:sz w:val="20"/>
                <w:szCs w:val="20"/>
              </w:rPr>
            </w:pPr>
            <w:r w:rsidRPr="00C43B75">
              <w:rPr>
                <w:color w:val="auto"/>
                <w:sz w:val="20"/>
                <w:szCs w:val="20"/>
              </w:rPr>
              <w:t>1.</w:t>
            </w:r>
          </w:p>
        </w:tc>
        <w:tc>
          <w:tcPr>
            <w:tcW w:w="3866" w:type="dxa"/>
            <w:tcBorders>
              <w:top w:val="single" w:sz="24" w:space="0" w:color="FFFFFF"/>
            </w:tcBorders>
            <w:shd w:val="clear" w:color="auto" w:fill="F9D8CD" w:themeFill="accent1" w:themeFillTint="33"/>
            <w:vAlign w:val="center"/>
            <w:hideMark/>
          </w:tcPr>
          <w:p w:rsidR="001C2ABA" w:rsidRPr="00081212" w:rsidRDefault="00C43B75"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Unia innowacji</w:t>
            </w:r>
          </w:p>
        </w:tc>
        <w:tc>
          <w:tcPr>
            <w:tcW w:w="2654" w:type="dxa"/>
            <w:tcBorders>
              <w:top w:val="single" w:sz="24" w:space="0" w:color="FFFFFF"/>
            </w:tcBorders>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179,40</w:t>
            </w:r>
          </w:p>
        </w:tc>
        <w:tc>
          <w:tcPr>
            <w:tcW w:w="2268" w:type="dxa"/>
            <w:tcBorders>
              <w:top w:val="single" w:sz="24" w:space="0" w:color="FFFFFF"/>
            </w:tcBorders>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88,82</w:t>
            </w:r>
          </w:p>
        </w:tc>
      </w:tr>
      <w:tr w:rsidR="00F95271" w:rsidRPr="00081212" w:rsidTr="00CA5E40">
        <w:trPr>
          <w:trHeight w:val="402"/>
        </w:trPr>
        <w:tc>
          <w:tcPr>
            <w:cnfStyle w:val="001000000000" w:firstRow="0" w:lastRow="0" w:firstColumn="1" w:lastColumn="0" w:oddVBand="0" w:evenVBand="0" w:oddHBand="0" w:evenHBand="0" w:firstRowFirstColumn="0" w:firstRowLastColumn="0" w:lastRowFirstColumn="0" w:lastRowLastColumn="0"/>
            <w:tcW w:w="392" w:type="dxa"/>
            <w:shd w:val="clear" w:color="auto" w:fill="F4B29B" w:themeFill="accent1" w:themeFillTint="66"/>
            <w:noWrap/>
            <w:vAlign w:val="center"/>
            <w:hideMark/>
          </w:tcPr>
          <w:p w:rsidR="001C2ABA" w:rsidRPr="00081212" w:rsidRDefault="00C43B75" w:rsidP="006D71C7">
            <w:pPr>
              <w:spacing w:after="0" w:line="240" w:lineRule="auto"/>
              <w:jc w:val="both"/>
              <w:rPr>
                <w:color w:val="auto"/>
                <w:sz w:val="20"/>
                <w:szCs w:val="20"/>
              </w:rPr>
            </w:pPr>
            <w:r w:rsidRPr="00C43B75">
              <w:rPr>
                <w:color w:val="auto"/>
                <w:sz w:val="20"/>
                <w:szCs w:val="20"/>
              </w:rPr>
              <w:t>2.</w:t>
            </w:r>
          </w:p>
        </w:tc>
        <w:tc>
          <w:tcPr>
            <w:tcW w:w="3866" w:type="dxa"/>
            <w:tcBorders>
              <w:top w:val="single" w:sz="8" w:space="0" w:color="FFFFFF"/>
              <w:bottom w:val="single" w:sz="8" w:space="0" w:color="FFFFFF"/>
            </w:tcBorders>
            <w:shd w:val="clear" w:color="auto" w:fill="F9D8CD" w:themeFill="accent1" w:themeFillTint="33"/>
            <w:vAlign w:val="center"/>
            <w:hideMark/>
          </w:tcPr>
          <w:p w:rsidR="001C2ABA" w:rsidRPr="00081212" w:rsidRDefault="00C43B75"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Europejska agenda cyfrowa</w:t>
            </w:r>
          </w:p>
        </w:tc>
        <w:tc>
          <w:tcPr>
            <w:tcW w:w="2654" w:type="dxa"/>
            <w:tcBorders>
              <w:top w:val="single" w:sz="8" w:space="0" w:color="FFFFFF"/>
              <w:bottom w:val="single" w:sz="8" w:space="0" w:color="FFFFFF"/>
            </w:tcBorders>
            <w:shd w:val="clear" w:color="auto" w:fill="F9D8CD" w:themeFill="accent1" w:themeFillTint="33"/>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97,46</w:t>
            </w:r>
          </w:p>
        </w:tc>
        <w:tc>
          <w:tcPr>
            <w:tcW w:w="2268" w:type="dxa"/>
            <w:tcBorders>
              <w:top w:val="single" w:sz="8" w:space="0" w:color="FFFFFF"/>
              <w:bottom w:val="single" w:sz="8" w:space="0" w:color="FFFFFF"/>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19,18</w:t>
            </w:r>
          </w:p>
        </w:tc>
      </w:tr>
      <w:tr w:rsidR="00F95271" w:rsidRPr="00081212" w:rsidTr="00CA5E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2" w:type="dxa"/>
            <w:shd w:val="clear" w:color="auto" w:fill="F4B29B" w:themeFill="accent1" w:themeFillTint="66"/>
            <w:noWrap/>
            <w:vAlign w:val="center"/>
            <w:hideMark/>
          </w:tcPr>
          <w:p w:rsidR="001C2ABA" w:rsidRPr="00081212" w:rsidRDefault="00C43B75" w:rsidP="006D71C7">
            <w:pPr>
              <w:spacing w:after="0" w:line="240" w:lineRule="auto"/>
              <w:jc w:val="both"/>
              <w:rPr>
                <w:color w:val="auto"/>
                <w:sz w:val="20"/>
                <w:szCs w:val="20"/>
              </w:rPr>
            </w:pPr>
            <w:r w:rsidRPr="00C43B75">
              <w:rPr>
                <w:color w:val="auto"/>
                <w:sz w:val="20"/>
                <w:szCs w:val="20"/>
              </w:rPr>
              <w:t>3.</w:t>
            </w:r>
          </w:p>
        </w:tc>
        <w:tc>
          <w:tcPr>
            <w:tcW w:w="3866" w:type="dxa"/>
            <w:shd w:val="clear" w:color="auto" w:fill="F9D8CD" w:themeFill="accent1" w:themeFillTint="33"/>
            <w:vAlign w:val="center"/>
            <w:hideMark/>
          </w:tcPr>
          <w:p w:rsidR="001C2ABA" w:rsidRPr="00081212" w:rsidRDefault="00C43B75"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Młodzież w drodze</w:t>
            </w:r>
          </w:p>
        </w:tc>
        <w:tc>
          <w:tcPr>
            <w:tcW w:w="2654" w:type="dxa"/>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71,91</w:t>
            </w:r>
          </w:p>
        </w:tc>
        <w:tc>
          <w:tcPr>
            <w:tcW w:w="2268"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40,79</w:t>
            </w:r>
          </w:p>
        </w:tc>
      </w:tr>
      <w:tr w:rsidR="00F95271" w:rsidRPr="00081212" w:rsidTr="00CA5E40">
        <w:trPr>
          <w:trHeight w:val="510"/>
        </w:trPr>
        <w:tc>
          <w:tcPr>
            <w:cnfStyle w:val="001000000000" w:firstRow="0" w:lastRow="0" w:firstColumn="1" w:lastColumn="0" w:oddVBand="0" w:evenVBand="0" w:oddHBand="0" w:evenHBand="0" w:firstRowFirstColumn="0" w:firstRowLastColumn="0" w:lastRowFirstColumn="0" w:lastRowLastColumn="0"/>
            <w:tcW w:w="392" w:type="dxa"/>
            <w:shd w:val="clear" w:color="auto" w:fill="F4B29B" w:themeFill="accent1" w:themeFillTint="66"/>
            <w:noWrap/>
            <w:vAlign w:val="center"/>
            <w:hideMark/>
          </w:tcPr>
          <w:p w:rsidR="001C2ABA" w:rsidRPr="00081212" w:rsidRDefault="00C43B75" w:rsidP="006D71C7">
            <w:pPr>
              <w:spacing w:after="0" w:line="240" w:lineRule="auto"/>
              <w:jc w:val="both"/>
              <w:rPr>
                <w:color w:val="auto"/>
                <w:sz w:val="20"/>
                <w:szCs w:val="20"/>
              </w:rPr>
            </w:pPr>
            <w:r w:rsidRPr="00C43B75">
              <w:rPr>
                <w:color w:val="auto"/>
                <w:sz w:val="20"/>
                <w:szCs w:val="20"/>
              </w:rPr>
              <w:t>4.</w:t>
            </w:r>
          </w:p>
        </w:tc>
        <w:tc>
          <w:tcPr>
            <w:tcW w:w="3866" w:type="dxa"/>
            <w:tcBorders>
              <w:top w:val="single" w:sz="8" w:space="0" w:color="FFFFFF"/>
              <w:bottom w:val="single" w:sz="8" w:space="0" w:color="FFFFFF"/>
            </w:tcBorders>
            <w:shd w:val="clear" w:color="auto" w:fill="F9D8CD" w:themeFill="accent1" w:themeFillTint="33"/>
            <w:vAlign w:val="center"/>
            <w:hideMark/>
          </w:tcPr>
          <w:p w:rsidR="001C2ABA" w:rsidRPr="00081212" w:rsidRDefault="00C43B75"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Europa efektywnie korzystająca z zasobów</w:t>
            </w:r>
          </w:p>
        </w:tc>
        <w:tc>
          <w:tcPr>
            <w:tcW w:w="2654" w:type="dxa"/>
            <w:tcBorders>
              <w:top w:val="single" w:sz="8" w:space="0" w:color="FFFFFF"/>
              <w:bottom w:val="single" w:sz="8" w:space="0" w:color="FFFFFF"/>
            </w:tcBorders>
            <w:shd w:val="clear" w:color="auto" w:fill="F9D8CD" w:themeFill="accent1" w:themeFillTint="33"/>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466,66</w:t>
            </w:r>
          </w:p>
        </w:tc>
        <w:tc>
          <w:tcPr>
            <w:tcW w:w="2268" w:type="dxa"/>
            <w:tcBorders>
              <w:top w:val="single" w:sz="8" w:space="0" w:color="FFFFFF"/>
              <w:bottom w:val="single" w:sz="8" w:space="0" w:color="FFFFFF"/>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256,04</w:t>
            </w:r>
          </w:p>
        </w:tc>
      </w:tr>
      <w:tr w:rsidR="00F95271" w:rsidRPr="00081212" w:rsidTr="00CA5E40">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92" w:type="dxa"/>
            <w:shd w:val="clear" w:color="auto" w:fill="F4B29B" w:themeFill="accent1" w:themeFillTint="66"/>
            <w:noWrap/>
            <w:vAlign w:val="center"/>
            <w:hideMark/>
          </w:tcPr>
          <w:p w:rsidR="001C2ABA" w:rsidRPr="00081212" w:rsidRDefault="00C43B75" w:rsidP="006D71C7">
            <w:pPr>
              <w:spacing w:after="0" w:line="240" w:lineRule="auto"/>
              <w:jc w:val="both"/>
              <w:rPr>
                <w:color w:val="auto"/>
                <w:sz w:val="20"/>
                <w:szCs w:val="20"/>
              </w:rPr>
            </w:pPr>
            <w:r w:rsidRPr="00C43B75">
              <w:rPr>
                <w:color w:val="auto"/>
                <w:sz w:val="20"/>
                <w:szCs w:val="20"/>
              </w:rPr>
              <w:t>5.</w:t>
            </w:r>
          </w:p>
        </w:tc>
        <w:tc>
          <w:tcPr>
            <w:tcW w:w="3866" w:type="dxa"/>
            <w:shd w:val="clear" w:color="auto" w:fill="F9D8CD" w:themeFill="accent1" w:themeFillTint="33"/>
            <w:vAlign w:val="center"/>
            <w:hideMark/>
          </w:tcPr>
          <w:p w:rsidR="001C2ABA" w:rsidRPr="00081212" w:rsidRDefault="00C43B75"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 xml:space="preserve">Polityka przemysłowa w erze globalizacji </w:t>
            </w:r>
          </w:p>
        </w:tc>
        <w:tc>
          <w:tcPr>
            <w:tcW w:w="2654" w:type="dxa"/>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145,03</w:t>
            </w:r>
          </w:p>
        </w:tc>
        <w:tc>
          <w:tcPr>
            <w:tcW w:w="2268"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74,26</w:t>
            </w:r>
          </w:p>
        </w:tc>
      </w:tr>
      <w:tr w:rsidR="00F95271" w:rsidRPr="00081212" w:rsidTr="00CA5E40">
        <w:trPr>
          <w:trHeight w:val="510"/>
        </w:trPr>
        <w:tc>
          <w:tcPr>
            <w:cnfStyle w:val="001000000000" w:firstRow="0" w:lastRow="0" w:firstColumn="1" w:lastColumn="0" w:oddVBand="0" w:evenVBand="0" w:oddHBand="0" w:evenHBand="0" w:firstRowFirstColumn="0" w:firstRowLastColumn="0" w:lastRowFirstColumn="0" w:lastRowLastColumn="0"/>
            <w:tcW w:w="392" w:type="dxa"/>
            <w:tcBorders>
              <w:bottom w:val="single" w:sz="8" w:space="0" w:color="FFFFFF"/>
            </w:tcBorders>
            <w:shd w:val="clear" w:color="auto" w:fill="F4B29B" w:themeFill="accent1" w:themeFillTint="66"/>
            <w:noWrap/>
            <w:vAlign w:val="center"/>
            <w:hideMark/>
          </w:tcPr>
          <w:p w:rsidR="001C2ABA" w:rsidRPr="00081212" w:rsidRDefault="00C43B75" w:rsidP="006D71C7">
            <w:pPr>
              <w:spacing w:after="0" w:line="240" w:lineRule="auto"/>
              <w:jc w:val="both"/>
              <w:rPr>
                <w:color w:val="auto"/>
                <w:sz w:val="20"/>
                <w:szCs w:val="20"/>
              </w:rPr>
            </w:pPr>
            <w:r w:rsidRPr="00C43B75">
              <w:rPr>
                <w:color w:val="auto"/>
                <w:sz w:val="20"/>
                <w:szCs w:val="20"/>
              </w:rPr>
              <w:t>6.</w:t>
            </w:r>
          </w:p>
        </w:tc>
        <w:tc>
          <w:tcPr>
            <w:tcW w:w="3866" w:type="dxa"/>
            <w:tcBorders>
              <w:top w:val="single" w:sz="8" w:space="0" w:color="FFFFFF"/>
              <w:bottom w:val="single" w:sz="8" w:space="0" w:color="FFFFFF"/>
            </w:tcBorders>
            <w:shd w:val="clear" w:color="auto" w:fill="F9D8CD" w:themeFill="accent1" w:themeFillTint="33"/>
            <w:vAlign w:val="center"/>
            <w:hideMark/>
          </w:tcPr>
          <w:p w:rsidR="001C2ABA" w:rsidRPr="00081212" w:rsidRDefault="00C43B75" w:rsidP="006D71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Europejski program walki z ubóstwem</w:t>
            </w:r>
          </w:p>
        </w:tc>
        <w:tc>
          <w:tcPr>
            <w:tcW w:w="2654" w:type="dxa"/>
            <w:tcBorders>
              <w:top w:val="single" w:sz="8" w:space="0" w:color="FFFFFF"/>
              <w:bottom w:val="single" w:sz="8" w:space="0" w:color="FFFFFF"/>
            </w:tcBorders>
            <w:shd w:val="clear" w:color="auto" w:fill="F9D8CD" w:themeFill="accent1" w:themeFillTint="33"/>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337,03</w:t>
            </w:r>
          </w:p>
        </w:tc>
        <w:tc>
          <w:tcPr>
            <w:tcW w:w="2268" w:type="dxa"/>
            <w:tcBorders>
              <w:top w:val="single" w:sz="8" w:space="0" w:color="FFFFFF"/>
              <w:bottom w:val="single" w:sz="8" w:space="0" w:color="FFFFFF"/>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136,50</w:t>
            </w:r>
          </w:p>
        </w:tc>
      </w:tr>
    </w:tbl>
    <w:p w:rsidR="009968A2" w:rsidRPr="006D71C7" w:rsidRDefault="009968A2" w:rsidP="006D71C7">
      <w:pPr>
        <w:pStyle w:val="NormalnyWeb"/>
        <w:spacing w:after="0"/>
        <w:jc w:val="both"/>
        <w:rPr>
          <w:rFonts w:eastAsia="Calibri"/>
        </w:rPr>
      </w:pPr>
    </w:p>
    <w:p w:rsidR="00782C51" w:rsidRPr="006D71C7" w:rsidRDefault="00782C51" w:rsidP="006D71C7">
      <w:pPr>
        <w:spacing w:after="120"/>
        <w:jc w:val="both"/>
      </w:pPr>
      <w:r w:rsidRPr="006D71C7">
        <w:rPr>
          <w:szCs w:val="24"/>
        </w:rPr>
        <w:t>W 2012 roku planowane jest przeprowadzenie badania ewaluacyjnego dot. realizacj</w:t>
      </w:r>
      <w:r w:rsidR="003D6B3E" w:rsidRPr="006D71C7">
        <w:rPr>
          <w:szCs w:val="24"/>
        </w:rPr>
        <w:t>i</w:t>
      </w:r>
      <w:r w:rsidRPr="006D71C7">
        <w:rPr>
          <w:szCs w:val="24"/>
        </w:rPr>
        <w:t xml:space="preserve"> celów i priorytetów Strategii Lizbońskiej oraz Strategii Europa 2020 w ramach </w:t>
      </w:r>
      <w:r w:rsidRPr="006D71C7">
        <w:rPr>
          <w:i/>
          <w:szCs w:val="24"/>
        </w:rPr>
        <w:t>Regionalnego Programu Operacyjnego Województwa Śląskiego na lata 2007-2013</w:t>
      </w:r>
      <w:r w:rsidRPr="006D71C7">
        <w:rPr>
          <w:szCs w:val="24"/>
        </w:rPr>
        <w:t xml:space="preserve">. Celem badania będzie analiza i ocena wpływu projektów realizowanych w ramach RPO WSL na osiągnięcie celów i priorytetów Strategii Lizbońskiej oraz Strategii EU 2020. W badaniu analizie zostaną poddane również zapisy programowe pod kątem przyczyniania się do realizacji celów i priorytetów Strategii oraz zostaną zidentyfikowane projekty, które w największym stopniu odpowiadają celom Strategii. </w:t>
      </w:r>
      <w:r w:rsidR="003D693E" w:rsidRPr="006D71C7">
        <w:rPr>
          <w:szCs w:val="24"/>
        </w:rPr>
        <w:t xml:space="preserve">Ponadto, badanie pozwoli również zidentyfikować obszary wymagające zmian, dotyczące zarówno zapisów programowych jak i samego procesu wdrażania </w:t>
      </w:r>
      <w:r w:rsidR="003D693E" w:rsidRPr="006D71C7">
        <w:rPr>
          <w:i/>
          <w:szCs w:val="24"/>
        </w:rPr>
        <w:t>Programu,</w:t>
      </w:r>
      <w:r w:rsidR="003D693E" w:rsidRPr="006D71C7">
        <w:rPr>
          <w:szCs w:val="24"/>
        </w:rPr>
        <w:t xml:space="preserve"> które są szczególnie pożądane w kontekście realizacji celów EU 2020. Rekomendacje te zostaną wykorzystane w trakcie tworzenia założeń w przyszłym okresie programowania 2014-2020. </w:t>
      </w:r>
      <w:r w:rsidRPr="006D71C7">
        <w:t>Rekomendacje z badania zostaną przedstawione w następnym sprawozdaniu rocznym.</w:t>
      </w:r>
    </w:p>
    <w:p w:rsidR="00A616A6" w:rsidRPr="006D71C7" w:rsidRDefault="00A616A6" w:rsidP="006D71C7">
      <w:pPr>
        <w:spacing w:after="120"/>
        <w:jc w:val="both"/>
        <w:rPr>
          <w:szCs w:val="24"/>
        </w:rPr>
      </w:pPr>
      <w:r w:rsidRPr="006D71C7">
        <w:rPr>
          <w:szCs w:val="24"/>
        </w:rPr>
        <w:t xml:space="preserve">W związku z przygotowaniami do nowego okresu programowania województwo śląskie aktywnie uczestniczy w konsultacjach pakietu legislacyjnego, ale jednocześnie podjęło działania (pionierskie w skali kraju), których celem jest zaangażowanie w ten proces także regionalnych Jednostek Samorządu Terytorialnego oraz ekspertów i partnerów społecznych. W tym celu zgodnie z zapisami Krajowej Strategii Rozwoju Regionalnego, przyjętej przez Radę Ministrów w  lipcu 2010 r., Marszałek Województwa Śląskiego powołał </w:t>
      </w:r>
      <w:r w:rsidRPr="006D71C7">
        <w:rPr>
          <w:i/>
          <w:szCs w:val="24"/>
        </w:rPr>
        <w:t xml:space="preserve">Zespół                   ds. opracowania projektu ramowego zintegrowanego programu regionalnego na lata 2014-2020, </w:t>
      </w:r>
      <w:r w:rsidRPr="006D71C7">
        <w:rPr>
          <w:szCs w:val="24"/>
        </w:rPr>
        <w:t>którego inauguracyjne posiedzenie odbyło się 7 listopada 2011 r. w Urzędzie Marszałkowskim w Katowicach. Uczestnicy spotkania dyskutowali m.in. o priorytetach Unii Europejskiej w perspektywie nowego okresu programowania wynikających ze Strategii</w:t>
      </w:r>
      <w:r w:rsidRPr="006D71C7">
        <w:rPr>
          <w:i/>
          <w:iCs/>
          <w:szCs w:val="24"/>
        </w:rPr>
        <w:t xml:space="preserve"> </w:t>
      </w:r>
      <w:r w:rsidRPr="006D71C7">
        <w:rPr>
          <w:szCs w:val="24"/>
        </w:rPr>
        <w:t xml:space="preserve">Europa 2020, a także projektów rozporządzeń przedstawionych przez Komisję Europejską 6 października 2011 r. Ponadto Zarząd Województwa Śląskiego powołał </w:t>
      </w:r>
      <w:r w:rsidRPr="006D71C7">
        <w:rPr>
          <w:i/>
          <w:szCs w:val="24"/>
        </w:rPr>
        <w:t>Regionalne Forum Terytorialne Województwa Śląskiego</w:t>
      </w:r>
      <w:r w:rsidRPr="006D71C7">
        <w:rPr>
          <w:szCs w:val="24"/>
        </w:rPr>
        <w:t xml:space="preserve">, będące strategicznym instrumentem wsparcia polityki rozwoju. </w:t>
      </w:r>
      <w:r w:rsidRPr="006D71C7">
        <w:t xml:space="preserve">Głównym celem </w:t>
      </w:r>
      <w:r w:rsidRPr="006D71C7">
        <w:rPr>
          <w:i/>
        </w:rPr>
        <w:t>RFT</w:t>
      </w:r>
      <w:r w:rsidRPr="006D71C7">
        <w:t xml:space="preserve"> jest s</w:t>
      </w:r>
      <w:r w:rsidRPr="006D71C7">
        <w:rPr>
          <w:bCs/>
        </w:rPr>
        <w:t>tymulowanie strategicznej dyskusji dotyczącej celów, kierunków i efektów polityki regionalnej w województwie, a także ich ocena z uwzględnieniem problemów społeczno-gospodarczych regionu.</w:t>
      </w:r>
      <w:r w:rsidRPr="006D71C7">
        <w:rPr>
          <w:szCs w:val="24"/>
        </w:rPr>
        <w:t xml:space="preserve"> Inauguracyjne posiedzenie </w:t>
      </w:r>
      <w:r w:rsidRPr="006D71C7">
        <w:rPr>
          <w:i/>
          <w:szCs w:val="24"/>
        </w:rPr>
        <w:t>RFT</w:t>
      </w:r>
      <w:r w:rsidRPr="006D71C7">
        <w:rPr>
          <w:szCs w:val="24"/>
        </w:rPr>
        <w:t xml:space="preserve"> odbyło się w Gmachu Sejmu Śląskiego w Katowicach w dniu 14 grudnia 2011 r. i</w:t>
      </w:r>
      <w:r w:rsidR="00E062FC" w:rsidRPr="006D71C7">
        <w:rPr>
          <w:szCs w:val="24"/>
        </w:rPr>
        <w:t> </w:t>
      </w:r>
      <w:r w:rsidRPr="006D71C7">
        <w:rPr>
          <w:szCs w:val="24"/>
        </w:rPr>
        <w:t>poświęcone było nowemu okresowi programowania Polityki Spójności 2014-2020. Ponadto, uruchomiono Bazę Partner 3, jako narzędzie, które pomoże poznać potrzeby Województwa Śląskiego</w:t>
      </w:r>
      <w:r w:rsidR="003D6B3E" w:rsidRPr="006D71C7">
        <w:rPr>
          <w:szCs w:val="24"/>
        </w:rPr>
        <w:t xml:space="preserve"> oraz</w:t>
      </w:r>
      <w:r w:rsidRPr="006D71C7">
        <w:rPr>
          <w:szCs w:val="24"/>
        </w:rPr>
        <w:t xml:space="preserve"> zidentyfikować planowane strategiczne przedsięwzięcia (projekty) dla regionu w perspektywie finansowej UE na lata 2014 - 2020. Obecnie trwa analiza zgłoszonych </w:t>
      </w:r>
      <w:r w:rsidR="00BB61CA" w:rsidRPr="006D71C7">
        <w:rPr>
          <w:szCs w:val="24"/>
        </w:rPr>
        <w:t>d</w:t>
      </w:r>
      <w:r w:rsidRPr="006D71C7">
        <w:rPr>
          <w:szCs w:val="24"/>
        </w:rPr>
        <w:t>o</w:t>
      </w:r>
      <w:r w:rsidR="00E062FC" w:rsidRPr="006D71C7">
        <w:rPr>
          <w:szCs w:val="24"/>
        </w:rPr>
        <w:t> </w:t>
      </w:r>
      <w:r w:rsidRPr="006D71C7">
        <w:rPr>
          <w:szCs w:val="24"/>
        </w:rPr>
        <w:t>bazy projektów. Dodatkowo, Wydział Rozwoju Regionalnego finalizuje prace nad „Założeniami do przyszłego Regionalnego Programu Operacyjnego</w:t>
      </w:r>
      <w:r w:rsidR="003D6B3E" w:rsidRPr="006D71C7">
        <w:rPr>
          <w:szCs w:val="24"/>
        </w:rPr>
        <w:t xml:space="preserve"> Województwa </w:t>
      </w:r>
      <w:r w:rsidR="0018639C" w:rsidRPr="006D71C7">
        <w:rPr>
          <w:szCs w:val="24"/>
        </w:rPr>
        <w:t>Śląskiego</w:t>
      </w:r>
      <w:r w:rsidR="003D6B3E" w:rsidRPr="006D71C7">
        <w:rPr>
          <w:szCs w:val="24"/>
        </w:rPr>
        <w:t xml:space="preserve"> na lata 2014-2020”</w:t>
      </w:r>
      <w:r w:rsidRPr="006D71C7">
        <w:rPr>
          <w:szCs w:val="24"/>
        </w:rPr>
        <w:t>, które po zatwierdzeniu przez Zarząd Województwa zostaną podane do</w:t>
      </w:r>
      <w:r w:rsidR="00E062FC" w:rsidRPr="006D71C7">
        <w:rPr>
          <w:szCs w:val="24"/>
        </w:rPr>
        <w:t> </w:t>
      </w:r>
      <w:r w:rsidRPr="006D71C7">
        <w:rPr>
          <w:szCs w:val="24"/>
        </w:rPr>
        <w:t>publicznej</w:t>
      </w:r>
      <w:r w:rsidR="0018639C" w:rsidRPr="006D71C7">
        <w:rPr>
          <w:szCs w:val="24"/>
        </w:rPr>
        <w:t xml:space="preserve"> </w:t>
      </w:r>
      <w:r w:rsidR="003D6B3E" w:rsidRPr="006D71C7">
        <w:rPr>
          <w:szCs w:val="24"/>
        </w:rPr>
        <w:t>debaty</w:t>
      </w:r>
      <w:r w:rsidRPr="006D71C7">
        <w:rPr>
          <w:szCs w:val="24"/>
        </w:rPr>
        <w:t xml:space="preserve">. </w:t>
      </w:r>
    </w:p>
    <w:p w:rsidR="007A638C" w:rsidRPr="006D71C7" w:rsidRDefault="00251E34" w:rsidP="006D71C7">
      <w:pPr>
        <w:pStyle w:val="NormalnyWeb"/>
        <w:spacing w:after="0"/>
        <w:jc w:val="both"/>
        <w:rPr>
          <w:rFonts w:eastAsia="Calibri"/>
        </w:rPr>
      </w:pPr>
      <w:r w:rsidRPr="006D71C7">
        <w:rPr>
          <w:rFonts w:eastAsia="Calibri"/>
        </w:rPr>
        <w:t xml:space="preserve">Instrumentem służącym realizacji osiągania celów Strategii EU 2020 na poziomie krajowym jest </w:t>
      </w:r>
      <w:r w:rsidRPr="006D71C7">
        <w:rPr>
          <w:rFonts w:eastAsia="Calibri"/>
          <w:i/>
          <w:iCs/>
        </w:rPr>
        <w:t>Krajowy Program Reform na rzecz realizacji Strategii Europa 2020</w:t>
      </w:r>
      <w:r w:rsidRPr="006D71C7">
        <w:rPr>
          <w:rFonts w:eastAsia="Calibri"/>
        </w:rPr>
        <w:t xml:space="preserve">. </w:t>
      </w:r>
      <w:r w:rsidR="00A616A6" w:rsidRPr="006D71C7">
        <w:t>KPR skupia się na </w:t>
      </w:r>
      <w:r w:rsidRPr="006D71C7">
        <w:t xml:space="preserve">tych działaniach, które mają na celu odrabianie zaległości rozwojowych oraz budowę nowych przewag konkurencyjnych, w trzech obszarach priorytetowych: Infrastruktura dla wzrostu zrównoważonego, Innowacyjność dla wzrostu inteligentnego, Aktywność dla wzrostu sprzyjającego włączeniu społecznemu. </w:t>
      </w:r>
      <w:r w:rsidRPr="006D71C7">
        <w:rPr>
          <w:rFonts w:eastAsia="Calibri"/>
        </w:rPr>
        <w:t xml:space="preserve">Założone cele poszczególnych Osi priorytetowych RPO WSL wpisują się w </w:t>
      </w:r>
      <w:r w:rsidR="007A638C" w:rsidRPr="006D71C7">
        <w:rPr>
          <w:rFonts w:eastAsia="Calibri"/>
        </w:rPr>
        <w:t>priorytety</w:t>
      </w:r>
      <w:r w:rsidRPr="006D71C7">
        <w:rPr>
          <w:rFonts w:eastAsia="Calibri"/>
        </w:rPr>
        <w:t xml:space="preserve"> wyznaczone w ramach KPR, realizując w ten sposób również cele Strategii Europa 2020</w:t>
      </w:r>
      <w:r w:rsidR="007A638C" w:rsidRPr="006D71C7">
        <w:rPr>
          <w:rFonts w:eastAsia="Calibri"/>
        </w:rPr>
        <w:t xml:space="preserve"> (rys.14)</w:t>
      </w:r>
      <w:r w:rsidR="00A616A6" w:rsidRPr="006D71C7">
        <w:rPr>
          <w:rFonts w:eastAsia="Calibri"/>
        </w:rPr>
        <w:t>.</w:t>
      </w:r>
    </w:p>
    <w:p w:rsidR="00F239C0" w:rsidRPr="006D71C7" w:rsidRDefault="00F239C0" w:rsidP="006D71C7">
      <w:pPr>
        <w:tabs>
          <w:tab w:val="left" w:pos="-284"/>
        </w:tabs>
        <w:spacing w:after="240"/>
        <w:ind w:left="-284"/>
        <w:jc w:val="both"/>
        <w:rPr>
          <w:b/>
        </w:rPr>
      </w:pPr>
    </w:p>
    <w:p w:rsidR="00C43B75" w:rsidRDefault="004A0944" w:rsidP="00C43B75">
      <w:pPr>
        <w:tabs>
          <w:tab w:val="left" w:pos="-284"/>
        </w:tabs>
        <w:spacing w:after="240"/>
        <w:ind w:left="-284"/>
        <w:jc w:val="center"/>
        <w:rPr>
          <w:b/>
        </w:rPr>
      </w:pPr>
      <w:r w:rsidRPr="006D71C7">
        <w:rPr>
          <w:b/>
        </w:rPr>
        <w:t>KRAJOWY PROGRAM REFORM NA RZECZ STRATEGII EUROPA 2020</w:t>
      </w:r>
    </w:p>
    <w:p w:rsidR="007A638C" w:rsidRPr="006D71C7" w:rsidRDefault="00DD6650" w:rsidP="00081212">
      <w:pPr>
        <w:tabs>
          <w:tab w:val="left" w:pos="851"/>
          <w:tab w:val="left" w:pos="9781"/>
        </w:tabs>
        <w:spacing w:after="240"/>
        <w:ind w:left="851"/>
        <w:jc w:val="both"/>
        <w:rPr>
          <w:b/>
        </w:rPr>
      </w:pPr>
      <w:r w:rsidRPr="006D71C7">
        <w:rPr>
          <w:rFonts w:eastAsia="Calibri"/>
          <w:b/>
          <w:bCs/>
          <w:noProof/>
          <w:sz w:val="18"/>
          <w:szCs w:val="18"/>
        </w:rPr>
        <w:drawing>
          <wp:inline distT="0" distB="0" distL="0" distR="0">
            <wp:extent cx="4597696" cy="2955851"/>
            <wp:effectExtent l="38100" t="19050" r="12700" b="3556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245F70" w:rsidRPr="006D71C7" w:rsidRDefault="007338BD" w:rsidP="006D71C7">
      <w:pPr>
        <w:pStyle w:val="Legenda"/>
        <w:jc w:val="both"/>
        <w:rPr>
          <w:rFonts w:eastAsia="Calibri"/>
          <w:i/>
          <w:iCs/>
          <w:color w:val="auto"/>
          <w:sz w:val="20"/>
          <w:szCs w:val="20"/>
        </w:rPr>
      </w:pPr>
      <w:bookmarkStart w:id="176" w:name="_Toc324853702"/>
      <w:bookmarkStart w:id="177" w:name="_Toc324855749"/>
      <w:bookmarkStart w:id="178" w:name="_Toc326055337"/>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19</w:t>
      </w:r>
      <w:r w:rsidR="008F7228">
        <w:rPr>
          <w:color w:val="auto"/>
          <w:sz w:val="20"/>
          <w:szCs w:val="20"/>
        </w:rPr>
        <w:fldChar w:fldCharType="end"/>
      </w:r>
      <w:r w:rsidR="00E41D59" w:rsidRPr="006D71C7">
        <w:rPr>
          <w:color w:val="auto"/>
        </w:rPr>
        <w:t xml:space="preserve"> </w:t>
      </w:r>
      <w:r w:rsidRPr="006D71C7">
        <w:rPr>
          <w:rFonts w:eastAsia="Calibri"/>
          <w:b w:val="0"/>
          <w:i/>
          <w:color w:val="auto"/>
          <w:sz w:val="20"/>
          <w:szCs w:val="20"/>
        </w:rPr>
        <w:t xml:space="preserve">Spójność RPO WSL z priorytetami </w:t>
      </w:r>
      <w:r w:rsidRPr="006D71C7">
        <w:rPr>
          <w:rFonts w:eastAsia="Calibri"/>
          <w:b w:val="0"/>
          <w:i/>
          <w:iCs/>
          <w:color w:val="auto"/>
          <w:sz w:val="20"/>
          <w:szCs w:val="20"/>
        </w:rPr>
        <w:t>Krajowego Programu Reform na rzecz Strategii Europa 2020.</w:t>
      </w:r>
      <w:bookmarkEnd w:id="176"/>
      <w:bookmarkEnd w:id="177"/>
      <w:bookmarkEnd w:id="178"/>
    </w:p>
    <w:p w:rsidR="007016CC" w:rsidRPr="006D71C7" w:rsidRDefault="007016CC" w:rsidP="00BA2FE7">
      <w:pPr>
        <w:pStyle w:val="Nagwek1"/>
        <w:numPr>
          <w:ilvl w:val="3"/>
          <w:numId w:val="25"/>
        </w:numPr>
        <w:tabs>
          <w:tab w:val="left" w:pos="1560"/>
        </w:tabs>
        <w:spacing w:after="120"/>
        <w:ind w:left="1701" w:hanging="338"/>
        <w:jc w:val="both"/>
        <w:rPr>
          <w:bCs w:val="0"/>
          <w:szCs w:val="24"/>
        </w:rPr>
      </w:pPr>
      <w:bookmarkStart w:id="179" w:name="_Toc292789261"/>
      <w:bookmarkStart w:id="180" w:name="_Toc292793546"/>
      <w:bookmarkStart w:id="181" w:name="_Toc327259220"/>
      <w:bookmarkStart w:id="182" w:name="_Toc262031850"/>
      <w:r w:rsidRPr="006D71C7">
        <w:rPr>
          <w:bCs w:val="0"/>
          <w:szCs w:val="24"/>
        </w:rPr>
        <w:t>STRATEGIA UE DLA REGIONU MORZA BAŁTYCKIEGO</w:t>
      </w:r>
      <w:bookmarkEnd w:id="179"/>
      <w:bookmarkEnd w:id="180"/>
      <w:bookmarkEnd w:id="181"/>
      <w:r w:rsidRPr="006D71C7">
        <w:rPr>
          <w:bCs w:val="0"/>
          <w:szCs w:val="24"/>
        </w:rPr>
        <w:t xml:space="preserve"> </w:t>
      </w:r>
    </w:p>
    <w:p w:rsidR="00C43B75" w:rsidRPr="00C43B75" w:rsidRDefault="00C43B75" w:rsidP="00C43B75">
      <w:pPr>
        <w:autoSpaceDE w:val="0"/>
        <w:autoSpaceDN w:val="0"/>
        <w:adjustRightInd w:val="0"/>
        <w:spacing w:after="0"/>
        <w:jc w:val="both"/>
        <w:rPr>
          <w:rFonts w:eastAsia="Calibri"/>
          <w:szCs w:val="24"/>
        </w:rPr>
      </w:pPr>
      <w:r w:rsidRPr="00C43B75">
        <w:rPr>
          <w:rFonts w:eastAsia="Calibri"/>
          <w:szCs w:val="24"/>
        </w:rPr>
        <w:t>Działania realizowane w ramach RPO W</w:t>
      </w:r>
      <w:r w:rsidR="00CF3F00">
        <w:rPr>
          <w:rFonts w:eastAsia="Calibri"/>
          <w:szCs w:val="24"/>
        </w:rPr>
        <w:t>S</w:t>
      </w:r>
      <w:r w:rsidR="00E42C5B">
        <w:rPr>
          <w:rFonts w:eastAsia="Calibri"/>
          <w:szCs w:val="24"/>
        </w:rPr>
        <w:t>L</w:t>
      </w:r>
      <w:r w:rsidRPr="00C43B75">
        <w:rPr>
          <w:rFonts w:eastAsia="Calibri"/>
          <w:szCs w:val="24"/>
        </w:rPr>
        <w:t xml:space="preserve"> wpisują się</w:t>
      </w:r>
      <w:r w:rsidR="00CF3F00">
        <w:rPr>
          <w:rFonts w:eastAsia="Calibri"/>
          <w:szCs w:val="24"/>
        </w:rPr>
        <w:t xml:space="preserve"> </w:t>
      </w:r>
      <w:r w:rsidRPr="00C43B75">
        <w:rPr>
          <w:rFonts w:eastAsia="Calibri"/>
          <w:szCs w:val="24"/>
        </w:rPr>
        <w:t xml:space="preserve">w cele i obszary wsparcia przewidziane w </w:t>
      </w:r>
      <w:r w:rsidRPr="00C43B75">
        <w:rPr>
          <w:rFonts w:eastAsia="Calibri"/>
          <w:i/>
          <w:iCs/>
          <w:szCs w:val="24"/>
        </w:rPr>
        <w:t>Strategii Unii Europejskiej dla Regionu Morza</w:t>
      </w:r>
      <w:r w:rsidR="00CF3F00">
        <w:rPr>
          <w:rFonts w:eastAsia="Calibri"/>
          <w:szCs w:val="24"/>
        </w:rPr>
        <w:t xml:space="preserve"> </w:t>
      </w:r>
      <w:r w:rsidRPr="00C43B75">
        <w:rPr>
          <w:rFonts w:eastAsia="Calibri"/>
          <w:i/>
          <w:iCs/>
          <w:szCs w:val="24"/>
        </w:rPr>
        <w:t xml:space="preserve">Bałtyckiego (SUE RMB). </w:t>
      </w:r>
      <w:r w:rsidR="00CF3F00">
        <w:rPr>
          <w:rFonts w:eastAsia="Calibri"/>
          <w:szCs w:val="24"/>
        </w:rPr>
        <w:t>Z </w:t>
      </w:r>
      <w:r w:rsidRPr="00C43B75">
        <w:rPr>
          <w:rFonts w:eastAsia="Calibri"/>
          <w:szCs w:val="24"/>
        </w:rPr>
        <w:t>tego też względu Instytucja Zarządzająca RPO W</w:t>
      </w:r>
      <w:r w:rsidR="00CF3F00">
        <w:rPr>
          <w:rFonts w:eastAsia="Calibri"/>
          <w:szCs w:val="24"/>
        </w:rPr>
        <w:t>S</w:t>
      </w:r>
      <w:r w:rsidRPr="00C43B75">
        <w:rPr>
          <w:rFonts w:eastAsia="Calibri"/>
          <w:szCs w:val="24"/>
        </w:rPr>
        <w:t>L podjęła</w:t>
      </w:r>
      <w:r w:rsidR="00CF3F00">
        <w:rPr>
          <w:rFonts w:eastAsia="Calibri"/>
          <w:szCs w:val="24"/>
        </w:rPr>
        <w:t xml:space="preserve"> </w:t>
      </w:r>
      <w:r w:rsidRPr="00C43B75">
        <w:rPr>
          <w:rFonts w:eastAsia="Calibri"/>
          <w:szCs w:val="24"/>
        </w:rPr>
        <w:t xml:space="preserve">działania mające na celu dostosowanie zapisów zawartych w </w:t>
      </w:r>
      <w:r w:rsidRPr="00C43B75">
        <w:rPr>
          <w:rFonts w:eastAsia="Calibri"/>
          <w:i/>
          <w:szCs w:val="24"/>
        </w:rPr>
        <w:t>Programie</w:t>
      </w:r>
      <w:r w:rsidRPr="00C43B75">
        <w:rPr>
          <w:rFonts w:eastAsia="Calibri"/>
          <w:szCs w:val="24"/>
        </w:rPr>
        <w:t xml:space="preserve"> uzupełniając je o informacje odnoszące się do spójności działań prowadzonych</w:t>
      </w:r>
      <w:r w:rsidR="00CF3F00">
        <w:rPr>
          <w:rFonts w:eastAsia="Calibri"/>
          <w:szCs w:val="24"/>
        </w:rPr>
        <w:t xml:space="preserve"> </w:t>
      </w:r>
      <w:r w:rsidRPr="00C43B75">
        <w:rPr>
          <w:rFonts w:eastAsia="Calibri"/>
          <w:szCs w:val="24"/>
        </w:rPr>
        <w:t xml:space="preserve">w ramach </w:t>
      </w:r>
      <w:r w:rsidRPr="00C43B75">
        <w:rPr>
          <w:rFonts w:eastAsia="Calibri"/>
          <w:i/>
          <w:szCs w:val="24"/>
        </w:rPr>
        <w:t>Programu</w:t>
      </w:r>
      <w:r w:rsidRPr="00C43B75">
        <w:rPr>
          <w:rFonts w:eastAsia="Calibri"/>
          <w:szCs w:val="24"/>
        </w:rPr>
        <w:t xml:space="preserve"> z priorytetami i kierunkami wyznaczonymi przez SUE RMB</w:t>
      </w:r>
      <w:r w:rsidR="00CF3F00">
        <w:rPr>
          <w:rFonts w:eastAsia="Calibri"/>
          <w:szCs w:val="24"/>
        </w:rPr>
        <w:t>, które zostały przedstawione w poniższej tabeli.</w:t>
      </w:r>
      <w:r w:rsidRPr="00C43B75">
        <w:rPr>
          <w:rFonts w:eastAsia="Calibri"/>
          <w:szCs w:val="24"/>
        </w:rPr>
        <w:t xml:space="preserve">. </w:t>
      </w:r>
      <w:r w:rsidR="00A0519F" w:rsidRPr="006D71C7">
        <w:rPr>
          <w:szCs w:val="24"/>
        </w:rPr>
        <w:t>RPO WSL nie realiz</w:t>
      </w:r>
      <w:r w:rsidR="00165EDB" w:rsidRPr="006D71C7">
        <w:rPr>
          <w:szCs w:val="24"/>
        </w:rPr>
        <w:t>uje</w:t>
      </w:r>
      <w:r w:rsidR="00A0519F" w:rsidRPr="006D71C7">
        <w:rPr>
          <w:szCs w:val="24"/>
        </w:rPr>
        <w:t xml:space="preserve"> projekt</w:t>
      </w:r>
      <w:r w:rsidR="00165EDB" w:rsidRPr="006D71C7">
        <w:rPr>
          <w:szCs w:val="24"/>
        </w:rPr>
        <w:t>ów</w:t>
      </w:r>
      <w:r w:rsidR="00A0519F" w:rsidRPr="006D71C7">
        <w:rPr>
          <w:szCs w:val="24"/>
        </w:rPr>
        <w:t xml:space="preserve"> flagow</w:t>
      </w:r>
      <w:r w:rsidR="00165EDB" w:rsidRPr="006D71C7">
        <w:rPr>
          <w:szCs w:val="24"/>
        </w:rPr>
        <w:t>ych</w:t>
      </w:r>
      <w:r w:rsidR="00A0519F" w:rsidRPr="006D71C7">
        <w:rPr>
          <w:szCs w:val="24"/>
        </w:rPr>
        <w:t xml:space="preserve"> zidentyfikowan</w:t>
      </w:r>
      <w:r w:rsidR="00165EDB" w:rsidRPr="006D71C7">
        <w:rPr>
          <w:szCs w:val="24"/>
        </w:rPr>
        <w:t>ych</w:t>
      </w:r>
      <w:r w:rsidR="00A0519F" w:rsidRPr="006D71C7">
        <w:rPr>
          <w:szCs w:val="24"/>
        </w:rPr>
        <w:t xml:space="preserve"> w </w:t>
      </w:r>
      <w:r w:rsidR="00A0519F" w:rsidRPr="006D71C7">
        <w:rPr>
          <w:i/>
          <w:szCs w:val="24"/>
        </w:rPr>
        <w:t xml:space="preserve">Planie działań Strategii… </w:t>
      </w:r>
    </w:p>
    <w:p w:rsidR="00CF3F00" w:rsidRDefault="00CF3F00" w:rsidP="00CF3F00">
      <w:pPr>
        <w:autoSpaceDE w:val="0"/>
        <w:autoSpaceDN w:val="0"/>
        <w:adjustRightInd w:val="0"/>
        <w:spacing w:after="0"/>
        <w:jc w:val="both"/>
        <w:rPr>
          <w:rFonts w:eastAsia="Calibri"/>
          <w:i/>
          <w:iCs/>
          <w:szCs w:val="24"/>
        </w:rPr>
      </w:pPr>
      <w:r w:rsidRPr="00CF3F00">
        <w:rPr>
          <w:rFonts w:eastAsia="Calibri"/>
          <w:szCs w:val="24"/>
        </w:rPr>
        <w:t>Instytucja Zarządzają</w:t>
      </w:r>
      <w:r>
        <w:rPr>
          <w:rFonts w:eastAsia="Calibri"/>
          <w:szCs w:val="24"/>
        </w:rPr>
        <w:t>ca RPO WSL</w:t>
      </w:r>
      <w:r w:rsidRPr="00CF3F00">
        <w:rPr>
          <w:rFonts w:eastAsia="Calibri"/>
          <w:szCs w:val="24"/>
        </w:rPr>
        <w:t xml:space="preserve"> nie wykorzystywała do tej pory środków z pomocy</w:t>
      </w:r>
      <w:r>
        <w:rPr>
          <w:rFonts w:eastAsia="Calibri"/>
          <w:szCs w:val="24"/>
        </w:rPr>
        <w:t xml:space="preserve"> technicznej </w:t>
      </w:r>
      <w:r w:rsidRPr="00CF3F00">
        <w:rPr>
          <w:rFonts w:eastAsia="Calibri"/>
          <w:szCs w:val="24"/>
        </w:rPr>
        <w:t xml:space="preserve">dla potrzeb związanych z wdrażaniem </w:t>
      </w:r>
      <w:r w:rsidRPr="00CF3F00">
        <w:rPr>
          <w:rFonts w:eastAsia="Calibri"/>
          <w:i/>
          <w:iCs/>
          <w:szCs w:val="24"/>
        </w:rPr>
        <w:t>Planu działań Strategii</w:t>
      </w:r>
      <w:r>
        <w:rPr>
          <w:rFonts w:eastAsia="Calibri"/>
          <w:i/>
          <w:iCs/>
          <w:szCs w:val="24"/>
        </w:rPr>
        <w:t>.</w:t>
      </w:r>
    </w:p>
    <w:p w:rsidR="00C43B75" w:rsidRPr="00C43B75" w:rsidRDefault="00C43B75" w:rsidP="00C43B75">
      <w:pPr>
        <w:autoSpaceDE w:val="0"/>
        <w:autoSpaceDN w:val="0"/>
        <w:adjustRightInd w:val="0"/>
        <w:spacing w:after="120"/>
        <w:jc w:val="both"/>
        <w:rPr>
          <w:rFonts w:eastAsia="Calibri"/>
          <w:szCs w:val="24"/>
        </w:rPr>
      </w:pPr>
      <w:r w:rsidRPr="00C43B75">
        <w:rPr>
          <w:rFonts w:eastAsia="Calibri"/>
          <w:szCs w:val="24"/>
        </w:rPr>
        <w:t xml:space="preserve">Na podstawie przeprowadzonej analizy stopnia wdrażania </w:t>
      </w:r>
      <w:r w:rsidRPr="00C43B75">
        <w:rPr>
          <w:rFonts w:eastAsia="Calibri"/>
          <w:i/>
          <w:szCs w:val="24"/>
        </w:rPr>
        <w:t>Programu</w:t>
      </w:r>
      <w:r w:rsidRPr="00C43B75">
        <w:rPr>
          <w:rFonts w:eastAsia="Calibri"/>
          <w:szCs w:val="24"/>
        </w:rPr>
        <w:t>, IZ RPO</w:t>
      </w:r>
      <w:r w:rsidR="00CF3F00">
        <w:rPr>
          <w:rFonts w:eastAsia="Calibri"/>
          <w:szCs w:val="24"/>
        </w:rPr>
        <w:t xml:space="preserve"> WSL</w:t>
      </w:r>
      <w:r w:rsidRPr="00C43B75">
        <w:rPr>
          <w:rFonts w:eastAsia="Calibri"/>
          <w:szCs w:val="24"/>
        </w:rPr>
        <w:t xml:space="preserve"> stoi na</w:t>
      </w:r>
      <w:r w:rsidR="00CF3F00">
        <w:rPr>
          <w:rFonts w:eastAsia="Calibri"/>
          <w:szCs w:val="24"/>
        </w:rPr>
        <w:t xml:space="preserve"> </w:t>
      </w:r>
      <w:r w:rsidRPr="00C43B75">
        <w:rPr>
          <w:rFonts w:eastAsia="Calibri"/>
          <w:szCs w:val="24"/>
        </w:rPr>
        <w:t xml:space="preserve">stanowisku, iż na obecnym etapie realizacji </w:t>
      </w:r>
      <w:r w:rsidRPr="00C43B75">
        <w:rPr>
          <w:rFonts w:eastAsia="Calibri"/>
          <w:i/>
          <w:szCs w:val="24"/>
        </w:rPr>
        <w:t>Programu</w:t>
      </w:r>
      <w:r w:rsidRPr="00C43B75">
        <w:rPr>
          <w:rFonts w:eastAsia="Calibri"/>
          <w:szCs w:val="24"/>
        </w:rPr>
        <w:t xml:space="preserve"> wprowadzanie zmian w systemie</w:t>
      </w:r>
      <w:r w:rsidR="00CF3F00">
        <w:rPr>
          <w:rFonts w:eastAsia="Calibri"/>
          <w:szCs w:val="24"/>
        </w:rPr>
        <w:t xml:space="preserve"> </w:t>
      </w:r>
      <w:r w:rsidR="00E42C5B">
        <w:rPr>
          <w:rFonts w:eastAsia="Calibri"/>
          <w:szCs w:val="24"/>
        </w:rPr>
        <w:t xml:space="preserve">realizacji </w:t>
      </w:r>
      <w:r w:rsidRPr="00C43B75">
        <w:rPr>
          <w:rFonts w:eastAsia="Calibri"/>
          <w:i/>
          <w:szCs w:val="24"/>
        </w:rPr>
        <w:t>Programu</w:t>
      </w:r>
      <w:r w:rsidRPr="00C43B75">
        <w:rPr>
          <w:rFonts w:eastAsia="Calibri"/>
          <w:szCs w:val="24"/>
        </w:rPr>
        <w:t xml:space="preserve"> jest </w:t>
      </w:r>
      <w:r w:rsidR="00CF3F00">
        <w:rPr>
          <w:rFonts w:eastAsia="Calibri"/>
          <w:szCs w:val="24"/>
        </w:rPr>
        <w:t>niemożliwe.</w:t>
      </w:r>
    </w:p>
    <w:p w:rsidR="0067068B" w:rsidRPr="006D71C7" w:rsidRDefault="0067068B" w:rsidP="006D71C7">
      <w:pPr>
        <w:jc w:val="both"/>
      </w:pPr>
      <w:r w:rsidRPr="006D71C7">
        <w:t>Biorąc pod uwagę kategorie interwencji wpisujące się w SUE RMB</w:t>
      </w:r>
      <w:r w:rsidRPr="006D71C7">
        <w:rPr>
          <w:i/>
          <w:iCs/>
        </w:rPr>
        <w:t xml:space="preserve">, </w:t>
      </w:r>
      <w:r w:rsidRPr="006D71C7">
        <w:t>wg stanu na 31 grudnia 2011r. łącznie podpisano 2 749 umów  na kwotę ponad 718  mln EUR, w tym w okresie sprawozdawczym 686 umów na kwot</w:t>
      </w:r>
      <w:r w:rsidRPr="006D71C7">
        <w:rPr>
          <w:rFonts w:ascii="TimesNewRoman" w:hAnsi="TimesNewRoman"/>
        </w:rPr>
        <w:t xml:space="preserve">ę </w:t>
      </w:r>
      <w:r w:rsidRPr="006D71C7">
        <w:t>ponad 161 mln EUR (szczegółowe dane znajdują się w </w:t>
      </w:r>
      <w:r w:rsidR="00A2743F" w:rsidRPr="006D71C7">
        <w:rPr>
          <w:i/>
          <w:iCs/>
        </w:rPr>
        <w:t>z</w:t>
      </w:r>
      <w:r w:rsidRPr="006D71C7">
        <w:rPr>
          <w:i/>
          <w:iCs/>
        </w:rPr>
        <w:t>ał</w:t>
      </w:r>
      <w:r w:rsidRPr="006D71C7">
        <w:t>ą</w:t>
      </w:r>
      <w:r w:rsidRPr="006D71C7">
        <w:rPr>
          <w:i/>
          <w:iCs/>
        </w:rPr>
        <w:t>czniku VII</w:t>
      </w:r>
      <w:r w:rsidRPr="006D71C7">
        <w:t xml:space="preserve">). </w:t>
      </w:r>
    </w:p>
    <w:p w:rsidR="008E1FAA" w:rsidRPr="006D71C7" w:rsidRDefault="008E1FAA" w:rsidP="006D71C7">
      <w:pPr>
        <w:jc w:val="both"/>
      </w:pPr>
      <w:r w:rsidRPr="006D71C7">
        <w:t xml:space="preserve">Tabela prezentująca dane ilościowe została zamieszczona w załączniku nr VII do niniejszego </w:t>
      </w:r>
      <w:r w:rsidRPr="006D71C7">
        <w:rPr>
          <w:i/>
        </w:rPr>
        <w:t>Sprawozdania</w:t>
      </w:r>
      <w:r w:rsidRPr="006D71C7">
        <w:t>. Ponadto w załączniku zaprezentowano przykładowe projekty wpisujące się</w:t>
      </w:r>
      <w:r w:rsidR="000528FC" w:rsidRPr="006D71C7">
        <w:t> </w:t>
      </w:r>
      <w:r w:rsidRPr="006D71C7">
        <w:t>w obszary SUE RMB.</w:t>
      </w:r>
    </w:p>
    <w:p w:rsidR="003F4FE5" w:rsidRDefault="003F4FE5">
      <w:pPr>
        <w:spacing w:after="0" w:line="240" w:lineRule="auto"/>
        <w:rPr>
          <w:b/>
          <w:bCs/>
          <w:sz w:val="20"/>
          <w:szCs w:val="20"/>
        </w:rPr>
      </w:pPr>
      <w:bookmarkStart w:id="183" w:name="_Toc296427391"/>
      <w:bookmarkStart w:id="184" w:name="_Toc324853703"/>
      <w:bookmarkStart w:id="185" w:name="_Toc326046364"/>
      <w:r>
        <w:rPr>
          <w:sz w:val="20"/>
          <w:szCs w:val="20"/>
        </w:rPr>
        <w:br w:type="page"/>
      </w:r>
    </w:p>
    <w:p w:rsidR="001915C3" w:rsidRPr="006D71C7" w:rsidRDefault="007338BD" w:rsidP="006D71C7">
      <w:pPr>
        <w:pStyle w:val="Legenda"/>
        <w:jc w:val="both"/>
        <w:rPr>
          <w:i/>
          <w:color w:val="auto"/>
          <w:sz w:val="20"/>
          <w:szCs w:val="20"/>
        </w:rPr>
      </w:pPr>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12</w:t>
      </w:r>
      <w:r w:rsidR="008F7228" w:rsidRPr="006D71C7">
        <w:rPr>
          <w:color w:val="auto"/>
          <w:sz w:val="20"/>
          <w:szCs w:val="20"/>
        </w:rPr>
        <w:fldChar w:fldCharType="end"/>
      </w:r>
      <w:r w:rsidR="00A2743F" w:rsidRPr="006D71C7">
        <w:rPr>
          <w:color w:val="auto"/>
        </w:rPr>
        <w:t xml:space="preserve"> </w:t>
      </w:r>
      <w:r w:rsidR="00322CA7" w:rsidRPr="006D71C7">
        <w:rPr>
          <w:b w:val="0"/>
          <w:i/>
          <w:color w:val="auto"/>
          <w:sz w:val="20"/>
          <w:szCs w:val="20"/>
        </w:rPr>
        <w:t>Odniesienie osi priorytetowych RPO WSL do Strategii UE dla Regionu Morza Bałtyckiego</w:t>
      </w:r>
      <w:bookmarkEnd w:id="183"/>
      <w:bookmarkEnd w:id="184"/>
      <w:bookmarkEnd w:id="185"/>
    </w:p>
    <w:tbl>
      <w:tblPr>
        <w:tblpPr w:leftFromText="141" w:rightFromText="141" w:vertAnchor="text" w:tblpXSpec="center"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29B" w:themeFill="accent1" w:themeFillTint="66"/>
        <w:tblLook w:val="01E0" w:firstRow="1" w:lastRow="1" w:firstColumn="1" w:lastColumn="1" w:noHBand="0" w:noVBand="0"/>
      </w:tblPr>
      <w:tblGrid>
        <w:gridCol w:w="5422"/>
        <w:gridCol w:w="4076"/>
      </w:tblGrid>
      <w:tr w:rsidR="00CA5E40" w:rsidRPr="006D71C7" w:rsidTr="00F26527">
        <w:tc>
          <w:tcPr>
            <w:tcW w:w="5422" w:type="dxa"/>
            <w:shd w:val="clear" w:color="auto" w:fill="F4B29B" w:themeFill="accent1" w:themeFillTint="66"/>
            <w:vAlign w:val="center"/>
          </w:tcPr>
          <w:p w:rsidR="00C43B75" w:rsidRDefault="00CA5E40" w:rsidP="00C43B75">
            <w:pPr>
              <w:spacing w:before="120"/>
              <w:jc w:val="center"/>
              <w:rPr>
                <w:b/>
                <w:sz w:val="20"/>
                <w:szCs w:val="20"/>
              </w:rPr>
            </w:pPr>
            <w:r w:rsidRPr="006D71C7">
              <w:rPr>
                <w:b/>
                <w:sz w:val="20"/>
                <w:szCs w:val="20"/>
              </w:rPr>
              <w:t>OBSZARY PRIORYTETOWE</w:t>
            </w:r>
          </w:p>
          <w:p w:rsidR="00C43B75" w:rsidRDefault="00CA5E40" w:rsidP="00C43B75">
            <w:pPr>
              <w:jc w:val="center"/>
              <w:rPr>
                <w:b/>
                <w:sz w:val="20"/>
                <w:szCs w:val="20"/>
              </w:rPr>
            </w:pPr>
            <w:r w:rsidRPr="006D71C7">
              <w:rPr>
                <w:b/>
                <w:sz w:val="20"/>
                <w:szCs w:val="20"/>
              </w:rPr>
              <w:t>Strategii UE dla regionu Morza Bałtyckiego</w:t>
            </w:r>
          </w:p>
        </w:tc>
        <w:tc>
          <w:tcPr>
            <w:tcW w:w="4076" w:type="dxa"/>
            <w:tcBorders>
              <w:bottom w:val="single" w:sz="4" w:space="0" w:color="auto"/>
            </w:tcBorders>
            <w:shd w:val="clear" w:color="auto" w:fill="F4B29B" w:themeFill="accent1" w:themeFillTint="66"/>
          </w:tcPr>
          <w:p w:rsidR="00C43B75" w:rsidRDefault="00C43B75" w:rsidP="00C43B75">
            <w:pPr>
              <w:spacing w:after="0" w:line="240" w:lineRule="auto"/>
              <w:jc w:val="center"/>
              <w:rPr>
                <w:b/>
                <w:sz w:val="20"/>
                <w:szCs w:val="20"/>
              </w:rPr>
            </w:pPr>
          </w:p>
          <w:p w:rsidR="00C43B75" w:rsidRDefault="00CA5E40" w:rsidP="00C43B75">
            <w:pPr>
              <w:spacing w:after="0" w:line="240" w:lineRule="auto"/>
              <w:jc w:val="center"/>
              <w:rPr>
                <w:b/>
                <w:sz w:val="20"/>
                <w:szCs w:val="20"/>
              </w:rPr>
            </w:pPr>
            <w:r w:rsidRPr="006D71C7">
              <w:rPr>
                <w:b/>
                <w:sz w:val="20"/>
                <w:szCs w:val="20"/>
              </w:rPr>
              <w:t>OSIE PRIORYTETOWE/</w:t>
            </w:r>
          </w:p>
          <w:p w:rsidR="00C43B75" w:rsidRDefault="00CA5E40" w:rsidP="00C43B75">
            <w:pPr>
              <w:spacing w:after="0" w:line="240" w:lineRule="auto"/>
              <w:jc w:val="center"/>
              <w:rPr>
                <w:b/>
                <w:sz w:val="20"/>
                <w:szCs w:val="20"/>
              </w:rPr>
            </w:pPr>
            <w:r w:rsidRPr="006D71C7">
              <w:rPr>
                <w:b/>
                <w:sz w:val="20"/>
                <w:szCs w:val="20"/>
              </w:rPr>
              <w:t>DZIAŁANIA/</w:t>
            </w:r>
          </w:p>
          <w:p w:rsidR="00C43B75" w:rsidRDefault="00CA5E40" w:rsidP="00C43B75">
            <w:pPr>
              <w:spacing w:after="0" w:line="240" w:lineRule="auto"/>
              <w:jc w:val="center"/>
              <w:rPr>
                <w:b/>
                <w:sz w:val="20"/>
                <w:szCs w:val="20"/>
              </w:rPr>
            </w:pPr>
            <w:r w:rsidRPr="006D71C7">
              <w:rPr>
                <w:b/>
                <w:sz w:val="20"/>
                <w:szCs w:val="20"/>
              </w:rPr>
              <w:t>PODDZIAŁANIA RPO WSL</w:t>
            </w:r>
          </w:p>
        </w:tc>
      </w:tr>
      <w:tr w:rsidR="00CA5E40" w:rsidRPr="006D71C7" w:rsidTr="00081212">
        <w:trPr>
          <w:cantSplit/>
          <w:trHeight w:val="1617"/>
        </w:trPr>
        <w:tc>
          <w:tcPr>
            <w:tcW w:w="5422" w:type="dxa"/>
            <w:shd w:val="clear" w:color="auto" w:fill="F4B29B" w:themeFill="accent1" w:themeFillTint="66"/>
            <w:vAlign w:val="center"/>
          </w:tcPr>
          <w:p w:rsidR="00C43B75" w:rsidRDefault="00CA5E40" w:rsidP="00C43B75">
            <w:pPr>
              <w:spacing w:after="0" w:line="240" w:lineRule="auto"/>
              <w:jc w:val="both"/>
              <w:rPr>
                <w:sz w:val="20"/>
                <w:szCs w:val="20"/>
              </w:rPr>
            </w:pPr>
            <w:r w:rsidRPr="006D71C7">
              <w:rPr>
                <w:b/>
                <w:sz w:val="20"/>
                <w:szCs w:val="20"/>
              </w:rPr>
              <w:t>Obszar priorytetowy 7:</w:t>
            </w:r>
            <w:r w:rsidRPr="006D71C7">
              <w:rPr>
                <w:sz w:val="20"/>
                <w:szCs w:val="20"/>
              </w:rPr>
              <w:t xml:space="preserve"> Wykorzystanie pełnego potencjału regionu w zakresie badań i innowacji</w:t>
            </w:r>
          </w:p>
          <w:p w:rsidR="00C43B75" w:rsidRDefault="00CA5E40" w:rsidP="00C43B75">
            <w:pPr>
              <w:spacing w:after="0" w:line="240" w:lineRule="auto"/>
              <w:jc w:val="both"/>
              <w:rPr>
                <w:sz w:val="20"/>
                <w:szCs w:val="20"/>
              </w:rPr>
            </w:pPr>
            <w:r w:rsidRPr="006D71C7">
              <w:rPr>
                <w:b/>
                <w:sz w:val="20"/>
                <w:szCs w:val="20"/>
              </w:rPr>
              <w:t>Obszar priorytetowy 8</w:t>
            </w:r>
            <w:r w:rsidRPr="006D71C7">
              <w:rPr>
                <w:sz w:val="20"/>
                <w:szCs w:val="20"/>
              </w:rPr>
              <w:t xml:space="preserve">: Wdrożenie Small Business Act: promocja przedsiębiorczości, wzmocnienie MŚP oraz podniesienie poziomu efektywnego wykorzystania zasobów ludzkich  </w:t>
            </w:r>
          </w:p>
        </w:tc>
        <w:tc>
          <w:tcPr>
            <w:tcW w:w="4076" w:type="dxa"/>
            <w:shd w:val="clear" w:color="auto" w:fill="F9D8CD" w:themeFill="accent1" w:themeFillTint="33"/>
            <w:vAlign w:val="center"/>
          </w:tcPr>
          <w:p w:rsidR="00C43B75" w:rsidRDefault="00CA5E40" w:rsidP="00C43B75">
            <w:pPr>
              <w:spacing w:after="0" w:line="240" w:lineRule="auto"/>
              <w:jc w:val="both"/>
              <w:rPr>
                <w:b/>
                <w:sz w:val="20"/>
                <w:szCs w:val="20"/>
              </w:rPr>
            </w:pPr>
            <w:r w:rsidRPr="006D71C7">
              <w:rPr>
                <w:b/>
                <w:sz w:val="20"/>
                <w:szCs w:val="20"/>
              </w:rPr>
              <w:t>Badanie i rozwój technologiczny (B+R);</w:t>
            </w:r>
          </w:p>
          <w:p w:rsidR="00C43B75" w:rsidRDefault="00CA5E40" w:rsidP="00C43B75">
            <w:pPr>
              <w:spacing w:after="0" w:line="240" w:lineRule="auto"/>
              <w:jc w:val="both"/>
              <w:rPr>
                <w:sz w:val="20"/>
                <w:szCs w:val="20"/>
              </w:rPr>
            </w:pPr>
            <w:r w:rsidRPr="006D71C7">
              <w:rPr>
                <w:b/>
                <w:sz w:val="20"/>
                <w:szCs w:val="20"/>
              </w:rPr>
              <w:t>innowacje i przedsiębiorczość (</w:t>
            </w:r>
            <w:r w:rsidRPr="006D71C7">
              <w:rPr>
                <w:sz w:val="20"/>
                <w:szCs w:val="20"/>
              </w:rPr>
              <w:t xml:space="preserve"> </w:t>
            </w:r>
            <w:r w:rsidR="00460F49" w:rsidRPr="006D71C7">
              <w:rPr>
                <w:sz w:val="20"/>
                <w:szCs w:val="20"/>
              </w:rPr>
              <w:t>d</w:t>
            </w:r>
            <w:r w:rsidRPr="006D71C7">
              <w:rPr>
                <w:sz w:val="20"/>
                <w:szCs w:val="20"/>
              </w:rPr>
              <w:t xml:space="preserve">ziałanie 1.3 Transfer technologii i innowacji, </w:t>
            </w:r>
            <w:r w:rsidR="00460F49" w:rsidRPr="006D71C7">
              <w:rPr>
                <w:sz w:val="20"/>
                <w:szCs w:val="20"/>
              </w:rPr>
              <w:t>d</w:t>
            </w:r>
            <w:r w:rsidRPr="006D71C7">
              <w:rPr>
                <w:sz w:val="20"/>
                <w:szCs w:val="20"/>
              </w:rPr>
              <w:t>ziałanie 1.2 Mikroprzedsiębiorstwa i MŚP)</w:t>
            </w:r>
          </w:p>
          <w:p w:rsidR="00C43B75" w:rsidRDefault="00C43B75" w:rsidP="00C43B75">
            <w:pPr>
              <w:spacing w:after="0" w:line="240" w:lineRule="auto"/>
              <w:jc w:val="both"/>
              <w:rPr>
                <w:sz w:val="20"/>
                <w:szCs w:val="20"/>
              </w:rPr>
            </w:pPr>
          </w:p>
        </w:tc>
      </w:tr>
      <w:tr w:rsidR="00CA5E40" w:rsidRPr="006D71C7" w:rsidTr="00081212">
        <w:trPr>
          <w:trHeight w:val="847"/>
        </w:trPr>
        <w:tc>
          <w:tcPr>
            <w:tcW w:w="5422" w:type="dxa"/>
            <w:shd w:val="clear" w:color="auto" w:fill="F4B29B" w:themeFill="accent1" w:themeFillTint="66"/>
            <w:vAlign w:val="center"/>
          </w:tcPr>
          <w:p w:rsidR="00C43B75" w:rsidRDefault="00CA5E40" w:rsidP="00C43B75">
            <w:pPr>
              <w:spacing w:after="0" w:line="240" w:lineRule="auto"/>
              <w:jc w:val="both"/>
              <w:rPr>
                <w:sz w:val="20"/>
                <w:szCs w:val="20"/>
              </w:rPr>
            </w:pPr>
            <w:r w:rsidRPr="006D71C7">
              <w:rPr>
                <w:b/>
                <w:sz w:val="20"/>
                <w:szCs w:val="20"/>
              </w:rPr>
              <w:t>Obszar priorytetowy 12</w:t>
            </w:r>
            <w:r w:rsidRPr="006D71C7">
              <w:rPr>
                <w:sz w:val="20"/>
                <w:szCs w:val="20"/>
              </w:rPr>
              <w:t>: Utrzymanie i wzmocnienie atrakcyjności Regionu Morza Bałtyckiego w szczególności poprzez edukację, turystykę i poziom zdrowotności</w:t>
            </w:r>
          </w:p>
        </w:tc>
        <w:tc>
          <w:tcPr>
            <w:tcW w:w="4076" w:type="dxa"/>
            <w:shd w:val="clear" w:color="auto" w:fill="F9D8CD" w:themeFill="accent1" w:themeFillTint="33"/>
            <w:vAlign w:val="center"/>
          </w:tcPr>
          <w:p w:rsidR="00C43B75" w:rsidRDefault="00CA5E40" w:rsidP="00C43B75">
            <w:pPr>
              <w:spacing w:after="0" w:line="240" w:lineRule="auto"/>
              <w:jc w:val="both"/>
              <w:rPr>
                <w:b/>
                <w:sz w:val="20"/>
                <w:szCs w:val="20"/>
              </w:rPr>
            </w:pPr>
            <w:r w:rsidRPr="006D71C7">
              <w:rPr>
                <w:b/>
                <w:sz w:val="20"/>
                <w:szCs w:val="20"/>
              </w:rPr>
              <w:t>Społeczeństwo informacyjne (</w:t>
            </w:r>
            <w:r w:rsidRPr="006D71C7">
              <w:rPr>
                <w:sz w:val="20"/>
                <w:szCs w:val="20"/>
              </w:rPr>
              <w:t xml:space="preserve"> </w:t>
            </w:r>
            <w:r w:rsidR="00460F49" w:rsidRPr="006D71C7">
              <w:rPr>
                <w:sz w:val="20"/>
                <w:szCs w:val="20"/>
              </w:rPr>
              <w:t>d</w:t>
            </w:r>
            <w:r w:rsidRPr="006D71C7">
              <w:rPr>
                <w:sz w:val="20"/>
                <w:szCs w:val="20"/>
              </w:rPr>
              <w:t>ziałanie 2.2 Rozwój elektronicznych usług publicznych)</w:t>
            </w:r>
          </w:p>
        </w:tc>
      </w:tr>
      <w:tr w:rsidR="00CA5E40" w:rsidRPr="006D71C7" w:rsidTr="00081212">
        <w:trPr>
          <w:trHeight w:val="2111"/>
        </w:trPr>
        <w:tc>
          <w:tcPr>
            <w:tcW w:w="5422" w:type="dxa"/>
            <w:shd w:val="clear" w:color="auto" w:fill="F4B29B" w:themeFill="accent1" w:themeFillTint="66"/>
            <w:vAlign w:val="center"/>
          </w:tcPr>
          <w:p w:rsidR="00C43B75" w:rsidRDefault="00CA5E40" w:rsidP="00C43B75">
            <w:pPr>
              <w:spacing w:after="0" w:line="240" w:lineRule="auto"/>
              <w:jc w:val="both"/>
              <w:rPr>
                <w:sz w:val="20"/>
                <w:szCs w:val="20"/>
              </w:rPr>
            </w:pPr>
            <w:r w:rsidRPr="006D71C7">
              <w:rPr>
                <w:b/>
                <w:sz w:val="20"/>
                <w:szCs w:val="20"/>
              </w:rPr>
              <w:t>Obszar priorytetowy 8</w:t>
            </w:r>
            <w:r w:rsidRPr="006D71C7">
              <w:rPr>
                <w:sz w:val="20"/>
                <w:szCs w:val="20"/>
              </w:rPr>
              <w:t xml:space="preserve">: Wdrożenie Small Business Act: promocja przedsiębiorczości, wzmocnienie MŚP oraz podniesienie poziomu efektywnego wykorzystania zasobów ludzkich  </w:t>
            </w:r>
          </w:p>
          <w:p w:rsidR="00C43B75" w:rsidRDefault="00CA5E40" w:rsidP="00C43B75">
            <w:pPr>
              <w:spacing w:after="0" w:line="240" w:lineRule="auto"/>
              <w:jc w:val="both"/>
              <w:rPr>
                <w:sz w:val="20"/>
                <w:szCs w:val="20"/>
              </w:rPr>
            </w:pPr>
            <w:r w:rsidRPr="006D71C7">
              <w:rPr>
                <w:b/>
                <w:sz w:val="20"/>
                <w:szCs w:val="20"/>
              </w:rPr>
              <w:t>Obszar priorytetowy 12</w:t>
            </w:r>
            <w:r w:rsidRPr="006D71C7">
              <w:rPr>
                <w:sz w:val="20"/>
                <w:szCs w:val="20"/>
              </w:rPr>
              <w:t>: Utrzymanie i wzmocnienie atrakcyjności Regionu Morza Bałtyckiego w szczególności poprzez edukację, turystykę i poziom zdrowotności</w:t>
            </w:r>
          </w:p>
        </w:tc>
        <w:tc>
          <w:tcPr>
            <w:tcW w:w="4076" w:type="dxa"/>
            <w:shd w:val="clear" w:color="auto" w:fill="F9D8CD" w:themeFill="accent1" w:themeFillTint="33"/>
            <w:vAlign w:val="center"/>
          </w:tcPr>
          <w:p w:rsidR="00C43B75" w:rsidRDefault="00CA5E40" w:rsidP="00C43B75">
            <w:pPr>
              <w:spacing w:after="0" w:line="240" w:lineRule="auto"/>
              <w:rPr>
                <w:sz w:val="20"/>
                <w:szCs w:val="20"/>
              </w:rPr>
            </w:pPr>
            <w:r w:rsidRPr="006D71C7">
              <w:rPr>
                <w:b/>
                <w:sz w:val="20"/>
                <w:szCs w:val="20"/>
              </w:rPr>
              <w:t>Turystyka (</w:t>
            </w:r>
            <w:r w:rsidR="00460F49" w:rsidRPr="006D71C7">
              <w:rPr>
                <w:sz w:val="20"/>
                <w:szCs w:val="20"/>
              </w:rPr>
              <w:t>p</w:t>
            </w:r>
            <w:r w:rsidRPr="006D71C7">
              <w:rPr>
                <w:sz w:val="20"/>
                <w:szCs w:val="20"/>
              </w:rPr>
              <w:t>oddziałanie 3.1.1 Infrastruktura zaplecza turystycznego/ przedsiębiorstwa</w:t>
            </w:r>
          </w:p>
          <w:p w:rsidR="00C43B75" w:rsidRDefault="00460F49" w:rsidP="00C43B75">
            <w:pPr>
              <w:spacing w:after="0" w:line="240" w:lineRule="auto"/>
              <w:rPr>
                <w:sz w:val="20"/>
                <w:szCs w:val="20"/>
              </w:rPr>
            </w:pPr>
            <w:r w:rsidRPr="006D71C7">
              <w:rPr>
                <w:sz w:val="20"/>
                <w:szCs w:val="20"/>
              </w:rPr>
              <w:t>p</w:t>
            </w:r>
            <w:r w:rsidR="00CA5E40" w:rsidRPr="006D71C7">
              <w:rPr>
                <w:sz w:val="20"/>
                <w:szCs w:val="20"/>
              </w:rPr>
              <w:t>oddziałanie 3.2.1 Infrastruktura okołoturystyczna/ przedsiębiorstwa</w:t>
            </w:r>
          </w:p>
          <w:p w:rsidR="00C43B75" w:rsidRDefault="00460F49" w:rsidP="00C43B75">
            <w:pPr>
              <w:spacing w:after="0" w:line="240" w:lineRule="auto"/>
              <w:rPr>
                <w:sz w:val="20"/>
                <w:szCs w:val="20"/>
              </w:rPr>
            </w:pPr>
            <w:r w:rsidRPr="006D71C7">
              <w:rPr>
                <w:sz w:val="20"/>
                <w:szCs w:val="20"/>
              </w:rPr>
              <w:t>p</w:t>
            </w:r>
            <w:r w:rsidR="00CA5E40" w:rsidRPr="006D71C7">
              <w:rPr>
                <w:sz w:val="20"/>
                <w:szCs w:val="20"/>
              </w:rPr>
              <w:t>oddziałanie 3.1.2 Infrastruktura zaplecza turystycznego/ podmioty publiczne</w:t>
            </w:r>
          </w:p>
          <w:p w:rsidR="00C43B75" w:rsidRDefault="00460F49" w:rsidP="00C43B75">
            <w:pPr>
              <w:spacing w:after="0" w:line="240" w:lineRule="auto"/>
              <w:rPr>
                <w:b/>
                <w:sz w:val="20"/>
                <w:szCs w:val="20"/>
              </w:rPr>
            </w:pPr>
            <w:r w:rsidRPr="006D71C7">
              <w:rPr>
                <w:sz w:val="20"/>
                <w:szCs w:val="20"/>
              </w:rPr>
              <w:t>p</w:t>
            </w:r>
            <w:r w:rsidR="00CA5E40" w:rsidRPr="006D71C7">
              <w:rPr>
                <w:sz w:val="20"/>
                <w:szCs w:val="20"/>
              </w:rPr>
              <w:t>oddziałanie 3.2.2 Infrastruktura okołoturystyczna/ podmioty publiczne)</w:t>
            </w:r>
          </w:p>
        </w:tc>
      </w:tr>
      <w:tr w:rsidR="00CA5E40" w:rsidRPr="006D71C7" w:rsidTr="00081212">
        <w:trPr>
          <w:trHeight w:val="864"/>
        </w:trPr>
        <w:tc>
          <w:tcPr>
            <w:tcW w:w="5422" w:type="dxa"/>
            <w:shd w:val="clear" w:color="auto" w:fill="F4B29B" w:themeFill="accent1" w:themeFillTint="66"/>
            <w:vAlign w:val="center"/>
          </w:tcPr>
          <w:p w:rsidR="00C43B75" w:rsidRDefault="00CA5E40" w:rsidP="00C43B75">
            <w:pPr>
              <w:spacing w:after="0" w:line="240" w:lineRule="auto"/>
              <w:jc w:val="both"/>
              <w:rPr>
                <w:sz w:val="20"/>
                <w:szCs w:val="20"/>
              </w:rPr>
            </w:pPr>
            <w:r w:rsidRPr="006D71C7">
              <w:rPr>
                <w:b/>
                <w:sz w:val="20"/>
                <w:szCs w:val="20"/>
              </w:rPr>
              <w:t>Obszar priorytetowy 12:</w:t>
            </w:r>
            <w:r w:rsidRPr="006D71C7">
              <w:rPr>
                <w:sz w:val="20"/>
                <w:szCs w:val="20"/>
              </w:rPr>
              <w:t xml:space="preserve"> Utrzymanie i wzmocnienie atrakcyjności Regionu Morza Bałtyckiego w szczególności poprzez edukację, turystykę i poziom zdrowotności</w:t>
            </w:r>
          </w:p>
        </w:tc>
        <w:tc>
          <w:tcPr>
            <w:tcW w:w="4076" w:type="dxa"/>
            <w:shd w:val="clear" w:color="auto" w:fill="F9D8CD" w:themeFill="accent1" w:themeFillTint="33"/>
            <w:vAlign w:val="center"/>
          </w:tcPr>
          <w:p w:rsidR="00C43B75" w:rsidRDefault="00CA5E40" w:rsidP="00C43B75">
            <w:pPr>
              <w:spacing w:after="0" w:line="240" w:lineRule="auto"/>
              <w:jc w:val="both"/>
              <w:rPr>
                <w:b/>
                <w:sz w:val="20"/>
                <w:szCs w:val="20"/>
              </w:rPr>
            </w:pPr>
            <w:r w:rsidRPr="006D71C7">
              <w:rPr>
                <w:b/>
                <w:sz w:val="20"/>
                <w:szCs w:val="20"/>
              </w:rPr>
              <w:t>Kultura (</w:t>
            </w:r>
            <w:r w:rsidRPr="006D71C7">
              <w:rPr>
                <w:sz w:val="20"/>
                <w:szCs w:val="20"/>
              </w:rPr>
              <w:t xml:space="preserve"> </w:t>
            </w:r>
            <w:r w:rsidR="00460F49" w:rsidRPr="006D71C7">
              <w:rPr>
                <w:sz w:val="20"/>
                <w:szCs w:val="20"/>
              </w:rPr>
              <w:t>d</w:t>
            </w:r>
            <w:r w:rsidRPr="006D71C7">
              <w:rPr>
                <w:sz w:val="20"/>
                <w:szCs w:val="20"/>
              </w:rPr>
              <w:t>ziałanie 4.2 Systemy informacji kulturalnej)</w:t>
            </w:r>
          </w:p>
        </w:tc>
      </w:tr>
      <w:tr w:rsidR="00CA5E40" w:rsidRPr="006D71C7" w:rsidTr="00081212">
        <w:trPr>
          <w:trHeight w:val="1559"/>
        </w:trPr>
        <w:tc>
          <w:tcPr>
            <w:tcW w:w="5422" w:type="dxa"/>
            <w:shd w:val="clear" w:color="auto" w:fill="F4B29B" w:themeFill="accent1" w:themeFillTint="66"/>
            <w:vAlign w:val="center"/>
          </w:tcPr>
          <w:p w:rsidR="00C43B75" w:rsidRDefault="00CA5E40" w:rsidP="00C43B75">
            <w:pPr>
              <w:spacing w:after="0" w:line="240" w:lineRule="auto"/>
              <w:jc w:val="both"/>
              <w:rPr>
                <w:sz w:val="20"/>
                <w:szCs w:val="20"/>
              </w:rPr>
            </w:pPr>
            <w:r w:rsidRPr="006D71C7">
              <w:rPr>
                <w:b/>
                <w:sz w:val="20"/>
                <w:szCs w:val="20"/>
              </w:rPr>
              <w:t>Obszar priorytetowy 2</w:t>
            </w:r>
            <w:r w:rsidRPr="006D71C7">
              <w:rPr>
                <w:sz w:val="20"/>
                <w:szCs w:val="20"/>
              </w:rPr>
              <w:t>: Zachowanie stref przyrodniczych oraz bioróżnorodności, uwzględniając łowiska morskie</w:t>
            </w:r>
          </w:p>
          <w:p w:rsidR="00C43B75" w:rsidRDefault="00CA5E40" w:rsidP="00C43B75">
            <w:pPr>
              <w:spacing w:after="0" w:line="240" w:lineRule="auto"/>
              <w:jc w:val="both"/>
              <w:rPr>
                <w:sz w:val="20"/>
                <w:szCs w:val="20"/>
              </w:rPr>
            </w:pPr>
            <w:r w:rsidRPr="006D71C7">
              <w:rPr>
                <w:b/>
                <w:sz w:val="20"/>
                <w:szCs w:val="20"/>
              </w:rPr>
              <w:t>Obszar priorytetowy 3</w:t>
            </w:r>
            <w:r w:rsidRPr="006D71C7">
              <w:rPr>
                <w:sz w:val="20"/>
                <w:szCs w:val="20"/>
              </w:rPr>
              <w:t xml:space="preserve">: Redukcja użytkowania oraz wpływu substancji niebezpiecznych </w:t>
            </w:r>
          </w:p>
          <w:p w:rsidR="00C43B75" w:rsidRDefault="00CA5E40" w:rsidP="00C43B75">
            <w:pPr>
              <w:spacing w:after="0" w:line="240" w:lineRule="auto"/>
              <w:jc w:val="both"/>
              <w:rPr>
                <w:sz w:val="20"/>
                <w:szCs w:val="20"/>
              </w:rPr>
            </w:pPr>
            <w:r w:rsidRPr="006D71C7">
              <w:rPr>
                <w:b/>
                <w:sz w:val="20"/>
                <w:szCs w:val="20"/>
              </w:rPr>
              <w:t>Obszar priorytetowy 10</w:t>
            </w:r>
            <w:r w:rsidRPr="006D71C7">
              <w:rPr>
                <w:sz w:val="20"/>
                <w:szCs w:val="20"/>
              </w:rPr>
              <w:t>: Poprawa dostępności, efektywności i bezpieczeństwa rynków energetycznych</w:t>
            </w:r>
          </w:p>
        </w:tc>
        <w:tc>
          <w:tcPr>
            <w:tcW w:w="4076" w:type="dxa"/>
            <w:shd w:val="clear" w:color="auto" w:fill="F9D8CD" w:themeFill="accent1" w:themeFillTint="33"/>
            <w:vAlign w:val="center"/>
          </w:tcPr>
          <w:p w:rsidR="00C43B75" w:rsidRDefault="00CA5E40" w:rsidP="00C43B75">
            <w:pPr>
              <w:spacing w:after="0" w:line="240" w:lineRule="auto"/>
              <w:jc w:val="both"/>
              <w:rPr>
                <w:sz w:val="20"/>
                <w:szCs w:val="20"/>
              </w:rPr>
            </w:pPr>
            <w:r w:rsidRPr="006D71C7">
              <w:rPr>
                <w:b/>
                <w:sz w:val="20"/>
                <w:szCs w:val="20"/>
              </w:rPr>
              <w:t>Środowisko (</w:t>
            </w:r>
            <w:r w:rsidRPr="006D71C7">
              <w:rPr>
                <w:sz w:val="20"/>
                <w:szCs w:val="20"/>
              </w:rPr>
              <w:t xml:space="preserve"> </w:t>
            </w:r>
            <w:r w:rsidR="00460F49" w:rsidRPr="006D71C7">
              <w:rPr>
                <w:sz w:val="20"/>
                <w:szCs w:val="20"/>
              </w:rPr>
              <w:t>d</w:t>
            </w:r>
            <w:r w:rsidRPr="006D71C7">
              <w:rPr>
                <w:sz w:val="20"/>
                <w:szCs w:val="20"/>
              </w:rPr>
              <w:t>ziałanie 5.1 Gospodarka wodno –ściekowa</w:t>
            </w:r>
          </w:p>
          <w:p w:rsidR="00C43B75" w:rsidRDefault="00460F49" w:rsidP="00C43B75">
            <w:pPr>
              <w:spacing w:after="0" w:line="240" w:lineRule="auto"/>
              <w:jc w:val="both"/>
              <w:rPr>
                <w:sz w:val="20"/>
                <w:szCs w:val="20"/>
              </w:rPr>
            </w:pPr>
            <w:r w:rsidRPr="006D71C7">
              <w:rPr>
                <w:sz w:val="20"/>
                <w:szCs w:val="20"/>
              </w:rPr>
              <w:t>d</w:t>
            </w:r>
            <w:r w:rsidR="00CA5E40" w:rsidRPr="006D71C7">
              <w:rPr>
                <w:sz w:val="20"/>
                <w:szCs w:val="20"/>
              </w:rPr>
              <w:t>ziałanie 5.2 Gospodarka odpadami</w:t>
            </w:r>
          </w:p>
          <w:p w:rsidR="00C43B75" w:rsidRDefault="00460F49" w:rsidP="00C43B75">
            <w:pPr>
              <w:spacing w:after="0" w:line="240" w:lineRule="auto"/>
              <w:jc w:val="both"/>
              <w:rPr>
                <w:b/>
                <w:sz w:val="20"/>
                <w:szCs w:val="20"/>
              </w:rPr>
            </w:pPr>
            <w:r w:rsidRPr="006D71C7">
              <w:rPr>
                <w:sz w:val="20"/>
                <w:szCs w:val="20"/>
              </w:rPr>
              <w:t>d</w:t>
            </w:r>
            <w:r w:rsidR="00CA5E40" w:rsidRPr="006D71C7">
              <w:rPr>
                <w:sz w:val="20"/>
                <w:szCs w:val="20"/>
              </w:rPr>
              <w:t>ziałanie 5.3 Czyste powietrze i odnawialne źródła energii)</w:t>
            </w:r>
          </w:p>
        </w:tc>
      </w:tr>
      <w:tr w:rsidR="00CA5E40" w:rsidRPr="006D71C7" w:rsidTr="00081212">
        <w:trPr>
          <w:cantSplit/>
          <w:trHeight w:val="1140"/>
        </w:trPr>
        <w:tc>
          <w:tcPr>
            <w:tcW w:w="5422" w:type="dxa"/>
            <w:shd w:val="clear" w:color="auto" w:fill="F4B29B" w:themeFill="accent1" w:themeFillTint="66"/>
            <w:vAlign w:val="center"/>
          </w:tcPr>
          <w:p w:rsidR="00C43B75" w:rsidRDefault="00CA5E40" w:rsidP="00C43B75">
            <w:pPr>
              <w:spacing w:after="0" w:line="240" w:lineRule="auto"/>
              <w:jc w:val="both"/>
              <w:rPr>
                <w:sz w:val="20"/>
                <w:szCs w:val="20"/>
              </w:rPr>
            </w:pPr>
            <w:r w:rsidRPr="006D71C7">
              <w:rPr>
                <w:b/>
                <w:sz w:val="20"/>
                <w:szCs w:val="20"/>
              </w:rPr>
              <w:t>Obszar priorytetowy 8:</w:t>
            </w:r>
            <w:r w:rsidRPr="006D71C7">
              <w:rPr>
                <w:sz w:val="20"/>
                <w:szCs w:val="20"/>
              </w:rPr>
              <w:t xml:space="preserve"> Wdrożenie Small Business Act: promocja przedsiębiorczości, wzmocnienie MŚP oraz podniesienie poziomu efektywnego wykorzystania zasobów ludzkich </w:t>
            </w:r>
          </w:p>
        </w:tc>
        <w:tc>
          <w:tcPr>
            <w:tcW w:w="4076" w:type="dxa"/>
            <w:shd w:val="clear" w:color="auto" w:fill="F9D8CD" w:themeFill="accent1" w:themeFillTint="33"/>
            <w:vAlign w:val="center"/>
          </w:tcPr>
          <w:p w:rsidR="00C43B75" w:rsidRDefault="00CA5E40" w:rsidP="00C43B75">
            <w:pPr>
              <w:spacing w:after="0" w:line="240" w:lineRule="auto"/>
              <w:jc w:val="both"/>
              <w:rPr>
                <w:b/>
                <w:sz w:val="20"/>
                <w:szCs w:val="20"/>
              </w:rPr>
            </w:pPr>
            <w:r w:rsidRPr="006D71C7">
              <w:rPr>
                <w:b/>
                <w:sz w:val="20"/>
                <w:szCs w:val="20"/>
              </w:rPr>
              <w:t>Zrównoważony rozwój</w:t>
            </w:r>
            <w:r w:rsidR="000528FC" w:rsidRPr="006D71C7">
              <w:rPr>
                <w:b/>
                <w:sz w:val="20"/>
                <w:szCs w:val="20"/>
              </w:rPr>
              <w:t xml:space="preserve"> </w:t>
            </w:r>
            <w:r w:rsidRPr="006D71C7">
              <w:rPr>
                <w:b/>
                <w:sz w:val="20"/>
                <w:szCs w:val="20"/>
              </w:rPr>
              <w:t>Miast (</w:t>
            </w:r>
            <w:r w:rsidRPr="006D71C7">
              <w:rPr>
                <w:sz w:val="20"/>
                <w:szCs w:val="20"/>
              </w:rPr>
              <w:t xml:space="preserve"> </w:t>
            </w:r>
            <w:r w:rsidR="00460F49" w:rsidRPr="006D71C7">
              <w:rPr>
                <w:sz w:val="20"/>
                <w:szCs w:val="20"/>
              </w:rPr>
              <w:t>p</w:t>
            </w:r>
            <w:r w:rsidRPr="006D71C7">
              <w:rPr>
                <w:sz w:val="20"/>
                <w:szCs w:val="20"/>
              </w:rPr>
              <w:t>oddziałanie 6.2.1 Rewitalizacja – „duże miasta”)</w:t>
            </w:r>
          </w:p>
        </w:tc>
      </w:tr>
      <w:tr w:rsidR="00CA5E40" w:rsidRPr="006D71C7" w:rsidTr="00081212">
        <w:trPr>
          <w:trHeight w:val="1493"/>
        </w:trPr>
        <w:tc>
          <w:tcPr>
            <w:tcW w:w="5422" w:type="dxa"/>
            <w:shd w:val="clear" w:color="auto" w:fill="F4B29B" w:themeFill="accent1" w:themeFillTint="66"/>
            <w:vAlign w:val="center"/>
          </w:tcPr>
          <w:p w:rsidR="00C43B75" w:rsidRDefault="00CA5E40" w:rsidP="00C43B75">
            <w:pPr>
              <w:spacing w:after="0" w:line="240" w:lineRule="auto"/>
              <w:jc w:val="both"/>
              <w:rPr>
                <w:sz w:val="20"/>
                <w:szCs w:val="20"/>
              </w:rPr>
            </w:pPr>
            <w:r w:rsidRPr="006D71C7">
              <w:rPr>
                <w:b/>
                <w:sz w:val="20"/>
                <w:szCs w:val="20"/>
              </w:rPr>
              <w:t>Obszar priorytetowy 11</w:t>
            </w:r>
            <w:r w:rsidRPr="006D71C7">
              <w:rPr>
                <w:sz w:val="20"/>
                <w:szCs w:val="20"/>
              </w:rPr>
              <w:t>: Wzmocnienie wewnętrznych i zewnętrznych połączeń transportowych</w:t>
            </w:r>
          </w:p>
          <w:p w:rsidR="00C43B75" w:rsidRDefault="00CA5E40" w:rsidP="00C43B75">
            <w:pPr>
              <w:spacing w:after="0" w:line="240" w:lineRule="auto"/>
              <w:jc w:val="both"/>
              <w:rPr>
                <w:sz w:val="20"/>
                <w:szCs w:val="20"/>
              </w:rPr>
            </w:pPr>
            <w:r w:rsidRPr="006D71C7">
              <w:rPr>
                <w:b/>
                <w:sz w:val="20"/>
                <w:szCs w:val="20"/>
              </w:rPr>
              <w:t>Obszar priorytetowy 12:</w:t>
            </w:r>
            <w:r w:rsidRPr="006D71C7">
              <w:rPr>
                <w:sz w:val="20"/>
                <w:szCs w:val="20"/>
              </w:rPr>
              <w:t xml:space="preserve"> Utrzymanie i wzmocnienie atrakcyjności Regionu Morza Bałtyckiego w szczególności poprzez edukację, turystykę i poziom zdrowotności</w:t>
            </w:r>
          </w:p>
        </w:tc>
        <w:tc>
          <w:tcPr>
            <w:tcW w:w="4076" w:type="dxa"/>
            <w:shd w:val="clear" w:color="auto" w:fill="F9D8CD" w:themeFill="accent1" w:themeFillTint="33"/>
            <w:vAlign w:val="center"/>
          </w:tcPr>
          <w:p w:rsidR="00C43B75" w:rsidRDefault="00CA5E40" w:rsidP="00C43B75">
            <w:pPr>
              <w:spacing w:after="0" w:line="240" w:lineRule="auto"/>
              <w:jc w:val="both"/>
              <w:rPr>
                <w:sz w:val="20"/>
                <w:szCs w:val="20"/>
              </w:rPr>
            </w:pPr>
            <w:r w:rsidRPr="006D71C7">
              <w:rPr>
                <w:b/>
                <w:sz w:val="20"/>
                <w:szCs w:val="20"/>
              </w:rPr>
              <w:t>Transport (</w:t>
            </w:r>
            <w:r w:rsidRPr="006D71C7">
              <w:rPr>
                <w:sz w:val="20"/>
                <w:szCs w:val="20"/>
              </w:rPr>
              <w:t xml:space="preserve"> </w:t>
            </w:r>
            <w:r w:rsidR="00460F49" w:rsidRPr="006D71C7">
              <w:rPr>
                <w:sz w:val="20"/>
                <w:szCs w:val="20"/>
              </w:rPr>
              <w:t>d</w:t>
            </w:r>
            <w:r w:rsidRPr="006D71C7">
              <w:rPr>
                <w:sz w:val="20"/>
                <w:szCs w:val="20"/>
              </w:rPr>
              <w:t xml:space="preserve">ziałanie 7.1 Modernizacja i rozbudowa sieci drogowej, </w:t>
            </w:r>
            <w:r w:rsidR="00460F49" w:rsidRPr="006D71C7">
              <w:rPr>
                <w:sz w:val="20"/>
                <w:szCs w:val="20"/>
              </w:rPr>
              <w:t>d</w:t>
            </w:r>
            <w:r w:rsidRPr="006D71C7">
              <w:rPr>
                <w:sz w:val="20"/>
                <w:szCs w:val="20"/>
              </w:rPr>
              <w:t>ziałanie 7.2 Transport publiczny)</w:t>
            </w:r>
          </w:p>
        </w:tc>
      </w:tr>
      <w:tr w:rsidR="00CA5E40" w:rsidRPr="006D71C7" w:rsidTr="00081212">
        <w:trPr>
          <w:cantSplit/>
          <w:trHeight w:val="1415"/>
        </w:trPr>
        <w:tc>
          <w:tcPr>
            <w:tcW w:w="5422" w:type="dxa"/>
            <w:shd w:val="clear" w:color="auto" w:fill="F4B29B" w:themeFill="accent1" w:themeFillTint="66"/>
            <w:vAlign w:val="center"/>
          </w:tcPr>
          <w:p w:rsidR="00C43B75" w:rsidRDefault="00CA5E40" w:rsidP="00C43B75">
            <w:pPr>
              <w:spacing w:after="0" w:line="240" w:lineRule="auto"/>
              <w:jc w:val="both"/>
              <w:rPr>
                <w:sz w:val="20"/>
                <w:szCs w:val="20"/>
              </w:rPr>
            </w:pPr>
            <w:r w:rsidRPr="006D71C7">
              <w:rPr>
                <w:b/>
                <w:sz w:val="20"/>
                <w:szCs w:val="20"/>
              </w:rPr>
              <w:t>Obszar priorytetowy 12:</w:t>
            </w:r>
            <w:r w:rsidRPr="006D71C7">
              <w:rPr>
                <w:sz w:val="20"/>
                <w:szCs w:val="20"/>
              </w:rPr>
              <w:t xml:space="preserve"> Utrzymanie i wzmocnienie atrakcyjności Regionu Morza Bałtyckiego w szczególności poprzez edukację, turystykę i poziom zdrowotności</w:t>
            </w:r>
          </w:p>
        </w:tc>
        <w:tc>
          <w:tcPr>
            <w:tcW w:w="4076" w:type="dxa"/>
            <w:shd w:val="clear" w:color="auto" w:fill="F9D8CD" w:themeFill="accent1" w:themeFillTint="33"/>
            <w:vAlign w:val="center"/>
          </w:tcPr>
          <w:p w:rsidR="00C43B75" w:rsidRDefault="00CA5E40" w:rsidP="00C43B75">
            <w:pPr>
              <w:spacing w:after="0" w:line="240" w:lineRule="auto"/>
              <w:jc w:val="both"/>
              <w:rPr>
                <w:sz w:val="20"/>
                <w:szCs w:val="20"/>
              </w:rPr>
            </w:pPr>
            <w:r w:rsidRPr="006D71C7">
              <w:rPr>
                <w:b/>
                <w:sz w:val="20"/>
                <w:szCs w:val="20"/>
              </w:rPr>
              <w:t>Infrastruktura edukacyjna (</w:t>
            </w:r>
            <w:r w:rsidRPr="006D71C7">
              <w:rPr>
                <w:sz w:val="20"/>
                <w:szCs w:val="20"/>
              </w:rPr>
              <w:t xml:space="preserve"> </w:t>
            </w:r>
            <w:r w:rsidR="00460F49" w:rsidRPr="006D71C7">
              <w:rPr>
                <w:sz w:val="20"/>
                <w:szCs w:val="20"/>
              </w:rPr>
              <w:t>d</w:t>
            </w:r>
            <w:r w:rsidRPr="006D71C7">
              <w:rPr>
                <w:sz w:val="20"/>
                <w:szCs w:val="20"/>
              </w:rPr>
              <w:t>ziałania 8.1 Infrastruktura szkolnictwa wyższego</w:t>
            </w:r>
          </w:p>
          <w:p w:rsidR="00C43B75" w:rsidRDefault="00460F49" w:rsidP="00C43B75">
            <w:pPr>
              <w:spacing w:after="0" w:line="240" w:lineRule="auto"/>
              <w:jc w:val="both"/>
              <w:rPr>
                <w:sz w:val="20"/>
                <w:szCs w:val="20"/>
              </w:rPr>
            </w:pPr>
            <w:r w:rsidRPr="006D71C7">
              <w:rPr>
                <w:sz w:val="20"/>
                <w:szCs w:val="20"/>
              </w:rPr>
              <w:t>d</w:t>
            </w:r>
            <w:r w:rsidR="00CA5E40" w:rsidRPr="006D71C7">
              <w:rPr>
                <w:sz w:val="20"/>
                <w:szCs w:val="20"/>
              </w:rPr>
              <w:t xml:space="preserve">ziałania 8.2 Infrastruktura placówek oświaty, </w:t>
            </w:r>
            <w:r w:rsidRPr="006D71C7">
              <w:rPr>
                <w:sz w:val="20"/>
                <w:szCs w:val="20"/>
              </w:rPr>
              <w:t>d</w:t>
            </w:r>
            <w:r w:rsidR="00CA5E40" w:rsidRPr="006D71C7">
              <w:rPr>
                <w:sz w:val="20"/>
                <w:szCs w:val="20"/>
              </w:rPr>
              <w:t>ziałania 8.3 Infrastruktura kształcenia ustawicznego)</w:t>
            </w:r>
          </w:p>
        </w:tc>
      </w:tr>
      <w:tr w:rsidR="00CA5E40" w:rsidRPr="006D71C7" w:rsidTr="00081212">
        <w:trPr>
          <w:trHeight w:val="1273"/>
        </w:trPr>
        <w:tc>
          <w:tcPr>
            <w:tcW w:w="5422" w:type="dxa"/>
            <w:shd w:val="clear" w:color="auto" w:fill="F4B29B" w:themeFill="accent1" w:themeFillTint="66"/>
            <w:vAlign w:val="center"/>
          </w:tcPr>
          <w:p w:rsidR="00C43B75" w:rsidRDefault="00CA5E40" w:rsidP="00C43B75">
            <w:pPr>
              <w:spacing w:after="0" w:line="240" w:lineRule="auto"/>
              <w:jc w:val="both"/>
              <w:rPr>
                <w:sz w:val="20"/>
                <w:szCs w:val="20"/>
              </w:rPr>
            </w:pPr>
            <w:r w:rsidRPr="006D71C7">
              <w:rPr>
                <w:b/>
                <w:sz w:val="20"/>
                <w:szCs w:val="20"/>
              </w:rPr>
              <w:t>Obszar priorytetowy 12</w:t>
            </w:r>
            <w:r w:rsidRPr="006D71C7">
              <w:rPr>
                <w:sz w:val="20"/>
                <w:szCs w:val="20"/>
              </w:rPr>
              <w:t>: Utrzymanie i wzmocnienie atrakcyjności Regionu Morza Bałtyckiego w szczególności poprzez edukację, turystykę i poziom zdrowotności</w:t>
            </w:r>
          </w:p>
        </w:tc>
        <w:tc>
          <w:tcPr>
            <w:tcW w:w="4076" w:type="dxa"/>
            <w:shd w:val="clear" w:color="auto" w:fill="F9D8CD" w:themeFill="accent1" w:themeFillTint="33"/>
            <w:vAlign w:val="center"/>
          </w:tcPr>
          <w:p w:rsidR="00C43B75" w:rsidRDefault="00CA5E40" w:rsidP="00C43B75">
            <w:pPr>
              <w:spacing w:after="0" w:line="240" w:lineRule="auto"/>
              <w:jc w:val="both"/>
              <w:rPr>
                <w:sz w:val="20"/>
                <w:szCs w:val="20"/>
              </w:rPr>
            </w:pPr>
            <w:r w:rsidRPr="006D71C7">
              <w:rPr>
                <w:b/>
                <w:sz w:val="20"/>
                <w:szCs w:val="20"/>
              </w:rPr>
              <w:t>Zdrowie i rekreacja (</w:t>
            </w:r>
            <w:r w:rsidRPr="006D71C7">
              <w:rPr>
                <w:sz w:val="20"/>
                <w:szCs w:val="20"/>
              </w:rPr>
              <w:t xml:space="preserve"> </w:t>
            </w:r>
            <w:r w:rsidR="00460F49" w:rsidRPr="006D71C7">
              <w:rPr>
                <w:sz w:val="20"/>
                <w:szCs w:val="20"/>
              </w:rPr>
              <w:t>d</w:t>
            </w:r>
            <w:r w:rsidRPr="006D71C7">
              <w:rPr>
                <w:sz w:val="20"/>
                <w:szCs w:val="20"/>
              </w:rPr>
              <w:t xml:space="preserve">ziałanie 9.1 Infrastruktura lecznictwa zamkniętego, </w:t>
            </w:r>
            <w:r w:rsidR="00460F49" w:rsidRPr="006D71C7">
              <w:rPr>
                <w:sz w:val="20"/>
                <w:szCs w:val="20"/>
              </w:rPr>
              <w:t>d</w:t>
            </w:r>
            <w:r w:rsidRPr="006D71C7">
              <w:rPr>
                <w:sz w:val="20"/>
                <w:szCs w:val="20"/>
              </w:rPr>
              <w:t>ziałanie 9.2 Infrastruktura lecznictwa otwartego)</w:t>
            </w:r>
          </w:p>
        </w:tc>
      </w:tr>
    </w:tbl>
    <w:p w:rsidR="007016CC" w:rsidRPr="006D71C7" w:rsidRDefault="007016CC" w:rsidP="00BA2FE7">
      <w:pPr>
        <w:pStyle w:val="Nagwek1"/>
        <w:numPr>
          <w:ilvl w:val="0"/>
          <w:numId w:val="38"/>
        </w:numPr>
        <w:tabs>
          <w:tab w:val="left" w:pos="851"/>
        </w:tabs>
        <w:spacing w:after="120"/>
        <w:jc w:val="both"/>
        <w:rPr>
          <w:bCs w:val="0"/>
          <w:szCs w:val="24"/>
        </w:rPr>
      </w:pPr>
      <w:bookmarkStart w:id="186" w:name="_Toc292789262"/>
      <w:bookmarkStart w:id="187" w:name="_Toc292793547"/>
      <w:bookmarkStart w:id="188" w:name="_Toc327259221"/>
      <w:r w:rsidRPr="006D71C7">
        <w:rPr>
          <w:bCs w:val="0"/>
          <w:szCs w:val="24"/>
        </w:rPr>
        <w:t>INFORMACJA NA TEMAT ZGODNOŚCI Z PRZEPISAMI WSPÓŁNOTOWYMI</w:t>
      </w:r>
      <w:bookmarkEnd w:id="186"/>
      <w:bookmarkEnd w:id="187"/>
      <w:bookmarkEnd w:id="188"/>
    </w:p>
    <w:tbl>
      <w:tblPr>
        <w:tblW w:w="9465" w:type="dxa"/>
        <w:tblLayout w:type="fixed"/>
        <w:tblLook w:val="04A0" w:firstRow="1" w:lastRow="0" w:firstColumn="1" w:lastColumn="0" w:noHBand="0" w:noVBand="1"/>
      </w:tblPr>
      <w:tblGrid>
        <w:gridCol w:w="9465"/>
      </w:tblGrid>
      <w:tr w:rsidR="005E4CA8" w:rsidRPr="006D71C7" w:rsidTr="00D134B5">
        <w:trPr>
          <w:trHeight w:val="436"/>
        </w:trPr>
        <w:tc>
          <w:tcPr>
            <w:tcW w:w="9465" w:type="dxa"/>
            <w:tcBorders>
              <w:top w:val="nil"/>
              <w:left w:val="nil"/>
              <w:bottom w:val="nil"/>
              <w:right w:val="nil"/>
            </w:tcBorders>
          </w:tcPr>
          <w:bookmarkEnd w:id="182"/>
          <w:p w:rsidR="00245F70" w:rsidRPr="006D71C7" w:rsidRDefault="00F563A2" w:rsidP="006D71C7">
            <w:pPr>
              <w:autoSpaceDE w:val="0"/>
              <w:autoSpaceDN w:val="0"/>
              <w:adjustRightInd w:val="0"/>
              <w:spacing w:after="120"/>
              <w:jc w:val="both"/>
              <w:rPr>
                <w:rFonts w:eastAsia="Calibri"/>
                <w:b/>
                <w:bCs/>
                <w:sz w:val="36"/>
                <w:szCs w:val="24"/>
              </w:rPr>
            </w:pPr>
            <w:r w:rsidRPr="006D71C7">
              <w:rPr>
                <w:rFonts w:eastAsia="Calibri"/>
                <w:szCs w:val="24"/>
              </w:rPr>
              <w:t xml:space="preserve">Zapisy RPO WSL oraz pozostałych dokumentów programowych i wdrożeniowych zapewniają od początku wdrażania </w:t>
            </w:r>
            <w:r w:rsidRPr="006D71C7">
              <w:rPr>
                <w:rFonts w:eastAsia="Calibri"/>
                <w:i/>
                <w:szCs w:val="24"/>
              </w:rPr>
              <w:t>Programu</w:t>
            </w:r>
            <w:r w:rsidRPr="006D71C7">
              <w:rPr>
                <w:rFonts w:eastAsia="Calibri"/>
                <w:szCs w:val="24"/>
              </w:rPr>
              <w:t xml:space="preserve"> i na każdym etapie zgodność operacji z przepisami prawa wspólnotowego, w tym również przestrzegania zasad poszczególnych polityk wspólnotowych.</w:t>
            </w:r>
          </w:p>
          <w:p w:rsidR="003A3F1E" w:rsidRPr="006D71C7" w:rsidRDefault="003A3F1E" w:rsidP="006D71C7">
            <w:pPr>
              <w:autoSpaceDE w:val="0"/>
              <w:autoSpaceDN w:val="0"/>
              <w:adjustRightInd w:val="0"/>
              <w:spacing w:after="0"/>
              <w:jc w:val="both"/>
              <w:rPr>
                <w:szCs w:val="24"/>
              </w:rPr>
            </w:pPr>
            <w:r w:rsidRPr="006D71C7">
              <w:rPr>
                <w:szCs w:val="24"/>
              </w:rPr>
              <w:t>Do działa</w:t>
            </w:r>
            <w:r w:rsidRPr="006D71C7">
              <w:rPr>
                <w:rFonts w:eastAsia="TimesNewRoman"/>
                <w:szCs w:val="24"/>
              </w:rPr>
              <w:t xml:space="preserve">ń </w:t>
            </w:r>
            <w:r w:rsidRPr="006D71C7">
              <w:rPr>
                <w:szCs w:val="24"/>
              </w:rPr>
              <w:t>zwi</w:t>
            </w:r>
            <w:r w:rsidRPr="006D71C7">
              <w:rPr>
                <w:rFonts w:eastAsia="TimesNewRoman"/>
                <w:szCs w:val="24"/>
              </w:rPr>
              <w:t>ą</w:t>
            </w:r>
            <w:r w:rsidRPr="006D71C7">
              <w:rPr>
                <w:szCs w:val="24"/>
              </w:rPr>
              <w:t>zanych z zapewnieniem zgodno</w:t>
            </w:r>
            <w:r w:rsidRPr="006D71C7">
              <w:rPr>
                <w:rFonts w:eastAsia="TimesNewRoman"/>
                <w:szCs w:val="24"/>
              </w:rPr>
              <w:t>ś</w:t>
            </w:r>
            <w:r w:rsidRPr="006D71C7">
              <w:rPr>
                <w:szCs w:val="24"/>
              </w:rPr>
              <w:t xml:space="preserve">ci realizacji </w:t>
            </w:r>
            <w:r w:rsidRPr="006D71C7">
              <w:rPr>
                <w:i/>
                <w:szCs w:val="24"/>
              </w:rPr>
              <w:t>Programu</w:t>
            </w:r>
            <w:r w:rsidRPr="006D71C7">
              <w:rPr>
                <w:szCs w:val="24"/>
              </w:rPr>
              <w:t xml:space="preserve"> z przepisami wspólnotowymi mo</w:t>
            </w:r>
            <w:r w:rsidRPr="006D71C7">
              <w:rPr>
                <w:rFonts w:eastAsia="TimesNewRoman"/>
                <w:szCs w:val="24"/>
              </w:rPr>
              <w:t>ż</w:t>
            </w:r>
            <w:r w:rsidRPr="006D71C7">
              <w:rPr>
                <w:szCs w:val="24"/>
              </w:rPr>
              <w:t>na zaliczy</w:t>
            </w:r>
            <w:r w:rsidRPr="006D71C7">
              <w:rPr>
                <w:rFonts w:eastAsia="TimesNewRoman"/>
                <w:szCs w:val="24"/>
              </w:rPr>
              <w:t xml:space="preserve">ć </w:t>
            </w:r>
            <w:r w:rsidRPr="006D71C7">
              <w:rPr>
                <w:szCs w:val="24"/>
              </w:rPr>
              <w:t>przede wszystkim:</w:t>
            </w:r>
          </w:p>
          <w:p w:rsidR="003A3F1E" w:rsidRPr="006D71C7" w:rsidRDefault="003A3F1E" w:rsidP="00BA2FE7">
            <w:pPr>
              <w:pStyle w:val="Default"/>
              <w:numPr>
                <w:ilvl w:val="0"/>
                <w:numId w:val="77"/>
              </w:numPr>
              <w:tabs>
                <w:tab w:val="left" w:pos="0"/>
              </w:tabs>
              <w:spacing w:line="276" w:lineRule="auto"/>
              <w:ind w:left="851"/>
              <w:jc w:val="both"/>
              <w:rPr>
                <w:color w:val="auto"/>
              </w:rPr>
            </w:pPr>
            <w:r w:rsidRPr="006D71C7">
              <w:rPr>
                <w:color w:val="auto"/>
              </w:rPr>
              <w:t xml:space="preserve">obowiązek dostarczenia dokumentu stwierdzającego fakt, czy dany projekt może wywierać istotny negatywny wpływ na obszary objęte lub, które mają być objęte siecią Natura 2000, projekty, które negatywnie oddziaływają na potencjalne obszary Natura 2000 </w:t>
            </w:r>
            <w:r w:rsidR="00D97AE2" w:rsidRPr="006D71C7">
              <w:rPr>
                <w:color w:val="auto"/>
              </w:rPr>
              <w:t xml:space="preserve">nie </w:t>
            </w:r>
            <w:r w:rsidRPr="006D71C7">
              <w:rPr>
                <w:color w:val="auto"/>
              </w:rPr>
              <w:t>mogą otrzymać dofinansowania,</w:t>
            </w:r>
          </w:p>
          <w:p w:rsidR="003A3F1E" w:rsidRPr="006D71C7" w:rsidRDefault="003A3F1E" w:rsidP="00BA2FE7">
            <w:pPr>
              <w:pStyle w:val="Default"/>
              <w:numPr>
                <w:ilvl w:val="0"/>
                <w:numId w:val="77"/>
              </w:numPr>
              <w:tabs>
                <w:tab w:val="left" w:pos="0"/>
              </w:tabs>
              <w:spacing w:line="276" w:lineRule="auto"/>
              <w:ind w:left="851"/>
              <w:jc w:val="both"/>
              <w:rPr>
                <w:color w:val="auto"/>
              </w:rPr>
            </w:pPr>
            <w:r w:rsidRPr="006D71C7">
              <w:rPr>
                <w:color w:val="auto"/>
              </w:rPr>
              <w:t xml:space="preserve">umiejscowienie w strukturze IZ RPO WSL koordynatora ds. środowiska gwarantującego odpowiednie uwzględnienie wymiaru środowiskowego i jego monitoring na wszystkich poziomach realizacji RPO WSL, ponadto IZ RPO WSL przygotowuje co roku </w:t>
            </w:r>
            <w:r w:rsidRPr="006D71C7">
              <w:rPr>
                <w:i/>
                <w:color w:val="auto"/>
              </w:rPr>
              <w:t>Raport środowiskowy</w:t>
            </w:r>
            <w:r w:rsidRPr="006D71C7">
              <w:rPr>
                <w:color w:val="auto"/>
              </w:rPr>
              <w:t xml:space="preserve"> jednak w związku z faktem, iż wszystkie wska</w:t>
            </w:r>
            <w:r w:rsidRPr="006D71C7">
              <w:rPr>
                <w:rFonts w:eastAsia="TimesNewRoman"/>
                <w:color w:val="auto"/>
              </w:rPr>
              <w:t>ź</w:t>
            </w:r>
            <w:r w:rsidRPr="006D71C7">
              <w:rPr>
                <w:color w:val="auto"/>
              </w:rPr>
              <w:t>niki zamieszczone w ww. raporcie pochodz</w:t>
            </w:r>
            <w:r w:rsidRPr="006D71C7">
              <w:rPr>
                <w:rFonts w:eastAsia="TimesNewRoman"/>
                <w:color w:val="auto"/>
              </w:rPr>
              <w:t xml:space="preserve">ą </w:t>
            </w:r>
            <w:r w:rsidRPr="006D71C7">
              <w:rPr>
                <w:color w:val="auto"/>
              </w:rPr>
              <w:t>ze statystyk</w:t>
            </w:r>
            <w:r w:rsidR="00DE3312" w:rsidRPr="006D71C7">
              <w:rPr>
                <w:color w:val="auto"/>
              </w:rPr>
              <w:t>i publicznej, jest on </w:t>
            </w:r>
            <w:r w:rsidRPr="006D71C7">
              <w:rPr>
                <w:color w:val="auto"/>
              </w:rPr>
              <w:t>przygotowywany z rocznym opóźnieniem,</w:t>
            </w:r>
            <w:r w:rsidR="00DE3312" w:rsidRPr="006D71C7">
              <w:rPr>
                <w:i/>
                <w:color w:val="auto"/>
              </w:rPr>
              <w:t xml:space="preserve"> Raport środowiskowy za 2011 rok</w:t>
            </w:r>
            <w:r w:rsidR="00DE3312" w:rsidRPr="006D71C7">
              <w:rPr>
                <w:color w:val="auto"/>
              </w:rPr>
              <w:t xml:space="preserve"> został dołączony do niniejszego </w:t>
            </w:r>
            <w:r w:rsidR="00DE3312" w:rsidRPr="006D71C7">
              <w:rPr>
                <w:i/>
                <w:color w:val="auto"/>
              </w:rPr>
              <w:t>Sprawozdania (</w:t>
            </w:r>
            <w:r w:rsidR="007338BD" w:rsidRPr="006D71C7">
              <w:rPr>
                <w:color w:val="auto"/>
              </w:rPr>
              <w:t>załącznik nr</w:t>
            </w:r>
            <w:r w:rsidR="006F3086" w:rsidRPr="006D71C7">
              <w:rPr>
                <w:color w:val="auto"/>
              </w:rPr>
              <w:t xml:space="preserve"> XI</w:t>
            </w:r>
            <w:r w:rsidR="006F3086" w:rsidRPr="006D71C7">
              <w:rPr>
                <w:i/>
                <w:color w:val="auto"/>
              </w:rPr>
              <w:t>).</w:t>
            </w:r>
          </w:p>
          <w:p w:rsidR="003A3F1E" w:rsidRPr="006D71C7" w:rsidRDefault="003A3F1E" w:rsidP="00BA2FE7">
            <w:pPr>
              <w:pStyle w:val="Default"/>
              <w:numPr>
                <w:ilvl w:val="0"/>
                <w:numId w:val="77"/>
              </w:numPr>
              <w:tabs>
                <w:tab w:val="left" w:pos="0"/>
              </w:tabs>
              <w:spacing w:line="276" w:lineRule="auto"/>
              <w:ind w:left="851"/>
              <w:jc w:val="both"/>
              <w:rPr>
                <w:color w:val="auto"/>
              </w:rPr>
            </w:pPr>
            <w:r w:rsidRPr="006D71C7">
              <w:rPr>
                <w:color w:val="auto"/>
              </w:rPr>
              <w:t>zapewnienie, że każde wsparcie stanowiące pomoc publiczną udzielane w ramach RPO WSL, jest zgodne z przepisami dotyczącymi zasad udzielania tej pomocy</w:t>
            </w:r>
            <w:r w:rsidR="00AE72C8" w:rsidRPr="006D71C7">
              <w:rPr>
                <w:color w:val="auto"/>
              </w:rPr>
              <w:t>,</w:t>
            </w:r>
            <w:r w:rsidRPr="006D71C7">
              <w:rPr>
                <w:color w:val="auto"/>
              </w:rPr>
              <w:t xml:space="preserve"> </w:t>
            </w:r>
            <w:r w:rsidR="00AE72C8" w:rsidRPr="006D71C7">
              <w:rPr>
                <w:color w:val="auto"/>
              </w:rPr>
              <w:t>k</w:t>
            </w:r>
            <w:r w:rsidRPr="006D71C7">
              <w:rPr>
                <w:color w:val="auto"/>
              </w:rPr>
              <w:t>ażdy beneficjent składający wniosek o dofinansowanie w ramach RPO WSL musi określić czy projekt podlega regułom pomocy publicznej (czy realizacja narusza bądź zagraża naruszaniu wspólnego rynku w rozumieniu Traktatu Ustanawiającego Wspólnotę Europejską), które następnie są weryfikowane przez IZ RPO WSL na etapie oceny,</w:t>
            </w:r>
          </w:p>
          <w:p w:rsidR="003A3F1E" w:rsidRPr="006D71C7" w:rsidRDefault="003A3F1E" w:rsidP="00BA2FE7">
            <w:pPr>
              <w:pStyle w:val="Default"/>
              <w:numPr>
                <w:ilvl w:val="0"/>
                <w:numId w:val="77"/>
              </w:numPr>
              <w:tabs>
                <w:tab w:val="left" w:pos="0"/>
              </w:tabs>
              <w:spacing w:line="276" w:lineRule="auto"/>
              <w:ind w:left="851"/>
              <w:jc w:val="both"/>
              <w:rPr>
                <w:color w:val="auto"/>
              </w:rPr>
            </w:pPr>
            <w:r w:rsidRPr="006D71C7">
              <w:rPr>
                <w:iCs/>
                <w:color w:val="auto"/>
              </w:rPr>
              <w:t>IZ RPO WSL przyjęła odpowiednie kryteria wyboru projektów do dofinansowania dot. polityk horyzontalnych (ok</w:t>
            </w:r>
            <w:r w:rsidRPr="006D71C7">
              <w:rPr>
                <w:color w:val="auto"/>
              </w:rPr>
              <w:t>reślenie stopnia realizacji polityki równych szans, polityki ochrony środowiska, wpływ projektu na utworzenie nowych miejsc pracy, w tym dla osób niepełnosprawnych, dostępność dla niepełnosprawnych)</w:t>
            </w:r>
            <w:r w:rsidR="00AE72C8" w:rsidRPr="006D71C7">
              <w:rPr>
                <w:color w:val="auto"/>
              </w:rPr>
              <w:t>,</w:t>
            </w:r>
            <w:r w:rsidRPr="006D71C7">
              <w:rPr>
                <w:color w:val="auto"/>
              </w:rPr>
              <w:t xml:space="preserve"> </w:t>
            </w:r>
            <w:r w:rsidR="00AE72C8" w:rsidRPr="006D71C7">
              <w:rPr>
                <w:color w:val="auto"/>
              </w:rPr>
              <w:t>p</w:t>
            </w:r>
            <w:r w:rsidRPr="006D71C7">
              <w:rPr>
                <w:color w:val="auto"/>
              </w:rPr>
              <w:t>rojekt mający pozytywny wpływ na realizacje poszczególnych polityk horyzontalnych otrzymuje dodatkowe punkty w trakcie przeprowadzanej oceny merytoryczno-technicznej, co w konsekwencji zwiększa jego szansę na otrzymanie dofinansowania,</w:t>
            </w:r>
          </w:p>
          <w:p w:rsidR="003A3F1E" w:rsidRPr="006D71C7" w:rsidRDefault="003A3F1E" w:rsidP="00BA2FE7">
            <w:pPr>
              <w:pStyle w:val="Default"/>
              <w:numPr>
                <w:ilvl w:val="0"/>
                <w:numId w:val="77"/>
              </w:numPr>
              <w:tabs>
                <w:tab w:val="left" w:pos="0"/>
              </w:tabs>
              <w:spacing w:line="276" w:lineRule="auto"/>
              <w:ind w:left="851"/>
              <w:jc w:val="both"/>
              <w:rPr>
                <w:color w:val="auto"/>
              </w:rPr>
            </w:pPr>
            <w:r w:rsidRPr="006D71C7">
              <w:rPr>
                <w:color w:val="auto"/>
              </w:rPr>
              <w:t>monitorowanie co roku wskaźników horyzontalnych dot. redukcji zużycia energii oraz osób niepełnosprawnych, postęp realizacji wskaźników został przedstawiony w załączniku nr I</w:t>
            </w:r>
            <w:r w:rsidR="00E062FC" w:rsidRPr="006D71C7">
              <w:rPr>
                <w:color w:val="auto"/>
              </w:rPr>
              <w:t xml:space="preserve"> </w:t>
            </w:r>
            <w:r w:rsidRPr="006D71C7">
              <w:rPr>
                <w:color w:val="auto"/>
              </w:rPr>
              <w:t xml:space="preserve">do niniejszego </w:t>
            </w:r>
            <w:r w:rsidRPr="006D71C7">
              <w:rPr>
                <w:i/>
                <w:color w:val="auto"/>
              </w:rPr>
              <w:t>Sprawozdania,</w:t>
            </w:r>
          </w:p>
          <w:p w:rsidR="003A3F1E" w:rsidRPr="006D71C7" w:rsidRDefault="003A3F1E" w:rsidP="00BA2FE7">
            <w:pPr>
              <w:pStyle w:val="Default"/>
              <w:numPr>
                <w:ilvl w:val="0"/>
                <w:numId w:val="77"/>
              </w:numPr>
              <w:tabs>
                <w:tab w:val="left" w:pos="0"/>
              </w:tabs>
              <w:spacing w:line="276" w:lineRule="auto"/>
              <w:ind w:left="851"/>
              <w:jc w:val="both"/>
              <w:rPr>
                <w:color w:val="auto"/>
              </w:rPr>
            </w:pPr>
            <w:r w:rsidRPr="006D71C7">
              <w:rPr>
                <w:color w:val="auto"/>
              </w:rPr>
              <w:t xml:space="preserve">projekty, które mają negatywny wpływ na którąkolwiek z polityk horyzontalnych nie otrzymują dofinansowania w ramach </w:t>
            </w:r>
            <w:r w:rsidRPr="006D71C7">
              <w:rPr>
                <w:i/>
                <w:color w:val="auto"/>
              </w:rPr>
              <w:t>Programu.</w:t>
            </w:r>
          </w:p>
          <w:p w:rsidR="00DE3312" w:rsidRPr="006D71C7" w:rsidRDefault="003A3F1E" w:rsidP="006D71C7">
            <w:pPr>
              <w:pStyle w:val="Default"/>
              <w:tabs>
                <w:tab w:val="left" w:pos="0"/>
                <w:tab w:val="left" w:pos="284"/>
              </w:tabs>
              <w:spacing w:line="276" w:lineRule="auto"/>
              <w:jc w:val="both"/>
              <w:rPr>
                <w:color w:val="auto"/>
              </w:rPr>
            </w:pPr>
            <w:r w:rsidRPr="006D71C7">
              <w:rPr>
                <w:color w:val="auto"/>
              </w:rPr>
              <w:t>W okresie sprawozdawczym nie występowały problemy związane z przestrzeganiem poszczególnych polityk wspólnotowych.</w:t>
            </w:r>
          </w:p>
        </w:tc>
      </w:tr>
    </w:tbl>
    <w:p w:rsidR="005E4CA8" w:rsidRDefault="002E7A75" w:rsidP="00BA2FE7">
      <w:pPr>
        <w:pStyle w:val="Nagwek1"/>
        <w:numPr>
          <w:ilvl w:val="1"/>
          <w:numId w:val="38"/>
        </w:numPr>
        <w:tabs>
          <w:tab w:val="left" w:pos="851"/>
        </w:tabs>
        <w:spacing w:after="120"/>
        <w:jc w:val="both"/>
        <w:rPr>
          <w:bCs w:val="0"/>
          <w:szCs w:val="24"/>
        </w:rPr>
      </w:pPr>
      <w:bookmarkStart w:id="189" w:name="_Toc292789263"/>
      <w:bookmarkStart w:id="190" w:name="_Toc292793548"/>
      <w:r w:rsidRPr="006D71C7">
        <w:rPr>
          <w:bCs w:val="0"/>
          <w:szCs w:val="24"/>
        </w:rPr>
        <w:t xml:space="preserve"> </w:t>
      </w:r>
      <w:bookmarkStart w:id="191" w:name="_Toc327259222"/>
      <w:r w:rsidR="00762DFA" w:rsidRPr="006D71C7">
        <w:rPr>
          <w:bCs w:val="0"/>
          <w:szCs w:val="24"/>
        </w:rPr>
        <w:t>ZASADA RÓWNOŚCI SZANS</w:t>
      </w:r>
      <w:bookmarkEnd w:id="189"/>
      <w:bookmarkEnd w:id="190"/>
      <w:bookmarkEnd w:id="191"/>
    </w:p>
    <w:p w:rsidR="00EE4408" w:rsidRPr="00E217D0" w:rsidRDefault="00EE4408" w:rsidP="00EE4408">
      <w:r w:rsidRPr="00E217D0">
        <w:t>W okresie sprawozdawczym w zakresie wspierania równości szans mężczyzn i kobiet nie prowadzono uzgodnień partnerskich.</w:t>
      </w:r>
    </w:p>
    <w:p w:rsidR="00C74054" w:rsidRDefault="00C74054">
      <w:pPr>
        <w:spacing w:after="0" w:line="240" w:lineRule="auto"/>
        <w:rPr>
          <w:szCs w:val="24"/>
        </w:rPr>
      </w:pPr>
      <w:r>
        <w:rPr>
          <w:szCs w:val="24"/>
        </w:rPr>
        <w:br w:type="page"/>
      </w:r>
    </w:p>
    <w:p w:rsidR="00773065" w:rsidRPr="006D71C7" w:rsidRDefault="00773065" w:rsidP="006D71C7">
      <w:pPr>
        <w:spacing w:after="120"/>
        <w:jc w:val="both"/>
      </w:pPr>
      <w:r w:rsidRPr="006D71C7">
        <w:rPr>
          <w:szCs w:val="24"/>
        </w:rPr>
        <w:t>IZ RPO WSL realizuje zasadę równości szans na:</w:t>
      </w:r>
    </w:p>
    <w:p w:rsidR="00773065" w:rsidRPr="006D71C7" w:rsidRDefault="00773065" w:rsidP="00BA2FE7">
      <w:pPr>
        <w:pStyle w:val="Default"/>
        <w:numPr>
          <w:ilvl w:val="0"/>
          <w:numId w:val="75"/>
        </w:numPr>
        <w:spacing w:line="276" w:lineRule="auto"/>
        <w:ind w:left="567"/>
        <w:jc w:val="both"/>
        <w:rPr>
          <w:rFonts w:ascii="Verdana" w:eastAsia="Calibri" w:hAnsi="Verdana" w:cs="Verdana"/>
          <w:color w:val="auto"/>
          <w:sz w:val="20"/>
          <w:szCs w:val="20"/>
        </w:rPr>
      </w:pPr>
      <w:r w:rsidRPr="006D71C7">
        <w:rPr>
          <w:i/>
          <w:color w:val="auto"/>
        </w:rPr>
        <w:t>etapie programowania/wdrażania</w:t>
      </w:r>
      <w:r w:rsidRPr="006D71C7">
        <w:rPr>
          <w:color w:val="auto"/>
        </w:rPr>
        <w:t>:</w:t>
      </w:r>
      <w:r w:rsidR="00974162" w:rsidRPr="006D71C7">
        <w:rPr>
          <w:color w:val="auto"/>
        </w:rPr>
        <w:t xml:space="preserve"> w celu zapewnienia równości szans w ramach RPO WSL utworzono kryterium formalno – merytoryczne w ramach procedury wyboru projektów, którego spełnienie jest możliwe wyłącznie w przypadku, gdy projekt jest zgodny z politykami horyzontalnymi. Oznacza to, że każdy projekt musi mieć co najmniej neutralny wpływ na politykę </w:t>
      </w:r>
      <w:r w:rsidRPr="006D71C7">
        <w:rPr>
          <w:color w:val="auto"/>
        </w:rPr>
        <w:t>równości szans</w:t>
      </w:r>
      <w:r w:rsidR="00974162" w:rsidRPr="006D71C7">
        <w:rPr>
          <w:color w:val="auto"/>
        </w:rPr>
        <w:t xml:space="preserve">. Ponadto w ramach RPO WSL m.in. w priorytecie III </w:t>
      </w:r>
      <w:r w:rsidR="00292326" w:rsidRPr="006D71C7">
        <w:rPr>
          <w:color w:val="auto"/>
        </w:rPr>
        <w:t xml:space="preserve">mogą być </w:t>
      </w:r>
      <w:r w:rsidR="00974162" w:rsidRPr="006D71C7">
        <w:rPr>
          <w:color w:val="auto"/>
        </w:rPr>
        <w:t xml:space="preserve">realizowane projekty, które </w:t>
      </w:r>
      <w:r w:rsidR="00974162" w:rsidRPr="006D71C7">
        <w:rPr>
          <w:rFonts w:eastAsia="Calibri"/>
          <w:color w:val="auto"/>
        </w:rPr>
        <w:t>n</w:t>
      </w:r>
      <w:r w:rsidR="00292326" w:rsidRPr="006D71C7">
        <w:rPr>
          <w:rFonts w:eastAsia="Calibri"/>
          <w:color w:val="auto"/>
        </w:rPr>
        <w:t>iwelują</w:t>
      </w:r>
      <w:r w:rsidR="00974162" w:rsidRPr="006D71C7">
        <w:rPr>
          <w:rFonts w:eastAsia="Calibri"/>
          <w:color w:val="auto"/>
        </w:rPr>
        <w:t xml:space="preserve"> różnic</w:t>
      </w:r>
      <w:r w:rsidR="00292326" w:rsidRPr="006D71C7">
        <w:rPr>
          <w:rFonts w:eastAsia="Calibri"/>
          <w:color w:val="auto"/>
        </w:rPr>
        <w:t>e w </w:t>
      </w:r>
      <w:r w:rsidR="00974162" w:rsidRPr="006D71C7">
        <w:rPr>
          <w:rFonts w:eastAsia="Calibri"/>
          <w:color w:val="auto"/>
        </w:rPr>
        <w:t>dostępie do obiektów dla osób niepełnosprawnych</w:t>
      </w:r>
      <w:r w:rsidR="00292326" w:rsidRPr="006D71C7">
        <w:rPr>
          <w:rFonts w:eastAsia="Calibri"/>
          <w:color w:val="auto"/>
        </w:rPr>
        <w:t>, beneficjenci realizujący takie projekty są dodatkowe punktowani na ocenie [waga 1,0].</w:t>
      </w:r>
      <w:r w:rsidR="00292326" w:rsidRPr="006D71C7">
        <w:rPr>
          <w:rFonts w:ascii="Verdana" w:eastAsia="Calibri" w:hAnsi="Verdana" w:cs="Verdana"/>
          <w:color w:val="auto"/>
          <w:sz w:val="20"/>
          <w:szCs w:val="20"/>
        </w:rPr>
        <w:t xml:space="preserve"> </w:t>
      </w:r>
      <w:r w:rsidR="00292326" w:rsidRPr="006D71C7">
        <w:rPr>
          <w:color w:val="auto"/>
        </w:rPr>
        <w:t>Dodatkowo</w:t>
      </w:r>
      <w:r w:rsidR="00974162" w:rsidRPr="006D71C7">
        <w:rPr>
          <w:color w:val="auto"/>
        </w:rPr>
        <w:t xml:space="preserve"> </w:t>
      </w:r>
      <w:r w:rsidR="00974162" w:rsidRPr="006D71C7">
        <w:rPr>
          <w:bCs/>
          <w:color w:val="auto"/>
        </w:rPr>
        <w:t>w</w:t>
      </w:r>
      <w:r w:rsidRPr="006D71C7">
        <w:rPr>
          <w:bCs/>
          <w:color w:val="auto"/>
        </w:rPr>
        <w:t>szyscy beneficjenci maja równy dostęp do informacji np. nt. ogłaszanych konkursów.</w:t>
      </w:r>
    </w:p>
    <w:p w:rsidR="00773065" w:rsidRPr="006D71C7" w:rsidRDefault="00773065" w:rsidP="00BA2FE7">
      <w:pPr>
        <w:pStyle w:val="Tekstpodstawowy21"/>
        <w:numPr>
          <w:ilvl w:val="0"/>
          <w:numId w:val="71"/>
        </w:numPr>
        <w:spacing w:line="276" w:lineRule="auto"/>
        <w:ind w:left="567"/>
        <w:jc w:val="both"/>
        <w:rPr>
          <w:sz w:val="24"/>
          <w:szCs w:val="24"/>
        </w:rPr>
      </w:pPr>
      <w:r w:rsidRPr="006D71C7">
        <w:rPr>
          <w:i/>
          <w:sz w:val="24"/>
          <w:szCs w:val="24"/>
        </w:rPr>
        <w:t>etapie monitorowania</w:t>
      </w:r>
      <w:r w:rsidRPr="006D71C7">
        <w:rPr>
          <w:sz w:val="24"/>
          <w:szCs w:val="24"/>
        </w:rPr>
        <w:t xml:space="preserve">: zgodnie z zapisami </w:t>
      </w:r>
      <w:r w:rsidRPr="006D71C7">
        <w:rPr>
          <w:i/>
          <w:sz w:val="24"/>
          <w:szCs w:val="24"/>
        </w:rPr>
        <w:t xml:space="preserve">Programu </w:t>
      </w:r>
      <w:r w:rsidRPr="006D71C7">
        <w:rPr>
          <w:sz w:val="24"/>
          <w:szCs w:val="24"/>
        </w:rPr>
        <w:t>IZ RPO WSL</w:t>
      </w:r>
      <w:r w:rsidR="005D6CE0" w:rsidRPr="006D71C7">
        <w:rPr>
          <w:sz w:val="24"/>
          <w:szCs w:val="24"/>
        </w:rPr>
        <w:t xml:space="preserve"> realizuje zasadę</w:t>
      </w:r>
      <w:r w:rsidRPr="006D71C7">
        <w:rPr>
          <w:sz w:val="24"/>
          <w:szCs w:val="24"/>
        </w:rPr>
        <w:t xml:space="preserve"> poprzez</w:t>
      </w:r>
      <w:r w:rsidRPr="006D71C7">
        <w:rPr>
          <w:i/>
          <w:sz w:val="24"/>
          <w:szCs w:val="24"/>
        </w:rPr>
        <w:t xml:space="preserve"> </w:t>
      </w:r>
      <w:r w:rsidRPr="006D71C7">
        <w:rPr>
          <w:sz w:val="24"/>
          <w:szCs w:val="24"/>
        </w:rPr>
        <w:t xml:space="preserve">monitorowanie wskaźnika horyzontalnego jakim jest </w:t>
      </w:r>
      <w:r w:rsidR="005D6CE0" w:rsidRPr="006D71C7">
        <w:rPr>
          <w:i/>
          <w:sz w:val="24"/>
          <w:szCs w:val="24"/>
        </w:rPr>
        <w:t>Liczba projektów w </w:t>
      </w:r>
      <w:r w:rsidRPr="006D71C7">
        <w:rPr>
          <w:i/>
          <w:sz w:val="24"/>
          <w:szCs w:val="24"/>
        </w:rPr>
        <w:t>zakresie usuwania barier funkcjonalnych dla osób niepełnosprawnych</w:t>
      </w:r>
      <w:r w:rsidRPr="006D71C7">
        <w:rPr>
          <w:sz w:val="24"/>
          <w:szCs w:val="24"/>
        </w:rPr>
        <w:t xml:space="preserve">. Wszystkie informacje nt. realizacji </w:t>
      </w:r>
      <w:r w:rsidRPr="006D71C7">
        <w:rPr>
          <w:i/>
          <w:sz w:val="24"/>
          <w:szCs w:val="24"/>
        </w:rPr>
        <w:t xml:space="preserve">Programu </w:t>
      </w:r>
      <w:r w:rsidRPr="006D71C7">
        <w:rPr>
          <w:sz w:val="24"/>
          <w:szCs w:val="24"/>
        </w:rPr>
        <w:t>umieszczane są</w:t>
      </w:r>
      <w:r w:rsidRPr="006D71C7">
        <w:rPr>
          <w:i/>
          <w:sz w:val="24"/>
          <w:szCs w:val="24"/>
        </w:rPr>
        <w:t xml:space="preserve"> </w:t>
      </w:r>
      <w:r w:rsidRPr="006D71C7">
        <w:rPr>
          <w:sz w:val="24"/>
          <w:szCs w:val="24"/>
        </w:rPr>
        <w:t>na stronach internetowych IZ RPO WSL, co zapewnia równy dostęp do informacji wszystkim beneficjentom.</w:t>
      </w:r>
    </w:p>
    <w:p w:rsidR="00773065" w:rsidRDefault="00773065" w:rsidP="00BA2FE7">
      <w:pPr>
        <w:pStyle w:val="Tekstpodstawowy21"/>
        <w:numPr>
          <w:ilvl w:val="0"/>
          <w:numId w:val="71"/>
        </w:numPr>
        <w:spacing w:after="120" w:line="276" w:lineRule="auto"/>
        <w:ind w:left="567" w:hanging="357"/>
        <w:jc w:val="both"/>
        <w:rPr>
          <w:sz w:val="24"/>
          <w:szCs w:val="24"/>
        </w:rPr>
      </w:pPr>
      <w:r w:rsidRPr="006D71C7">
        <w:rPr>
          <w:i/>
          <w:sz w:val="24"/>
          <w:szCs w:val="24"/>
        </w:rPr>
        <w:t>etapie ewaluacji</w:t>
      </w:r>
      <w:r w:rsidRPr="006D71C7">
        <w:rPr>
          <w:sz w:val="24"/>
          <w:szCs w:val="24"/>
        </w:rPr>
        <w:t xml:space="preserve">: poprzez wybór ewaluatora zewnętrznego na podstawie </w:t>
      </w:r>
      <w:r w:rsidRPr="006D71C7">
        <w:rPr>
          <w:i/>
          <w:sz w:val="24"/>
          <w:szCs w:val="24"/>
        </w:rPr>
        <w:t>Ustawy z dnia 29.01.2004r. Prawo Zamówień Publicznych</w:t>
      </w:r>
      <w:r w:rsidRPr="006D71C7">
        <w:rPr>
          <w:sz w:val="24"/>
          <w:szCs w:val="24"/>
        </w:rPr>
        <w:t xml:space="preserve"> (Dz. U. 2007r. Nr 233 poz. 1655 z późniejszymi zmianami) w sposób zapewniający zachowanie uczciwej konkurencji oraz równe traktowanie wykonawców. Postępowanie o udzielenie zamówienia publicznego prowadzone jest w trybie przetargu nieograniczonego. Przygotowanie zamówienia, jak również wyłonienie wykonawcy, ma charakter jawny i opiera się na zasadach czytelnych dla wszystkich zainteresowanych podmiotów. Głównym kryterium, przy wyborze wykonawcy jest jakość przygotowanej oferty. Ponadto w 2012 roku planowane jest przeprowadzenie badania ewaluacyjnego, którego jednym z elementów będzie ocena kwestii horyzontalnych </w:t>
      </w:r>
      <w:r w:rsidR="005D6CE0" w:rsidRPr="006D71C7">
        <w:rPr>
          <w:sz w:val="24"/>
          <w:szCs w:val="24"/>
        </w:rPr>
        <w:t>w procesie wdrażania RPO WSL. W </w:t>
      </w:r>
      <w:r w:rsidRPr="006D71C7">
        <w:rPr>
          <w:sz w:val="24"/>
          <w:szCs w:val="24"/>
        </w:rPr>
        <w:t xml:space="preserve">ramach badania zostanie w szczególności poddana analizie realizacja zasady równości szans, uwzględniając etap programowania, wdrażania, monitorowania i ewaluacji </w:t>
      </w:r>
      <w:r w:rsidR="007338BD" w:rsidRPr="006D71C7">
        <w:rPr>
          <w:i/>
          <w:sz w:val="24"/>
          <w:szCs w:val="24"/>
        </w:rPr>
        <w:t>Programu</w:t>
      </w:r>
      <w:r w:rsidRPr="006D71C7">
        <w:rPr>
          <w:sz w:val="24"/>
          <w:szCs w:val="24"/>
        </w:rPr>
        <w:t>. Ocenie zostanie poddana kwestia poprawności i skuteczności realizacji zasady oraz zostaną zaproponowane działania, jak</w:t>
      </w:r>
      <w:r w:rsidR="005D6CE0" w:rsidRPr="006D71C7">
        <w:rPr>
          <w:sz w:val="24"/>
          <w:szCs w:val="24"/>
        </w:rPr>
        <w:t>ie należałoby wprowadzić w </w:t>
      </w:r>
      <w:r w:rsidRPr="006D71C7">
        <w:rPr>
          <w:sz w:val="24"/>
          <w:szCs w:val="24"/>
        </w:rPr>
        <w:t>ramach poszczególnych etapów realizacji RPO WSL, aby zwiększyć wpływ Programu w zakresie wspierania zasady równości szans. Rekomendacje z badania zostaną przedstawione w następnym sprawozdaniu rocznym.</w:t>
      </w:r>
    </w:p>
    <w:p w:rsidR="00C2691C" w:rsidRPr="00C2691C" w:rsidRDefault="00C2691C" w:rsidP="00C2691C">
      <w:pPr>
        <w:pStyle w:val="Tekstpodstawowy21"/>
        <w:spacing w:after="120" w:line="276" w:lineRule="auto"/>
        <w:jc w:val="both"/>
        <w:rPr>
          <w:sz w:val="24"/>
          <w:szCs w:val="24"/>
        </w:rPr>
      </w:pPr>
      <w:r w:rsidRPr="00C2691C">
        <w:rPr>
          <w:sz w:val="24"/>
          <w:szCs w:val="24"/>
        </w:rPr>
        <w:t xml:space="preserve">Powyższe </w:t>
      </w:r>
      <w:r>
        <w:rPr>
          <w:sz w:val="24"/>
          <w:szCs w:val="24"/>
        </w:rPr>
        <w:t>kwestie odnoszą się do wszystkich priorytetów wdrażanych w ramach RPO WSL.</w:t>
      </w:r>
    </w:p>
    <w:p w:rsidR="00773065" w:rsidRPr="006D71C7" w:rsidRDefault="00773065" w:rsidP="006D71C7">
      <w:pPr>
        <w:pStyle w:val="Tekstpodstawowy21"/>
        <w:spacing w:line="276" w:lineRule="auto"/>
        <w:jc w:val="both"/>
        <w:rPr>
          <w:sz w:val="24"/>
          <w:szCs w:val="24"/>
        </w:rPr>
      </w:pPr>
      <w:r w:rsidRPr="006D71C7">
        <w:rPr>
          <w:sz w:val="24"/>
          <w:szCs w:val="24"/>
        </w:rPr>
        <w:t xml:space="preserve">Najwięcej projektów, których realizacja przyczyni się do usuwania barier funkcjonalnych dla osób niepełnosprawnych realizowana jest w ramach </w:t>
      </w:r>
      <w:r w:rsidR="009762DB" w:rsidRPr="006D71C7">
        <w:rPr>
          <w:sz w:val="24"/>
          <w:szCs w:val="24"/>
        </w:rPr>
        <w:t>p</w:t>
      </w:r>
      <w:r w:rsidRPr="006D71C7">
        <w:rPr>
          <w:sz w:val="24"/>
          <w:szCs w:val="24"/>
        </w:rPr>
        <w:t>riorytetu IX. Natomiast w obszarze infrastruktury społecznej najwięcej projektów przyczynia się do eliminowania dyskryminacji</w:t>
      </w:r>
      <w:r w:rsidR="00F07502" w:rsidRPr="006D71C7">
        <w:rPr>
          <w:sz w:val="24"/>
          <w:szCs w:val="24"/>
        </w:rPr>
        <w:t xml:space="preserve"> w ramach </w:t>
      </w:r>
      <w:r w:rsidR="009762DB" w:rsidRPr="006D71C7">
        <w:rPr>
          <w:sz w:val="24"/>
          <w:szCs w:val="24"/>
        </w:rPr>
        <w:t>p</w:t>
      </w:r>
      <w:r w:rsidR="00F07502" w:rsidRPr="006D71C7">
        <w:rPr>
          <w:sz w:val="24"/>
          <w:szCs w:val="24"/>
        </w:rPr>
        <w:t>riorytetu IV i IX</w:t>
      </w:r>
      <w:r w:rsidRPr="006D71C7">
        <w:rPr>
          <w:sz w:val="24"/>
          <w:szCs w:val="24"/>
        </w:rPr>
        <w:t xml:space="preserve">. </w:t>
      </w:r>
    </w:p>
    <w:p w:rsidR="005D6CE0" w:rsidRPr="006D71C7" w:rsidRDefault="005D6CE0" w:rsidP="006D71C7">
      <w:pPr>
        <w:pStyle w:val="Tekstpodstawowy21"/>
        <w:spacing w:line="276" w:lineRule="auto"/>
        <w:jc w:val="both"/>
        <w:rPr>
          <w:sz w:val="24"/>
          <w:szCs w:val="24"/>
        </w:rPr>
      </w:pPr>
    </w:p>
    <w:p w:rsidR="00773065" w:rsidRPr="006D71C7" w:rsidRDefault="00773065" w:rsidP="006D71C7">
      <w:pPr>
        <w:pStyle w:val="Tekstpodstawowy21"/>
        <w:spacing w:line="276" w:lineRule="auto"/>
        <w:jc w:val="both"/>
        <w:rPr>
          <w:sz w:val="24"/>
          <w:szCs w:val="24"/>
        </w:rPr>
      </w:pPr>
      <w:r w:rsidRPr="006D71C7">
        <w:rPr>
          <w:sz w:val="24"/>
          <w:szCs w:val="24"/>
        </w:rPr>
        <w:t>Wnioski i rekomendacje w obszarze równości szans na kolejne okresy realizacji programu:</w:t>
      </w:r>
    </w:p>
    <w:p w:rsidR="00773065" w:rsidRPr="006D71C7" w:rsidRDefault="00773065" w:rsidP="00BA2FE7">
      <w:pPr>
        <w:pStyle w:val="Tekstpodstawowy21"/>
        <w:numPr>
          <w:ilvl w:val="0"/>
          <w:numId w:val="72"/>
        </w:numPr>
        <w:spacing w:line="276" w:lineRule="auto"/>
        <w:jc w:val="both"/>
        <w:rPr>
          <w:sz w:val="24"/>
          <w:szCs w:val="24"/>
        </w:rPr>
      </w:pPr>
      <w:r w:rsidRPr="006D71C7">
        <w:rPr>
          <w:sz w:val="24"/>
          <w:szCs w:val="24"/>
        </w:rPr>
        <w:t xml:space="preserve">wszystkie działania i inicjatywy uwzględniać będą w sposób pełny i aktywny na wszystkich etapach realizacji swój wpływ </w:t>
      </w:r>
      <w:r w:rsidR="00E062FC" w:rsidRPr="006D71C7">
        <w:rPr>
          <w:sz w:val="24"/>
          <w:szCs w:val="24"/>
        </w:rPr>
        <w:t xml:space="preserve">na </w:t>
      </w:r>
      <w:r w:rsidRPr="006D71C7">
        <w:rPr>
          <w:sz w:val="24"/>
          <w:szCs w:val="24"/>
        </w:rPr>
        <w:t>zasadę równości szans,</w:t>
      </w:r>
    </w:p>
    <w:p w:rsidR="00773065" w:rsidRPr="006D71C7" w:rsidRDefault="00773065" w:rsidP="00BA2FE7">
      <w:pPr>
        <w:pStyle w:val="Tekstpodstawowy21"/>
        <w:numPr>
          <w:ilvl w:val="0"/>
          <w:numId w:val="72"/>
        </w:numPr>
        <w:spacing w:line="276" w:lineRule="auto"/>
        <w:jc w:val="both"/>
        <w:rPr>
          <w:sz w:val="24"/>
          <w:szCs w:val="24"/>
        </w:rPr>
      </w:pPr>
      <w:r w:rsidRPr="006D71C7">
        <w:rPr>
          <w:sz w:val="24"/>
          <w:szCs w:val="24"/>
        </w:rPr>
        <w:t xml:space="preserve">zwiększenie świadomości beneficjentów, którzy w większości zasadę </w:t>
      </w:r>
      <w:r w:rsidRPr="006D71C7">
        <w:rPr>
          <w:i/>
          <w:sz w:val="24"/>
          <w:szCs w:val="24"/>
        </w:rPr>
        <w:t xml:space="preserve">równości szans </w:t>
      </w:r>
      <w:r w:rsidRPr="006D71C7">
        <w:rPr>
          <w:sz w:val="24"/>
          <w:szCs w:val="24"/>
        </w:rPr>
        <w:t>kojarzyli jedynie z zapewnieniem równości płci,</w:t>
      </w:r>
    </w:p>
    <w:p w:rsidR="00773065" w:rsidRPr="006D71C7" w:rsidRDefault="00773065" w:rsidP="00BA2FE7">
      <w:pPr>
        <w:pStyle w:val="Tekstpodstawowy21"/>
        <w:numPr>
          <w:ilvl w:val="0"/>
          <w:numId w:val="72"/>
        </w:numPr>
        <w:spacing w:line="276" w:lineRule="auto"/>
        <w:jc w:val="both"/>
        <w:rPr>
          <w:sz w:val="24"/>
          <w:szCs w:val="24"/>
        </w:rPr>
      </w:pPr>
      <w:r w:rsidRPr="006D71C7">
        <w:rPr>
          <w:sz w:val="24"/>
          <w:szCs w:val="24"/>
        </w:rPr>
        <w:t>położenie większego nacisku na szkolenia w przedmiotowym zakresie, którymi objęci powinni być wszyscy aktorzy zaangażowani we wdrażanie i realizację Programu.</w:t>
      </w:r>
    </w:p>
    <w:p w:rsidR="005E4CA8" w:rsidRPr="006D71C7" w:rsidRDefault="004D5691" w:rsidP="00BA2FE7">
      <w:pPr>
        <w:pStyle w:val="Nagwek1"/>
        <w:numPr>
          <w:ilvl w:val="2"/>
          <w:numId w:val="38"/>
        </w:numPr>
        <w:tabs>
          <w:tab w:val="left" w:pos="851"/>
        </w:tabs>
        <w:spacing w:after="120"/>
        <w:jc w:val="both"/>
        <w:rPr>
          <w:szCs w:val="24"/>
        </w:rPr>
      </w:pPr>
      <w:bookmarkStart w:id="192" w:name="_Toc292789264"/>
      <w:bookmarkStart w:id="193" w:name="_Toc292793549"/>
      <w:bookmarkStart w:id="194" w:name="_Toc327259223"/>
      <w:r w:rsidRPr="006D71C7">
        <w:rPr>
          <w:bCs w:val="0"/>
          <w:szCs w:val="24"/>
        </w:rPr>
        <w:t>ZASADA</w:t>
      </w:r>
      <w:r w:rsidRPr="006D71C7">
        <w:rPr>
          <w:szCs w:val="24"/>
        </w:rPr>
        <w:t xml:space="preserve"> PARTNERSTWA</w:t>
      </w:r>
      <w:bookmarkEnd w:id="192"/>
      <w:bookmarkEnd w:id="193"/>
      <w:bookmarkEnd w:id="194"/>
    </w:p>
    <w:p w:rsidR="005D6CE0" w:rsidRPr="006D71C7" w:rsidRDefault="005D6CE0" w:rsidP="006D71C7">
      <w:pPr>
        <w:pStyle w:val="Tekstpodstawowy21"/>
        <w:spacing w:after="120" w:line="276" w:lineRule="auto"/>
        <w:jc w:val="both"/>
        <w:rPr>
          <w:sz w:val="24"/>
          <w:szCs w:val="24"/>
        </w:rPr>
      </w:pPr>
      <w:r w:rsidRPr="006D71C7">
        <w:rPr>
          <w:sz w:val="24"/>
          <w:szCs w:val="24"/>
        </w:rPr>
        <w:t>IZ RPO WSL realizuje zasadę partnerstwa na:</w:t>
      </w:r>
    </w:p>
    <w:p w:rsidR="005D6CE0" w:rsidRPr="006D71C7" w:rsidRDefault="00F07502" w:rsidP="00BA2FE7">
      <w:pPr>
        <w:pStyle w:val="Tekstpodstawowy21"/>
        <w:numPr>
          <w:ilvl w:val="0"/>
          <w:numId w:val="73"/>
        </w:numPr>
        <w:spacing w:line="276" w:lineRule="auto"/>
        <w:ind w:left="426"/>
        <w:jc w:val="both"/>
        <w:rPr>
          <w:sz w:val="24"/>
          <w:szCs w:val="24"/>
        </w:rPr>
      </w:pPr>
      <w:r w:rsidRPr="006D71C7">
        <w:rPr>
          <w:i/>
          <w:sz w:val="24"/>
          <w:szCs w:val="24"/>
        </w:rPr>
        <w:t>e</w:t>
      </w:r>
      <w:r w:rsidR="005D6CE0" w:rsidRPr="006D71C7">
        <w:rPr>
          <w:i/>
          <w:sz w:val="24"/>
          <w:szCs w:val="24"/>
        </w:rPr>
        <w:t>tapie programowania/wdrażania z uwzględnieniem następujących wymiarów</w:t>
      </w:r>
      <w:r w:rsidR="005D6CE0" w:rsidRPr="006D71C7">
        <w:rPr>
          <w:sz w:val="24"/>
          <w:szCs w:val="24"/>
        </w:rPr>
        <w:t>:</w:t>
      </w:r>
    </w:p>
    <w:p w:rsidR="005D6CE0" w:rsidRPr="006D71C7" w:rsidRDefault="00F07502" w:rsidP="006D71C7">
      <w:pPr>
        <w:pStyle w:val="Tekstpodstawowy21"/>
        <w:spacing w:line="276" w:lineRule="auto"/>
        <w:ind w:left="426"/>
        <w:jc w:val="both"/>
        <w:rPr>
          <w:i/>
          <w:sz w:val="24"/>
          <w:szCs w:val="24"/>
        </w:rPr>
      </w:pPr>
      <w:r w:rsidRPr="006D71C7">
        <w:rPr>
          <w:sz w:val="24"/>
          <w:szCs w:val="24"/>
          <w:u w:val="single"/>
        </w:rPr>
        <w:t>p</w:t>
      </w:r>
      <w:r w:rsidR="005D6CE0" w:rsidRPr="006D71C7">
        <w:rPr>
          <w:sz w:val="24"/>
          <w:szCs w:val="24"/>
          <w:u w:val="single"/>
        </w:rPr>
        <w:t>artnerstwo instytucjonalne</w:t>
      </w:r>
      <w:r w:rsidR="005D6CE0" w:rsidRPr="006D71C7">
        <w:rPr>
          <w:b/>
          <w:sz w:val="24"/>
          <w:szCs w:val="24"/>
        </w:rPr>
        <w:t xml:space="preserve"> - </w:t>
      </w:r>
      <w:r w:rsidR="005D6CE0" w:rsidRPr="006D71C7">
        <w:rPr>
          <w:sz w:val="24"/>
          <w:szCs w:val="24"/>
        </w:rPr>
        <w:t xml:space="preserve">przeprowadzenie konsultacji społecznych m.in. </w:t>
      </w:r>
      <w:r w:rsidR="005C0837" w:rsidRPr="006D71C7">
        <w:rPr>
          <w:sz w:val="24"/>
          <w:szCs w:val="24"/>
        </w:rPr>
        <w:t>RPO WSL</w:t>
      </w:r>
      <w:r w:rsidR="005D6CE0" w:rsidRPr="006D71C7">
        <w:rPr>
          <w:i/>
          <w:sz w:val="24"/>
          <w:szCs w:val="24"/>
        </w:rPr>
        <w:t xml:space="preserve"> </w:t>
      </w:r>
      <w:r w:rsidR="005D6CE0" w:rsidRPr="006D71C7">
        <w:rPr>
          <w:sz w:val="24"/>
          <w:szCs w:val="24"/>
        </w:rPr>
        <w:t>w formie badań ankietowych, warsztatów, subregionalnych spotkań kon</w:t>
      </w:r>
      <w:r w:rsidRPr="006D71C7">
        <w:rPr>
          <w:sz w:val="24"/>
          <w:szCs w:val="24"/>
        </w:rPr>
        <w:t>sultacyjnych. Wdrażanie Programów Rozwoju Subregionów</w:t>
      </w:r>
      <w:r w:rsidR="005D6CE0" w:rsidRPr="006D71C7">
        <w:rPr>
          <w:sz w:val="24"/>
          <w:szCs w:val="24"/>
        </w:rPr>
        <w:t>, które są programami tworzonymi w porozumieniu z władzami samorządów lokalnych danego subregionu</w:t>
      </w:r>
      <w:r w:rsidRPr="006D71C7">
        <w:rPr>
          <w:sz w:val="24"/>
          <w:szCs w:val="24"/>
        </w:rPr>
        <w:t>, powstanie przy KM RPO WSL grupy roboczej ds. partnerstwa społeczno – gospodarczego</w:t>
      </w:r>
      <w:r w:rsidR="005C0837" w:rsidRPr="006D71C7">
        <w:rPr>
          <w:sz w:val="24"/>
          <w:szCs w:val="24"/>
        </w:rPr>
        <w:t>, udział członków KM RPO WSL</w:t>
      </w:r>
      <w:r w:rsidR="009553B9" w:rsidRPr="006D71C7">
        <w:rPr>
          <w:sz w:val="24"/>
          <w:szCs w:val="24"/>
        </w:rPr>
        <w:t xml:space="preserve"> (szczegółowe informacje o działalności grupy zostały zamieszczone w pkt. 2.7 niniejszego </w:t>
      </w:r>
      <w:r w:rsidR="009553B9" w:rsidRPr="006D71C7">
        <w:rPr>
          <w:i/>
          <w:sz w:val="24"/>
          <w:szCs w:val="24"/>
        </w:rPr>
        <w:t>Sprawozdania</w:t>
      </w:r>
      <w:r w:rsidR="009553B9" w:rsidRPr="006D71C7">
        <w:rPr>
          <w:sz w:val="24"/>
          <w:szCs w:val="24"/>
        </w:rPr>
        <w:t>)</w:t>
      </w:r>
      <w:r w:rsidR="00BF71C1">
        <w:rPr>
          <w:sz w:val="24"/>
          <w:szCs w:val="24"/>
        </w:rPr>
        <w:t xml:space="preserve"> oraz pracowników IZ RPO WSL w </w:t>
      </w:r>
      <w:r w:rsidR="005C0837" w:rsidRPr="006D71C7">
        <w:rPr>
          <w:sz w:val="24"/>
          <w:szCs w:val="24"/>
        </w:rPr>
        <w:t xml:space="preserve">spotkaniach </w:t>
      </w:r>
      <w:r w:rsidR="005C0837" w:rsidRPr="006D71C7">
        <w:rPr>
          <w:rStyle w:val="Uwydatnienie"/>
          <w:bCs/>
          <w:i w:val="0"/>
          <w:sz w:val="24"/>
          <w:szCs w:val="24"/>
        </w:rPr>
        <w:t>Krajowej Sieci Tematycznej ds. Partnerstwa</w:t>
      </w:r>
      <w:r w:rsidRPr="006D71C7">
        <w:rPr>
          <w:i/>
          <w:sz w:val="24"/>
          <w:szCs w:val="24"/>
        </w:rPr>
        <w:t>.</w:t>
      </w:r>
    </w:p>
    <w:p w:rsidR="005D6CE0" w:rsidRPr="006D71C7" w:rsidRDefault="00F07502" w:rsidP="006D71C7">
      <w:pPr>
        <w:pStyle w:val="Tekstpodstawowy21"/>
        <w:spacing w:line="276" w:lineRule="auto"/>
        <w:ind w:left="426"/>
        <w:jc w:val="both"/>
        <w:rPr>
          <w:sz w:val="24"/>
          <w:szCs w:val="24"/>
        </w:rPr>
      </w:pPr>
      <w:r w:rsidRPr="006D71C7">
        <w:rPr>
          <w:sz w:val="24"/>
          <w:szCs w:val="24"/>
          <w:u w:val="single"/>
        </w:rPr>
        <w:t>w</w:t>
      </w:r>
      <w:r w:rsidR="005D6CE0" w:rsidRPr="006D71C7">
        <w:rPr>
          <w:sz w:val="24"/>
          <w:szCs w:val="24"/>
          <w:u w:val="single"/>
        </w:rPr>
        <w:t>sparcie mechanizmów partnerstwa</w:t>
      </w:r>
      <w:r w:rsidRPr="006D71C7">
        <w:rPr>
          <w:sz w:val="24"/>
          <w:szCs w:val="24"/>
          <w:u w:val="single"/>
        </w:rPr>
        <w:t xml:space="preserve"> </w:t>
      </w:r>
      <w:r w:rsidR="005D6CE0" w:rsidRPr="006D71C7">
        <w:rPr>
          <w:b/>
          <w:sz w:val="24"/>
          <w:szCs w:val="24"/>
        </w:rPr>
        <w:t>-</w:t>
      </w:r>
      <w:r w:rsidR="005D6CE0" w:rsidRPr="006D71C7">
        <w:rPr>
          <w:sz w:val="24"/>
          <w:szCs w:val="24"/>
        </w:rPr>
        <w:t xml:space="preserve"> podstawowym elementem PRS jest uzgodniona lista projektów, które zostały uznane za szczególnie istotne dla rozwoju danego subregionu i wpłyną na poprawę życia mieszkańców na danym terytorium</w:t>
      </w:r>
      <w:r w:rsidRPr="006D71C7">
        <w:rPr>
          <w:sz w:val="24"/>
          <w:szCs w:val="24"/>
        </w:rPr>
        <w:t xml:space="preserve"> (szczegółowe informacje dot. realizacji PRS zostały zamieszczone w pkt. 2.1.6.2 niniejszego </w:t>
      </w:r>
      <w:r w:rsidRPr="006D71C7">
        <w:rPr>
          <w:i/>
          <w:sz w:val="24"/>
          <w:szCs w:val="24"/>
        </w:rPr>
        <w:t>Sprawozdania).</w:t>
      </w:r>
    </w:p>
    <w:p w:rsidR="00290616" w:rsidRPr="006D71C7" w:rsidRDefault="00F07502" w:rsidP="006D71C7">
      <w:pPr>
        <w:pStyle w:val="Default"/>
        <w:spacing w:line="276" w:lineRule="auto"/>
        <w:ind w:left="426"/>
        <w:jc w:val="both"/>
        <w:rPr>
          <w:color w:val="auto"/>
        </w:rPr>
      </w:pPr>
      <w:r w:rsidRPr="006D71C7">
        <w:rPr>
          <w:color w:val="auto"/>
          <w:u w:val="single"/>
        </w:rPr>
        <w:t>p</w:t>
      </w:r>
      <w:r w:rsidR="005D6CE0" w:rsidRPr="006D71C7">
        <w:rPr>
          <w:color w:val="auto"/>
          <w:u w:val="single"/>
        </w:rPr>
        <w:t>artnerstwo na poziomie projektów</w:t>
      </w:r>
      <w:r w:rsidR="005D6CE0" w:rsidRPr="006D71C7">
        <w:rPr>
          <w:b/>
          <w:color w:val="auto"/>
        </w:rPr>
        <w:t xml:space="preserve"> -</w:t>
      </w:r>
      <w:r w:rsidRPr="006D71C7">
        <w:rPr>
          <w:b/>
          <w:color w:val="auto"/>
        </w:rPr>
        <w:t xml:space="preserve"> </w:t>
      </w:r>
      <w:r w:rsidR="00E12450" w:rsidRPr="006D71C7">
        <w:rPr>
          <w:color w:val="auto"/>
        </w:rPr>
        <w:t>do końca okresu sprawozdawczego ponad 120 projektów realizowanych było w partnerstwie tzn. wspólna realizacja zadania przez więcej niż jednego beneficjenta. Projekty partnerskie realizowane były w ramach wszystkich priorytetów RPO WSL</w:t>
      </w:r>
      <w:r w:rsidR="00AE72C8" w:rsidRPr="006D71C7">
        <w:rPr>
          <w:color w:val="auto"/>
        </w:rPr>
        <w:t>,</w:t>
      </w:r>
      <w:r w:rsidR="00E12450" w:rsidRPr="006D71C7">
        <w:rPr>
          <w:color w:val="auto"/>
        </w:rPr>
        <w:t xml:space="preserve"> przy czym szczególnie preferowanym obszarem przez beneficjentów było społeczeństwo informacyjne</w:t>
      </w:r>
      <w:r w:rsidR="00E12450" w:rsidRPr="006D71C7">
        <w:rPr>
          <w:i/>
          <w:color w:val="auto"/>
        </w:rPr>
        <w:t>.</w:t>
      </w:r>
      <w:r w:rsidR="00E12450" w:rsidRPr="006D71C7">
        <w:rPr>
          <w:rFonts w:eastAsia="Calibri"/>
          <w:color w:val="auto"/>
        </w:rPr>
        <w:t xml:space="preserve"> W RPO WSL największą grupę partnerstw projektowych stanowią partnerstwa utworzone wyłącznie przez podmioty sektora publicznego. Realizacja w ramach RPO WSL projektu w formule partnerskiej w większości przypadków generuje wartość dodaną w postaci poszerzenia zasięgu terytorialnego danego przedsięwzięcia na obszar obejmujący kilka gmin, powiatów bądź miast min. w ramach realizacji projektów kluczowych bądź projektów w ramach PRS. Realizacja projektów w partnerstwie niesie ze sobą znaczną wartość dodaną wyrażoną w efekcie synergii wynikającym ze wspólnej realizacji zadań w projekcie, wypracowania wspólnego rozwiązania problemu oraz odejścia od fragmentarycznych i często nieskoordynowanych działań podejmowanych przez różne podmioty w tych samych obszarach. Projekty realizowane w partnerstwie przyczyniają się także do nawiązania współpracy między instytucjami, co wpływa na proces wzajemnego uczenia się i rozwiązywania problemów.</w:t>
      </w:r>
    </w:p>
    <w:p w:rsidR="005D6CE0" w:rsidRPr="006D71C7" w:rsidRDefault="00F07502" w:rsidP="00BA2FE7">
      <w:pPr>
        <w:pStyle w:val="Default"/>
        <w:numPr>
          <w:ilvl w:val="0"/>
          <w:numId w:val="73"/>
        </w:numPr>
        <w:spacing w:line="276" w:lineRule="auto"/>
        <w:ind w:left="426"/>
        <w:jc w:val="both"/>
        <w:rPr>
          <w:rFonts w:eastAsia="Calibri"/>
          <w:color w:val="auto"/>
        </w:rPr>
      </w:pPr>
      <w:r w:rsidRPr="006D71C7">
        <w:rPr>
          <w:i/>
          <w:iCs/>
          <w:color w:val="auto"/>
        </w:rPr>
        <w:t>e</w:t>
      </w:r>
      <w:r w:rsidR="005D6CE0" w:rsidRPr="006D71C7">
        <w:rPr>
          <w:i/>
          <w:iCs/>
          <w:color w:val="auto"/>
        </w:rPr>
        <w:t>tapie monitorowania z uwzględnieniem partnerstwa instytucjonalnego</w:t>
      </w:r>
      <w:r w:rsidR="0026742E" w:rsidRPr="006D71C7">
        <w:rPr>
          <w:i/>
          <w:iCs/>
          <w:color w:val="auto"/>
        </w:rPr>
        <w:t xml:space="preserve"> </w:t>
      </w:r>
      <w:r w:rsidR="005D6CE0" w:rsidRPr="006D71C7">
        <w:rPr>
          <w:b/>
          <w:i/>
          <w:iCs/>
          <w:color w:val="auto"/>
        </w:rPr>
        <w:t xml:space="preserve">- </w:t>
      </w:r>
      <w:r w:rsidR="005D6CE0" w:rsidRPr="006D71C7">
        <w:rPr>
          <w:iCs/>
          <w:color w:val="auto"/>
        </w:rPr>
        <w:t>organizowanie spotkań Komitetu Monitorujące RPO</w:t>
      </w:r>
      <w:r w:rsidR="005C0837" w:rsidRPr="006D71C7">
        <w:rPr>
          <w:iCs/>
          <w:color w:val="auto"/>
        </w:rPr>
        <w:t xml:space="preserve"> </w:t>
      </w:r>
      <w:r w:rsidR="005D6CE0" w:rsidRPr="006D71C7">
        <w:rPr>
          <w:iCs/>
          <w:color w:val="auto"/>
        </w:rPr>
        <w:t xml:space="preserve">WSL, w skład którego wchodzą przedstawiciele samorządowi, rządowi oraz przedstawiciele ze strony partnerów społecznych i gospodarczych, </w:t>
      </w:r>
      <w:r w:rsidR="005C0837" w:rsidRPr="006D71C7">
        <w:rPr>
          <w:iCs/>
          <w:color w:val="auto"/>
        </w:rPr>
        <w:t>opiniowanie</w:t>
      </w:r>
      <w:r w:rsidR="005D6CE0" w:rsidRPr="006D71C7">
        <w:rPr>
          <w:iCs/>
          <w:color w:val="auto"/>
        </w:rPr>
        <w:t xml:space="preserve"> sprawozdania ok</w:t>
      </w:r>
      <w:r w:rsidR="005C0837" w:rsidRPr="006D71C7">
        <w:rPr>
          <w:iCs/>
          <w:color w:val="auto"/>
        </w:rPr>
        <w:t>resowego z realizacji RPO WSL i </w:t>
      </w:r>
      <w:r w:rsidR="005D6CE0" w:rsidRPr="006D71C7">
        <w:rPr>
          <w:iCs/>
          <w:color w:val="auto"/>
        </w:rPr>
        <w:t>zatwierdzanie sprawozdania rocznego i końcowego, monitorowanie kwestii środowiskowych przez koordynatora ds. środowiskowych.</w:t>
      </w:r>
      <w:r w:rsidR="00290616" w:rsidRPr="006D71C7">
        <w:rPr>
          <w:iCs/>
          <w:color w:val="auto"/>
        </w:rPr>
        <w:t xml:space="preserve"> Ponadto prezentacja członkom KM RPO WSL postępów we wdrażaniu RPO WSL. </w:t>
      </w:r>
      <w:r w:rsidR="00290616" w:rsidRPr="006D71C7">
        <w:rPr>
          <w:color w:val="auto"/>
        </w:rPr>
        <w:t xml:space="preserve">Wszystkie informacje nt. realizacji </w:t>
      </w:r>
      <w:r w:rsidR="00290616" w:rsidRPr="006D71C7">
        <w:rPr>
          <w:i/>
          <w:color w:val="auto"/>
        </w:rPr>
        <w:t xml:space="preserve">Programu, </w:t>
      </w:r>
      <w:r w:rsidR="00290616" w:rsidRPr="006D71C7">
        <w:rPr>
          <w:color w:val="auto"/>
        </w:rPr>
        <w:t>posiedzeń KM RPO WSL, grupy roboczej</w:t>
      </w:r>
      <w:r w:rsidR="00290616" w:rsidRPr="006D71C7">
        <w:rPr>
          <w:i/>
          <w:color w:val="auto"/>
        </w:rPr>
        <w:t xml:space="preserve"> </w:t>
      </w:r>
      <w:r w:rsidR="00290616" w:rsidRPr="006D71C7">
        <w:rPr>
          <w:color w:val="auto"/>
        </w:rPr>
        <w:t>umieszczane są</w:t>
      </w:r>
      <w:r w:rsidR="00290616" w:rsidRPr="006D71C7">
        <w:rPr>
          <w:i/>
          <w:color w:val="auto"/>
        </w:rPr>
        <w:t xml:space="preserve"> </w:t>
      </w:r>
      <w:r w:rsidR="00290616" w:rsidRPr="006D71C7">
        <w:rPr>
          <w:color w:val="auto"/>
        </w:rPr>
        <w:t>na stronach internetowych IZ RPO WSL, co zapewnia równy dostęp do informacji.</w:t>
      </w:r>
    </w:p>
    <w:p w:rsidR="005D6CE0" w:rsidRPr="006D71C7" w:rsidRDefault="00F07502" w:rsidP="00BA2FE7">
      <w:pPr>
        <w:pStyle w:val="Tekstpodstawowy21"/>
        <w:numPr>
          <w:ilvl w:val="0"/>
          <w:numId w:val="73"/>
        </w:numPr>
        <w:spacing w:line="276" w:lineRule="auto"/>
        <w:ind w:left="426"/>
        <w:jc w:val="both"/>
        <w:rPr>
          <w:sz w:val="24"/>
          <w:szCs w:val="24"/>
        </w:rPr>
      </w:pPr>
      <w:r w:rsidRPr="006D71C7">
        <w:rPr>
          <w:i/>
          <w:sz w:val="24"/>
          <w:szCs w:val="24"/>
        </w:rPr>
        <w:t>e</w:t>
      </w:r>
      <w:r w:rsidR="005D6CE0" w:rsidRPr="006D71C7">
        <w:rPr>
          <w:i/>
          <w:sz w:val="24"/>
          <w:szCs w:val="24"/>
        </w:rPr>
        <w:t>tapie ewaluacji z</w:t>
      </w:r>
      <w:r w:rsidR="005D6CE0" w:rsidRPr="006D71C7">
        <w:rPr>
          <w:i/>
          <w:iCs/>
          <w:sz w:val="24"/>
          <w:szCs w:val="24"/>
        </w:rPr>
        <w:t xml:space="preserve"> uwzględnieniem partnerstwa instytucjonalnego</w:t>
      </w:r>
      <w:r w:rsidR="0026742E" w:rsidRPr="006D71C7">
        <w:rPr>
          <w:i/>
          <w:iCs/>
          <w:sz w:val="24"/>
          <w:szCs w:val="24"/>
        </w:rPr>
        <w:t xml:space="preserve"> </w:t>
      </w:r>
      <w:r w:rsidR="005D6CE0" w:rsidRPr="006D71C7">
        <w:rPr>
          <w:b/>
          <w:i/>
          <w:iCs/>
          <w:sz w:val="24"/>
          <w:szCs w:val="24"/>
        </w:rPr>
        <w:t>-</w:t>
      </w:r>
      <w:r w:rsidR="005D6CE0" w:rsidRPr="006D71C7">
        <w:rPr>
          <w:sz w:val="24"/>
          <w:szCs w:val="24"/>
        </w:rPr>
        <w:t xml:space="preserve"> utrzymywanie partnerskich relacji Jednostki Ewaluacyjnej RPO WSL z ewaluatorem</w:t>
      </w:r>
      <w:r w:rsidR="0026742E" w:rsidRPr="006D71C7">
        <w:rPr>
          <w:sz w:val="24"/>
          <w:szCs w:val="24"/>
        </w:rPr>
        <w:t xml:space="preserve"> zewnętrznym, współpraca</w:t>
      </w:r>
      <w:r w:rsidR="005D6CE0" w:rsidRPr="006D71C7">
        <w:rPr>
          <w:sz w:val="24"/>
          <w:szCs w:val="24"/>
        </w:rPr>
        <w:t xml:space="preserve"> z ewaluatorem na każdym etapie wykonania badania poprzez wyznaczone każdorazowo w tym celu osoby, powołanie Grupy Sterującej ds. ewaluacji, która stanowi wsparcie dla JE RPO WSL m. in. przy formułowaniu zakresu ewaluacji, kryteriów wyboru ewaluatora zewnętrznego, ocenie wersji raportów końcowych i cząstkowych, opiniowaniu planów ewaluacyjnych, umożliwienie przez Jednostkę Ewaluacyjną RPO WSL wypowiedzenia się wszystkim interesariuszom w trakcie realizacji badania (m. in. beneficjentom, partnerom społecznym, ekspertom branżowym), konsultowanie wyników badań z </w:t>
      </w:r>
      <w:r w:rsidR="0026742E" w:rsidRPr="006D71C7">
        <w:rPr>
          <w:sz w:val="24"/>
          <w:szCs w:val="24"/>
        </w:rPr>
        <w:t>IZ RPO WSL</w:t>
      </w:r>
      <w:r w:rsidR="005D6CE0" w:rsidRPr="006D71C7">
        <w:rPr>
          <w:sz w:val="24"/>
          <w:szCs w:val="24"/>
        </w:rPr>
        <w:t xml:space="preserve"> i IP2</w:t>
      </w:r>
      <w:r w:rsidR="0026742E" w:rsidRPr="006D71C7">
        <w:rPr>
          <w:sz w:val="24"/>
          <w:szCs w:val="24"/>
        </w:rPr>
        <w:t xml:space="preserve"> RPO WSL</w:t>
      </w:r>
      <w:r w:rsidR="005D6CE0" w:rsidRPr="006D71C7">
        <w:rPr>
          <w:sz w:val="24"/>
          <w:szCs w:val="24"/>
        </w:rPr>
        <w:t xml:space="preserve">, publikowanie raportów z badań na stronach internetowych, co umożliwia wszystkim zainteresowanym zapoznanie się z wynikami; prezentowanie </w:t>
      </w:r>
      <w:r w:rsidR="005D6CE0" w:rsidRPr="006D71C7">
        <w:rPr>
          <w:i/>
          <w:sz w:val="24"/>
          <w:szCs w:val="24"/>
        </w:rPr>
        <w:t>Okresowych planów ewaluacji</w:t>
      </w:r>
      <w:r w:rsidR="005D6CE0" w:rsidRPr="006D71C7">
        <w:rPr>
          <w:sz w:val="24"/>
          <w:szCs w:val="24"/>
        </w:rPr>
        <w:t xml:space="preserve"> oraz</w:t>
      </w:r>
      <w:r w:rsidR="0026742E" w:rsidRPr="006D71C7">
        <w:rPr>
          <w:sz w:val="24"/>
          <w:szCs w:val="24"/>
        </w:rPr>
        <w:t xml:space="preserve"> wyników badań ewaluacyjnych na </w:t>
      </w:r>
      <w:r w:rsidR="005D6CE0" w:rsidRPr="006D71C7">
        <w:rPr>
          <w:sz w:val="24"/>
          <w:szCs w:val="24"/>
        </w:rPr>
        <w:t xml:space="preserve">posiedzeniach </w:t>
      </w:r>
      <w:r w:rsidR="0026742E" w:rsidRPr="006D71C7">
        <w:rPr>
          <w:sz w:val="24"/>
          <w:szCs w:val="24"/>
        </w:rPr>
        <w:t>KM RPO WSL</w:t>
      </w:r>
      <w:r w:rsidR="005D6CE0" w:rsidRPr="006D71C7">
        <w:rPr>
          <w:sz w:val="24"/>
          <w:szCs w:val="24"/>
        </w:rPr>
        <w:t>.</w:t>
      </w:r>
      <w:r w:rsidR="0026742E" w:rsidRPr="006D71C7">
        <w:rPr>
          <w:sz w:val="24"/>
          <w:szCs w:val="24"/>
        </w:rPr>
        <w:t xml:space="preserve"> </w:t>
      </w:r>
      <w:r w:rsidR="005D6CE0" w:rsidRPr="006D71C7">
        <w:rPr>
          <w:sz w:val="24"/>
          <w:szCs w:val="24"/>
        </w:rPr>
        <w:t>W 2012 roku planowane jest przeprowadzenie badania ewaluacyjnego, którego jednym z elementów będzie</w:t>
      </w:r>
      <w:r w:rsidR="0026742E" w:rsidRPr="006D71C7">
        <w:rPr>
          <w:sz w:val="24"/>
          <w:szCs w:val="24"/>
        </w:rPr>
        <w:t xml:space="preserve"> ocena kwestii horyzontalnych w </w:t>
      </w:r>
      <w:r w:rsidR="005D6CE0" w:rsidRPr="006D71C7">
        <w:rPr>
          <w:sz w:val="24"/>
          <w:szCs w:val="24"/>
        </w:rPr>
        <w:t xml:space="preserve">procesie wdrażania RPO WSL. W ramach badania zostanie w szczególności poddana analizie realizacja zasady partnerstwa, uwzględniając etap programowania, wdrażania, monitorowania i ewaluacji </w:t>
      </w:r>
      <w:r w:rsidR="005D6CE0" w:rsidRPr="006D71C7">
        <w:rPr>
          <w:i/>
          <w:sz w:val="24"/>
          <w:szCs w:val="24"/>
        </w:rPr>
        <w:t>Programu</w:t>
      </w:r>
      <w:r w:rsidR="005D6CE0" w:rsidRPr="006D71C7">
        <w:rPr>
          <w:sz w:val="24"/>
          <w:szCs w:val="24"/>
        </w:rPr>
        <w:t xml:space="preserve">. Ocenie zostanie poddana kwestia poprawności i skuteczności realizacji zasady oraz zostaną zaproponowane działania, jakie należałoby wprowadzić w ramach poszczególnych etapów realizacji RPO WSL, aby zwiększyć wpływ </w:t>
      </w:r>
      <w:r w:rsidR="005D6CE0" w:rsidRPr="006D71C7">
        <w:rPr>
          <w:i/>
          <w:sz w:val="24"/>
          <w:szCs w:val="24"/>
        </w:rPr>
        <w:t>Programu</w:t>
      </w:r>
      <w:r w:rsidR="005D6CE0" w:rsidRPr="006D71C7">
        <w:rPr>
          <w:sz w:val="24"/>
          <w:szCs w:val="24"/>
        </w:rPr>
        <w:t xml:space="preserve"> w zakresie wspierania zasady partnerstwa. Rekomendacje z badania zostaną przedstawione w następnym sprawozdaniu rocznym.</w:t>
      </w:r>
    </w:p>
    <w:p w:rsidR="005D6CE0" w:rsidRPr="006D71C7" w:rsidRDefault="005D6CE0" w:rsidP="006D71C7">
      <w:pPr>
        <w:pStyle w:val="Tekstpodstawowy21"/>
        <w:spacing w:line="276" w:lineRule="auto"/>
        <w:jc w:val="both"/>
        <w:rPr>
          <w:sz w:val="24"/>
          <w:szCs w:val="24"/>
        </w:rPr>
      </w:pPr>
    </w:p>
    <w:p w:rsidR="005D6CE0" w:rsidRPr="006D71C7" w:rsidRDefault="005D6CE0" w:rsidP="006D71C7">
      <w:pPr>
        <w:spacing w:after="0"/>
        <w:jc w:val="both"/>
        <w:rPr>
          <w:szCs w:val="24"/>
        </w:rPr>
      </w:pPr>
      <w:r w:rsidRPr="006D71C7">
        <w:rPr>
          <w:szCs w:val="24"/>
        </w:rPr>
        <w:t>IZ RPO WSL w ramach prac nad Funduszem Powierniczym JESSICA dla Województwa Śląskiego wpro</w:t>
      </w:r>
      <w:r w:rsidR="00E12450" w:rsidRPr="006D71C7">
        <w:rPr>
          <w:szCs w:val="24"/>
        </w:rPr>
        <w:t>wadziła konsultacje społeczne z </w:t>
      </w:r>
      <w:r w:rsidRPr="006D71C7">
        <w:rPr>
          <w:szCs w:val="24"/>
        </w:rPr>
        <w:t>partnerami lokalnymi. W związku z tym firma TPA-Horwath</w:t>
      </w:r>
      <w:r w:rsidRPr="006D71C7">
        <w:rPr>
          <w:rFonts w:ascii="Arial" w:hAnsi="Arial" w:cs="Arial"/>
          <w:sz w:val="20"/>
          <w:szCs w:val="20"/>
        </w:rPr>
        <w:t xml:space="preserve"> </w:t>
      </w:r>
      <w:r w:rsidRPr="006D71C7">
        <w:rPr>
          <w:szCs w:val="24"/>
        </w:rPr>
        <w:t>przeprowadziła badania ankietowe, któr</w:t>
      </w:r>
      <w:r w:rsidR="00BF71C1">
        <w:rPr>
          <w:szCs w:val="24"/>
        </w:rPr>
        <w:t>e realizowane było w okresie od </w:t>
      </w:r>
      <w:r w:rsidRPr="006D71C7">
        <w:rPr>
          <w:szCs w:val="24"/>
        </w:rPr>
        <w:t xml:space="preserve">21 grudnia 2010 roku do 7 stycznia 2011 roku. Adresatami badania byli potencjalni kandydaci na Fundusze Rozwoju Obszarów Miejskich oraz potencjalni beneficjenci </w:t>
      </w:r>
      <w:r w:rsidR="00AE72C8" w:rsidRPr="006D71C7">
        <w:rPr>
          <w:szCs w:val="24"/>
        </w:rPr>
        <w:t>P</w:t>
      </w:r>
      <w:r w:rsidRPr="006D71C7">
        <w:rPr>
          <w:szCs w:val="24"/>
        </w:rPr>
        <w:t xml:space="preserve">rojektów </w:t>
      </w:r>
      <w:r w:rsidR="00AE72C8" w:rsidRPr="006D71C7">
        <w:rPr>
          <w:szCs w:val="24"/>
        </w:rPr>
        <w:t>M</w:t>
      </w:r>
      <w:r w:rsidRPr="006D71C7">
        <w:rPr>
          <w:szCs w:val="24"/>
        </w:rPr>
        <w:t>iejskich.</w:t>
      </w:r>
      <w:r w:rsidR="00E12450" w:rsidRPr="006D71C7">
        <w:rPr>
          <w:szCs w:val="24"/>
        </w:rPr>
        <w:t xml:space="preserve"> </w:t>
      </w:r>
      <w:r w:rsidRPr="006D71C7">
        <w:t>W ramach przeprowadzonego badania ankietowego instytucje zainteresowane pełnieniem funkcji FROM złożyły 9 ankiet. Spośród nich 3 z</w:t>
      </w:r>
      <w:r w:rsidR="00E12450" w:rsidRPr="006D71C7">
        <w:t>a</w:t>
      </w:r>
      <w:r w:rsidRPr="006D71C7">
        <w:t xml:space="preserve">deklarowały doświadczenie w realizacji projektów w formule PPP. Doświadczeniem we wdrażaniu projektów rewitalizacyjnych wykazało się z kolei 6 instytucji. </w:t>
      </w:r>
      <w:r w:rsidR="00AE72C8" w:rsidRPr="006D71C7">
        <w:t>I</w:t>
      </w:r>
      <w:r w:rsidRPr="006D71C7">
        <w:t>dentyfikacje potencjalnych projektów miejskich możliwych do wsparcia w ramach Inicjatywy JESSICA rozpoczęło 8</w:t>
      </w:r>
      <w:r w:rsidR="002F2535" w:rsidRPr="006D71C7">
        <w:t> </w:t>
      </w:r>
      <w:r w:rsidRPr="006D71C7">
        <w:t>kandydatów na FROM. Tylko dwie instytucje wskazały preferowany obszar tematyczny, były to: tereny pogórnicze i tereny poprzemysłowe.</w:t>
      </w:r>
      <w:r w:rsidRPr="006D71C7">
        <w:rPr>
          <w:szCs w:val="24"/>
        </w:rPr>
        <w:t xml:space="preserve"> </w:t>
      </w:r>
      <w:r w:rsidRPr="006D71C7">
        <w:t>Spośród instytucji biorących udział w</w:t>
      </w:r>
      <w:r w:rsidR="002F2535" w:rsidRPr="006D71C7">
        <w:t> </w:t>
      </w:r>
      <w:r w:rsidRPr="006D71C7">
        <w:t>badaniu ankietowym największe zainteresowanie pełnieniem funkcji FROM wyraził</w:t>
      </w:r>
      <w:r w:rsidR="00E12450" w:rsidRPr="006D71C7">
        <w:t xml:space="preserve">y Agencje Rozwoju Regionalnego. </w:t>
      </w:r>
      <w:r w:rsidRPr="006D71C7">
        <w:t>Z możliwych modeli finansowych FROM największym zainteresowaniem cieszył się model p</w:t>
      </w:r>
      <w:r w:rsidR="00EF1AC6" w:rsidRPr="006D71C7">
        <w:t xml:space="preserve">ożyczkowo-poręczeniowy. </w:t>
      </w:r>
      <w:r w:rsidR="00E12450" w:rsidRPr="006D71C7">
        <w:t>Żaden z </w:t>
      </w:r>
      <w:r w:rsidRPr="006D71C7">
        <w:t>potencjalnych kandydatów na FROM nie wyraził natomiast zainteresowania modelem poręczeniowym.</w:t>
      </w:r>
      <w:r w:rsidRPr="006D71C7">
        <w:rPr>
          <w:szCs w:val="24"/>
        </w:rPr>
        <w:t xml:space="preserve"> </w:t>
      </w:r>
      <w:r w:rsidRPr="006D71C7">
        <w:t>Potencjalne FROM w większym stopniu niż działalnością regionalną wyraziły zainteresowanie działalnością na poziomie subregionalnym. W ramach przeprowadzonego badania ankietowego wpłynęło równi</w:t>
      </w:r>
      <w:r w:rsidR="00E12450" w:rsidRPr="006D71C7">
        <w:t>eż 61 ankiet złożonych przez 34 </w:t>
      </w:r>
      <w:r w:rsidRPr="006D71C7">
        <w:t>potencjalnych projektodawców. W ponad 80% złożonych projektów zadeklarowano spłatę zaciągniętego zobowiązania. Korzyści społeczno-ekonomiczne wykazano natomiast w ponad 90% złożonych ankiet. Spośród biorących udział w ankiecie potencjalnych projektodawców największą aktywność wykazały jednostki samorządu terytorialnego, z których wpłynęło ponad 50% wszystkich na</w:t>
      </w:r>
      <w:r w:rsidR="009553B9" w:rsidRPr="006D71C7">
        <w:t xml:space="preserve">desłanych projektów miejskich. </w:t>
      </w:r>
      <w:r w:rsidRPr="006D71C7">
        <w:t>Najaktywniejsi pod względem liczby potencjalnych beneficjentów i liczby potencjalnych projektów miejskich byli projektodawcy subregionu centralnego, którzy zarówno w liczbie potencjalnych beneficjentów, jak i liczbie potencjalnych projektów miejskich stanowili ponad 50% z ogół podmiotów uczestniczących w badaniu ankietowym. W największym stopni potencjalni projektodawcy zainteresowani byli realizacją projektów z</w:t>
      </w:r>
      <w:r w:rsidR="009553B9" w:rsidRPr="006D71C7">
        <w:t xml:space="preserve"> zakresu rewitalizacji miast, w </w:t>
      </w:r>
      <w:r w:rsidRPr="006D71C7">
        <w:t xml:space="preserve">szczególności rehabilitacją starych i ubogich lokalizacji cechujących się brakiem dostępu do usług o wysokiej jakości i brakiem obiektów rekreacyjno-sportowych. </w:t>
      </w:r>
      <w:r w:rsidRPr="006D71C7">
        <w:rPr>
          <w:szCs w:val="24"/>
        </w:rPr>
        <w:t>Następnie firma TPA-Horwath zorganizowała kilka spotkań z potencjalnymi projektodawcami.</w:t>
      </w:r>
    </w:p>
    <w:p w:rsidR="005D6CE0" w:rsidRPr="006D71C7" w:rsidRDefault="005D6CE0" w:rsidP="006D71C7">
      <w:pPr>
        <w:spacing w:after="0" w:line="240" w:lineRule="auto"/>
        <w:ind w:left="2124" w:hanging="2124"/>
        <w:jc w:val="both"/>
        <w:rPr>
          <w:rFonts w:ascii="Arial" w:hAnsi="Arial" w:cs="Arial"/>
          <w:i/>
        </w:rPr>
      </w:pPr>
      <w:r w:rsidRPr="006D71C7">
        <w:rPr>
          <w:rFonts w:ascii="Arial" w:hAnsi="Arial" w:cs="Arial"/>
        </w:rPr>
        <w:tab/>
      </w:r>
    </w:p>
    <w:p w:rsidR="005D6CE0" w:rsidRPr="006D71C7" w:rsidRDefault="005D6CE0" w:rsidP="006D71C7">
      <w:pPr>
        <w:pStyle w:val="Tekstpodstawowy21"/>
        <w:spacing w:line="276" w:lineRule="auto"/>
        <w:jc w:val="both"/>
        <w:rPr>
          <w:sz w:val="24"/>
          <w:szCs w:val="24"/>
        </w:rPr>
      </w:pPr>
      <w:r w:rsidRPr="006D71C7">
        <w:rPr>
          <w:sz w:val="24"/>
          <w:szCs w:val="24"/>
        </w:rPr>
        <w:t>Wnioski i rekomendacje w obszarze partnerstw</w:t>
      </w:r>
      <w:r w:rsidR="00290616" w:rsidRPr="006D71C7">
        <w:rPr>
          <w:sz w:val="24"/>
          <w:szCs w:val="24"/>
        </w:rPr>
        <w:t xml:space="preserve">a na kolejne okresy realizacji </w:t>
      </w:r>
      <w:r w:rsidR="00290616" w:rsidRPr="006D71C7">
        <w:rPr>
          <w:i/>
          <w:sz w:val="24"/>
          <w:szCs w:val="24"/>
        </w:rPr>
        <w:t>P</w:t>
      </w:r>
      <w:r w:rsidRPr="006D71C7">
        <w:rPr>
          <w:i/>
          <w:sz w:val="24"/>
          <w:szCs w:val="24"/>
        </w:rPr>
        <w:t>rogramu</w:t>
      </w:r>
      <w:r w:rsidRPr="006D71C7">
        <w:rPr>
          <w:sz w:val="24"/>
          <w:szCs w:val="24"/>
        </w:rPr>
        <w:t>:</w:t>
      </w:r>
    </w:p>
    <w:p w:rsidR="005D6CE0" w:rsidRPr="006D71C7" w:rsidRDefault="005D6CE0" w:rsidP="00BA2FE7">
      <w:pPr>
        <w:pStyle w:val="Tekstpodstawowy21"/>
        <w:numPr>
          <w:ilvl w:val="0"/>
          <w:numId w:val="74"/>
        </w:numPr>
        <w:spacing w:line="276" w:lineRule="auto"/>
        <w:jc w:val="both"/>
        <w:rPr>
          <w:sz w:val="24"/>
          <w:szCs w:val="24"/>
        </w:rPr>
      </w:pPr>
      <w:r w:rsidRPr="006D71C7">
        <w:rPr>
          <w:sz w:val="24"/>
          <w:szCs w:val="24"/>
        </w:rPr>
        <w:t>wzmocnienie działań na rzecz aktywizacji partnerów społeczno – gospodarczych poprzez udział w kolejnym spotkaniach grupy roboczej ds. partnerstwa</w:t>
      </w:r>
      <w:r w:rsidR="00290616" w:rsidRPr="006D71C7">
        <w:rPr>
          <w:sz w:val="24"/>
          <w:szCs w:val="24"/>
        </w:rPr>
        <w:t xml:space="preserve"> społeczno – gospodarczego,</w:t>
      </w:r>
    </w:p>
    <w:p w:rsidR="007016CC" w:rsidRPr="006D71C7" w:rsidRDefault="005D6CE0" w:rsidP="00BA2FE7">
      <w:pPr>
        <w:pStyle w:val="Tekstpodstawowy21"/>
        <w:numPr>
          <w:ilvl w:val="0"/>
          <w:numId w:val="74"/>
        </w:numPr>
        <w:spacing w:line="276" w:lineRule="auto"/>
        <w:jc w:val="both"/>
        <w:rPr>
          <w:sz w:val="24"/>
          <w:szCs w:val="24"/>
        </w:rPr>
      </w:pPr>
      <w:r w:rsidRPr="006D71C7">
        <w:rPr>
          <w:sz w:val="24"/>
          <w:szCs w:val="24"/>
        </w:rPr>
        <w:t xml:space="preserve">położenie większego nacisku na szkolenia w przedmiotowym zakresie, którymi objęci powinni być wszyscy aktorzy zaangażowani we wdrażanie i realizację </w:t>
      </w:r>
      <w:r w:rsidRPr="006D71C7">
        <w:rPr>
          <w:i/>
          <w:sz w:val="24"/>
          <w:szCs w:val="24"/>
        </w:rPr>
        <w:t>Programu</w:t>
      </w:r>
      <w:r w:rsidRPr="006D71C7">
        <w:rPr>
          <w:sz w:val="24"/>
          <w:szCs w:val="24"/>
        </w:rPr>
        <w:t>.</w:t>
      </w:r>
    </w:p>
    <w:p w:rsidR="00E97CDE" w:rsidRPr="006D71C7" w:rsidRDefault="00613F08" w:rsidP="00BA2FE7">
      <w:pPr>
        <w:pStyle w:val="Nagwek1"/>
        <w:numPr>
          <w:ilvl w:val="3"/>
          <w:numId w:val="38"/>
        </w:numPr>
        <w:tabs>
          <w:tab w:val="left" w:pos="851"/>
        </w:tabs>
        <w:spacing w:after="120"/>
        <w:ind w:left="567"/>
        <w:jc w:val="both"/>
        <w:rPr>
          <w:bCs w:val="0"/>
          <w:spacing w:val="1"/>
          <w:szCs w:val="24"/>
        </w:rPr>
      </w:pPr>
      <w:bookmarkStart w:id="195" w:name="_Toc292789265"/>
      <w:bookmarkStart w:id="196" w:name="_Toc292793550"/>
      <w:bookmarkStart w:id="197" w:name="_Toc327259224"/>
      <w:r w:rsidRPr="006D71C7">
        <w:rPr>
          <w:bCs w:val="0"/>
          <w:spacing w:val="1"/>
          <w:szCs w:val="24"/>
        </w:rPr>
        <w:t>NAPOTKANE ZNACZĄ</w:t>
      </w:r>
      <w:r w:rsidR="00D526BD" w:rsidRPr="006D71C7">
        <w:rPr>
          <w:bCs w:val="0"/>
          <w:spacing w:val="1"/>
          <w:szCs w:val="24"/>
        </w:rPr>
        <w:t>CE PROBLEMY ORAZ PODJĘ</w:t>
      </w:r>
      <w:r w:rsidR="007016CC" w:rsidRPr="006D71C7">
        <w:rPr>
          <w:bCs w:val="0"/>
          <w:spacing w:val="1"/>
          <w:szCs w:val="24"/>
        </w:rPr>
        <w:t>TE ŚRODKI ZARADCZE</w:t>
      </w:r>
      <w:bookmarkEnd w:id="195"/>
      <w:bookmarkEnd w:id="196"/>
      <w:bookmarkEnd w:id="197"/>
    </w:p>
    <w:p w:rsidR="000304D8" w:rsidRPr="006D71C7" w:rsidRDefault="001F74E7" w:rsidP="006D71C7">
      <w:pPr>
        <w:spacing w:after="0"/>
        <w:jc w:val="both"/>
        <w:rPr>
          <w:szCs w:val="24"/>
        </w:rPr>
      </w:pPr>
      <w:r w:rsidRPr="006D71C7">
        <w:t>W okresie sprawozdawczym IZ RPO WSL nie miała problemów z wdrażaniem poszczególnych priorytetów.</w:t>
      </w:r>
      <w:r w:rsidRPr="006D71C7">
        <w:rPr>
          <w:szCs w:val="24"/>
        </w:rPr>
        <w:t xml:space="preserve"> </w:t>
      </w:r>
      <w:r w:rsidR="00734B92" w:rsidRPr="006D71C7">
        <w:rPr>
          <w:szCs w:val="24"/>
        </w:rPr>
        <w:t>Jedynie</w:t>
      </w:r>
      <w:r w:rsidR="00734B92" w:rsidRPr="006D71C7">
        <w:t xml:space="preserve"> </w:t>
      </w:r>
      <w:r w:rsidRPr="006D71C7">
        <w:rPr>
          <w:szCs w:val="24"/>
        </w:rPr>
        <w:t>w ramach</w:t>
      </w:r>
      <w:r w:rsidR="00E73B61" w:rsidRPr="006D71C7">
        <w:rPr>
          <w:szCs w:val="24"/>
        </w:rPr>
        <w:t xml:space="preserve"> priorytetu II </w:t>
      </w:r>
      <w:r w:rsidR="007338BD" w:rsidRPr="006D71C7">
        <w:rPr>
          <w:i/>
          <w:szCs w:val="24"/>
        </w:rPr>
        <w:t>działanie 2.1.</w:t>
      </w:r>
      <w:r w:rsidR="00734B92" w:rsidRPr="006D71C7">
        <w:rPr>
          <w:i/>
          <w:szCs w:val="24"/>
        </w:rPr>
        <w:t xml:space="preserve"> </w:t>
      </w:r>
      <w:r w:rsidR="007338BD" w:rsidRPr="006D71C7">
        <w:rPr>
          <w:szCs w:val="24"/>
        </w:rPr>
        <w:t>IZ RPO WSL napotkała problem</w:t>
      </w:r>
      <w:r w:rsidR="00734B92" w:rsidRPr="006D71C7">
        <w:rPr>
          <w:i/>
          <w:szCs w:val="24"/>
        </w:rPr>
        <w:t>y</w:t>
      </w:r>
      <w:r w:rsidR="00AE72C8" w:rsidRPr="006D71C7">
        <w:rPr>
          <w:szCs w:val="24"/>
        </w:rPr>
        <w:t>, na co złożyło się</w:t>
      </w:r>
      <w:r w:rsidR="00E73B61" w:rsidRPr="006D71C7">
        <w:rPr>
          <w:szCs w:val="24"/>
        </w:rPr>
        <w:t>:</w:t>
      </w:r>
    </w:p>
    <w:p w:rsidR="000304D8" w:rsidRPr="006D71C7" w:rsidRDefault="00E73B61" w:rsidP="00BA2FE7">
      <w:pPr>
        <w:pStyle w:val="Akapitzlist"/>
        <w:numPr>
          <w:ilvl w:val="0"/>
          <w:numId w:val="76"/>
        </w:numPr>
        <w:spacing w:after="0"/>
        <w:jc w:val="both"/>
        <w:rPr>
          <w:szCs w:val="24"/>
        </w:rPr>
      </w:pPr>
      <w:r w:rsidRPr="006D71C7">
        <w:rPr>
          <w:szCs w:val="24"/>
        </w:rPr>
        <w:t xml:space="preserve">późne (z perspektywy wdrażania programów operacyjnych 2007-2013) opublikowanie kluczowych dokumentów: </w:t>
      </w:r>
      <w:r w:rsidRPr="006D71C7">
        <w:rPr>
          <w:i/>
          <w:szCs w:val="24"/>
        </w:rPr>
        <w:t>Wytycznych wspólnotowych w sprawie stosowania przepisów dotyczących pomocy państwa w odniesieniu do szybkiego wdrażania sieci szerokopasmowych</w:t>
      </w:r>
      <w:r w:rsidRPr="006D71C7">
        <w:rPr>
          <w:szCs w:val="24"/>
        </w:rPr>
        <w:t xml:space="preserve"> (wrzesień 2009), </w:t>
      </w:r>
      <w:r w:rsidRPr="006D71C7">
        <w:rPr>
          <w:i/>
          <w:szCs w:val="24"/>
        </w:rPr>
        <w:t>Rozporządzenia MRR z dnia 7 grudnia 2009 r. w sprawie udzielania pomocy na inwestycje w zakresie: energetyki, infrastruktury telekomunikacyjnej, infrastruktury sfery badawczo-rozwojowej, lecznictwa uzdrowiskowego w ramach RPO </w:t>
      </w:r>
      <w:r w:rsidRPr="006D71C7">
        <w:rPr>
          <w:szCs w:val="24"/>
        </w:rPr>
        <w:t xml:space="preserve"> (weszło w życie 31 grudnia 2009 roku), </w:t>
      </w:r>
      <w:r w:rsidRPr="006D71C7">
        <w:rPr>
          <w:i/>
          <w:szCs w:val="24"/>
        </w:rPr>
        <w:t>Ustawy o wspieraniu rozwoju usług i sieci telekomunikacyjnych z dnia 7 maja 2010 r</w:t>
      </w:r>
      <w:r w:rsidRPr="006D71C7">
        <w:rPr>
          <w:szCs w:val="24"/>
        </w:rPr>
        <w:t xml:space="preserve">., pierwsze dwa dokumenty regulują zasady udzielania pomocy publicznej w omawianym obszarze i ich późne pojawienie się wpłynęło bezpośrednio na czas ogłaszania pierwszych konkursów z </w:t>
      </w:r>
      <w:r w:rsidR="007338BD" w:rsidRPr="006D71C7">
        <w:rPr>
          <w:i/>
          <w:szCs w:val="24"/>
        </w:rPr>
        <w:t>działania 2.1,</w:t>
      </w:r>
      <w:r w:rsidRPr="006D71C7">
        <w:rPr>
          <w:szCs w:val="24"/>
        </w:rPr>
        <w:t xml:space="preserve"> natomiast megaustawa szerokopasmowa mająca ułatwić i przyspieszyć budowę infrastruktury szerokopasmowej nie dawała jasności interpretacyjnej,</w:t>
      </w:r>
    </w:p>
    <w:p w:rsidR="00E73B61" w:rsidRPr="006D71C7" w:rsidRDefault="00E73B61" w:rsidP="00BA2FE7">
      <w:pPr>
        <w:pStyle w:val="Akapitzlist"/>
        <w:numPr>
          <w:ilvl w:val="0"/>
          <w:numId w:val="76"/>
        </w:numPr>
        <w:spacing w:after="0"/>
        <w:jc w:val="both"/>
        <w:rPr>
          <w:szCs w:val="24"/>
        </w:rPr>
      </w:pPr>
      <w:r w:rsidRPr="006D71C7">
        <w:rPr>
          <w:szCs w:val="24"/>
        </w:rPr>
        <w:t>liczne wątpliwości interpretacyjne dot. stosowania ww. dokumentów, zwłaszcza w kontekście beneficjentów pomocy publicznej wg ww. rozporządzenia (jakie inwestycje są objęte pomocą publiczną, a jakie nie, np. sieci budowane na potrzeby własne JST, które na mocy megaustawy mogłyby być udostępniane operatorom, czy możliwe jest objęcie części projektu pomocą publiczną – stworzenie tzw. wariantu mieszanego, czy gminy mogą być przedsiębiorcami telekomunikacyjnymi i w związku z tym czy można im udzielać pomocy publicznej na mocy rozporządzenia wielosektorowego), kwestie dot. dokumentów zagospodarowania przestrzennego oraz prawa do dysponowania nieruchomością  w świetle regulacji wynikających z zapisów ww. ustawy,</w:t>
      </w:r>
    </w:p>
    <w:p w:rsidR="00E73B61" w:rsidRPr="006D71C7" w:rsidRDefault="00E73B61" w:rsidP="00BA2FE7">
      <w:pPr>
        <w:pStyle w:val="Akapitzlist"/>
        <w:numPr>
          <w:ilvl w:val="0"/>
          <w:numId w:val="76"/>
        </w:numPr>
        <w:spacing w:after="0"/>
        <w:jc w:val="both"/>
        <w:rPr>
          <w:szCs w:val="24"/>
        </w:rPr>
      </w:pPr>
      <w:r w:rsidRPr="006D71C7">
        <w:rPr>
          <w:szCs w:val="24"/>
        </w:rPr>
        <w:t xml:space="preserve">wątpliwości dot. możliwości i warunków stosowania </w:t>
      </w:r>
      <w:r w:rsidRPr="006D71C7">
        <w:rPr>
          <w:i/>
          <w:szCs w:val="24"/>
        </w:rPr>
        <w:t>Rozporządzenia MRR w sprawie udzielania regionalnej pomocy inwestycyjnej w ramach regionalnych programów operacyjnych</w:t>
      </w:r>
      <w:r w:rsidRPr="006D71C7">
        <w:rPr>
          <w:szCs w:val="24"/>
        </w:rPr>
        <w:t xml:space="preserve"> oraz </w:t>
      </w:r>
      <w:r w:rsidRPr="006D71C7">
        <w:rPr>
          <w:i/>
          <w:szCs w:val="24"/>
        </w:rPr>
        <w:t>Rozporządzenia MRR w sprawie udzielania pomocy de minimis w</w:t>
      </w:r>
      <w:r w:rsidR="00734B92" w:rsidRPr="006D71C7">
        <w:rPr>
          <w:i/>
          <w:szCs w:val="24"/>
        </w:rPr>
        <w:t> </w:t>
      </w:r>
      <w:r w:rsidRPr="006D71C7">
        <w:rPr>
          <w:i/>
          <w:szCs w:val="24"/>
        </w:rPr>
        <w:t>ramach RPO w przypadku inwestycji związanych z budową sieci szerokopasmowych</w:t>
      </w:r>
      <w:r w:rsidRPr="006D71C7">
        <w:rPr>
          <w:szCs w:val="24"/>
        </w:rPr>
        <w:t>,</w:t>
      </w:r>
    </w:p>
    <w:p w:rsidR="00E73B61" w:rsidRPr="006D71C7" w:rsidRDefault="00E73B61" w:rsidP="00BA2FE7">
      <w:pPr>
        <w:pStyle w:val="Akapitzlist"/>
        <w:numPr>
          <w:ilvl w:val="0"/>
          <w:numId w:val="76"/>
        </w:numPr>
        <w:spacing w:after="0"/>
        <w:jc w:val="both"/>
        <w:rPr>
          <w:szCs w:val="24"/>
        </w:rPr>
      </w:pPr>
      <w:r w:rsidRPr="006D71C7">
        <w:rPr>
          <w:szCs w:val="24"/>
        </w:rPr>
        <w:t>problemy dot. możliwości realizacji sieci szerokopasmowych na podstawie PFU, rozporządzenie nie wyłącza, w przeciwieństwie do innych inwestycji liniowych, konieczności posiadania już na etapie sporządzania PFU prawa do dysponowania nieruchomością, co w przeciwieństwie do inwestycji punktowych nie jest często możliwe do określenia na tym etapie procesu inwestycyjnego (dopiero obecnie trwają prace nad st</w:t>
      </w:r>
      <w:r w:rsidR="00D526BD" w:rsidRPr="006D71C7">
        <w:rPr>
          <w:szCs w:val="24"/>
        </w:rPr>
        <w:t>osowną</w:t>
      </w:r>
      <w:r w:rsidRPr="006D71C7">
        <w:rPr>
          <w:szCs w:val="24"/>
        </w:rPr>
        <w:t xml:space="preserve"> zmianą w rozporządzeniu),</w:t>
      </w:r>
    </w:p>
    <w:p w:rsidR="00E73B61" w:rsidRPr="006D71C7" w:rsidRDefault="00E73B61" w:rsidP="00BA2FE7">
      <w:pPr>
        <w:pStyle w:val="Akapitzlist"/>
        <w:numPr>
          <w:ilvl w:val="0"/>
          <w:numId w:val="76"/>
        </w:numPr>
        <w:spacing w:after="0"/>
        <w:jc w:val="both"/>
        <w:rPr>
          <w:szCs w:val="24"/>
        </w:rPr>
      </w:pPr>
      <w:r w:rsidRPr="006D71C7">
        <w:rPr>
          <w:szCs w:val="24"/>
        </w:rPr>
        <w:t>brak inwentaryzacji i wynikające z tego problemy z kwalifikacją obszarów (czarne/białe/szare), problemy ze sporządzeniem inwentaryzacji istniejącej i planowanej infrastruktury teletechnicznej, od czasu sporządzenia inwentaryzacji na poziomie krajowym – problemy z rozbieżnością informacji na poziomie inwentaryzacji własnej beneficjenta i inwentaryzacji krajowej (głównie wynikającą z zastosowanej skali – krajowa dotyczy poziomu gminy, beneficjenci analizują sołectwa i dzielnice),</w:t>
      </w:r>
    </w:p>
    <w:p w:rsidR="00A2743F" w:rsidRDefault="00E73B61" w:rsidP="00BA2FE7">
      <w:pPr>
        <w:pStyle w:val="Akapitzlist"/>
        <w:numPr>
          <w:ilvl w:val="0"/>
          <w:numId w:val="76"/>
        </w:numPr>
        <w:spacing w:after="0"/>
        <w:jc w:val="both"/>
        <w:rPr>
          <w:szCs w:val="24"/>
        </w:rPr>
      </w:pPr>
      <w:r w:rsidRPr="006D71C7">
        <w:rPr>
          <w:szCs w:val="24"/>
        </w:rPr>
        <w:t>brak doświadczenia w realizowaniu tego rodzaju inwestycji w przypadku beneficjentów z sektora publicznego (zwłaszcza jst), brak środków publicznych na wkład własny.</w:t>
      </w:r>
    </w:p>
    <w:p w:rsidR="00D12709" w:rsidRDefault="00D12709" w:rsidP="00D12709">
      <w:pPr>
        <w:pStyle w:val="Akapitzlist"/>
        <w:spacing w:after="0"/>
        <w:jc w:val="both"/>
        <w:rPr>
          <w:szCs w:val="24"/>
        </w:rPr>
      </w:pPr>
    </w:p>
    <w:p w:rsidR="00D12709" w:rsidRDefault="00D12709" w:rsidP="00D12709">
      <w:pPr>
        <w:spacing w:after="0"/>
        <w:jc w:val="both"/>
      </w:pPr>
      <w:r>
        <w:t>W kwestii utrudnień w realizacji wynikających z rozporządzenia dot. PFU – IZ</w:t>
      </w:r>
      <w:r w:rsidR="003F4FE5">
        <w:t xml:space="preserve"> RPO WSL zgłosiła</w:t>
      </w:r>
      <w:r>
        <w:t xml:space="preserve"> problem, niedawno wprowadzono zmianę do rozporządzenia uwzględniającą liniowy charakter inwestycji budowy sieci szkieletowych i dystrybucyjnych: </w:t>
      </w:r>
    </w:p>
    <w:p w:rsidR="00D12709" w:rsidRPr="00D12709" w:rsidRDefault="00D12709" w:rsidP="00BA2FE7">
      <w:pPr>
        <w:pStyle w:val="Akapitzlist"/>
        <w:numPr>
          <w:ilvl w:val="0"/>
          <w:numId w:val="107"/>
        </w:numPr>
        <w:spacing w:after="0"/>
        <w:ind w:left="567"/>
        <w:jc w:val="both"/>
      </w:pPr>
      <w:r w:rsidRPr="00D12709">
        <w:rPr>
          <w:i/>
          <w:iCs/>
          <w:color w:val="000000"/>
        </w:rPr>
        <w:t xml:space="preserve">rozporządzenie Ministra Transportu, Budownictwa </w:t>
      </w:r>
      <w:r w:rsidR="00BF71C1">
        <w:rPr>
          <w:i/>
          <w:iCs/>
          <w:color w:val="000000"/>
        </w:rPr>
        <w:t>i Gospodarki Morskiej z dnia 28 </w:t>
      </w:r>
      <w:r w:rsidRPr="00D12709">
        <w:rPr>
          <w:i/>
          <w:iCs/>
          <w:color w:val="000000"/>
        </w:rPr>
        <w:t>marca 2012 r.</w:t>
      </w:r>
      <w:r w:rsidRPr="00D12709">
        <w:rPr>
          <w:color w:val="000000"/>
        </w:rPr>
        <w:t xml:space="preserve"> </w:t>
      </w:r>
      <w:r w:rsidRPr="00D12709">
        <w:rPr>
          <w:i/>
          <w:iCs/>
          <w:color w:val="000000"/>
        </w:rPr>
        <w:t>zmieniające rozporządzenie w sprawie szczegółowego zakresu i formy dokumentacji projektowej, specyfikacji technicznych wykonania i odbioru robót budowlanych oraz programu funkcjonalno-użytkowego</w:t>
      </w:r>
      <w:r w:rsidRPr="00D12709">
        <w:rPr>
          <w:color w:val="000000"/>
        </w:rPr>
        <w:t>, zostało opublikowane w Dz. U. z dnia 4 kwietnia br., co znacznie ułatwi skompletow</w:t>
      </w:r>
      <w:r w:rsidR="00BF71C1">
        <w:rPr>
          <w:color w:val="000000"/>
        </w:rPr>
        <w:t>anie dokumentacji niezbędnej do </w:t>
      </w:r>
      <w:r w:rsidRPr="00D12709">
        <w:rPr>
          <w:color w:val="000000"/>
        </w:rPr>
        <w:t>aplikowania o dofinansowanie.</w:t>
      </w:r>
    </w:p>
    <w:p w:rsidR="00D12709" w:rsidRPr="00D12709" w:rsidRDefault="00D12709" w:rsidP="00D12709">
      <w:pPr>
        <w:spacing w:after="0"/>
        <w:ind w:left="720"/>
        <w:jc w:val="both"/>
      </w:pPr>
    </w:p>
    <w:p w:rsidR="00C74054" w:rsidRDefault="00D12709" w:rsidP="00D12709">
      <w:pPr>
        <w:jc w:val="both"/>
        <w:rPr>
          <w:iCs/>
          <w:color w:val="000000"/>
        </w:rPr>
      </w:pPr>
      <w:r>
        <w:rPr>
          <w:iCs/>
          <w:color w:val="000000"/>
        </w:rPr>
        <w:t>Ponadto w</w:t>
      </w:r>
      <w:r w:rsidRPr="00D12709">
        <w:rPr>
          <w:iCs/>
          <w:color w:val="000000"/>
        </w:rPr>
        <w:t xml:space="preserve"> odniesieniu do braku doświadczenia przy realizowaniu projektów infrastruktury szerokopas</w:t>
      </w:r>
      <w:r w:rsidR="003F4FE5">
        <w:rPr>
          <w:iCs/>
          <w:color w:val="000000"/>
        </w:rPr>
        <w:t>mowej – po zaakceptowaniu zmiany</w:t>
      </w:r>
      <w:r w:rsidRPr="00D12709">
        <w:rPr>
          <w:iCs/>
          <w:color w:val="000000"/>
        </w:rPr>
        <w:t xml:space="preserve"> w RPO WSL dot. uwzględnienia przedsiębiorców telekomunikacyjnych jako beneficjen</w:t>
      </w:r>
      <w:r>
        <w:rPr>
          <w:iCs/>
          <w:color w:val="000000"/>
        </w:rPr>
        <w:t>tów, został ogłoszony konkurs w </w:t>
      </w:r>
      <w:r w:rsidRPr="00D12709">
        <w:rPr>
          <w:iCs/>
          <w:color w:val="000000"/>
        </w:rPr>
        <w:t xml:space="preserve">ramach </w:t>
      </w:r>
      <w:r w:rsidRPr="00D12709">
        <w:rPr>
          <w:i/>
          <w:iCs/>
          <w:color w:val="000000"/>
        </w:rPr>
        <w:t>działania 2.1 Infrastruktura społeczeństwa informacyjnego</w:t>
      </w:r>
      <w:r w:rsidRPr="00D12709">
        <w:rPr>
          <w:iCs/>
          <w:color w:val="000000"/>
        </w:rPr>
        <w:t>, uwzględniający przedsiębiorców telekomunikacyjnych jako potencjalnych beneficjentów.</w:t>
      </w:r>
    </w:p>
    <w:p w:rsidR="00C74054" w:rsidRDefault="00C74054">
      <w:pPr>
        <w:spacing w:after="0" w:line="240" w:lineRule="auto"/>
        <w:rPr>
          <w:iCs/>
          <w:color w:val="000000"/>
        </w:rPr>
      </w:pPr>
      <w:r>
        <w:rPr>
          <w:iCs/>
          <w:color w:val="000000"/>
        </w:rPr>
        <w:br w:type="page"/>
      </w:r>
    </w:p>
    <w:p w:rsidR="00E44009" w:rsidRPr="006D71C7" w:rsidRDefault="007016CC" w:rsidP="00BA2FE7">
      <w:pPr>
        <w:pStyle w:val="Nagwek1"/>
        <w:numPr>
          <w:ilvl w:val="4"/>
          <w:numId w:val="38"/>
        </w:numPr>
        <w:tabs>
          <w:tab w:val="left" w:pos="851"/>
        </w:tabs>
        <w:spacing w:after="120"/>
        <w:ind w:left="567"/>
        <w:jc w:val="both"/>
        <w:rPr>
          <w:bCs w:val="0"/>
          <w:spacing w:val="1"/>
          <w:szCs w:val="24"/>
        </w:rPr>
      </w:pPr>
      <w:bookmarkStart w:id="198" w:name="_Toc292789266"/>
      <w:bookmarkStart w:id="199" w:name="_Toc292793551"/>
      <w:bookmarkStart w:id="200" w:name="_Toc327259225"/>
      <w:r w:rsidRPr="006D71C7">
        <w:rPr>
          <w:bCs w:val="0"/>
          <w:spacing w:val="1"/>
          <w:szCs w:val="24"/>
        </w:rPr>
        <w:t>ZMIANY W KONTEKŚCIE REALIZACJI RPO WSL</w:t>
      </w:r>
      <w:bookmarkStart w:id="201" w:name="_Toc262031853"/>
      <w:bookmarkEnd w:id="198"/>
      <w:bookmarkEnd w:id="199"/>
      <w:bookmarkEnd w:id="200"/>
    </w:p>
    <w:p w:rsidR="00D0638B" w:rsidRPr="006D71C7" w:rsidRDefault="00D0638B" w:rsidP="006D71C7">
      <w:pPr>
        <w:jc w:val="both"/>
        <w:rPr>
          <w:b/>
          <w:szCs w:val="24"/>
        </w:rPr>
      </w:pPr>
      <w:r w:rsidRPr="006D71C7">
        <w:rPr>
          <w:b/>
          <w:szCs w:val="24"/>
        </w:rPr>
        <w:t>Sytuacja gospodarcza województwa śląskiego w roku 2011</w:t>
      </w:r>
    </w:p>
    <w:p w:rsidR="0008138D" w:rsidRPr="00CF33B6" w:rsidRDefault="008C30FE" w:rsidP="00D30491">
      <w:pPr>
        <w:autoSpaceDE w:val="0"/>
        <w:autoSpaceDN w:val="0"/>
        <w:adjustRightInd w:val="0"/>
        <w:spacing w:after="120"/>
        <w:jc w:val="both"/>
        <w:rPr>
          <w:szCs w:val="24"/>
        </w:rPr>
      </w:pPr>
      <w:r w:rsidRPr="006D71C7">
        <w:rPr>
          <w:rFonts w:eastAsia="Calibri"/>
          <w:szCs w:val="24"/>
        </w:rPr>
        <w:t>Istotnym problemem odzwierciedlaj</w:t>
      </w:r>
      <w:r w:rsidRPr="006D71C7">
        <w:rPr>
          <w:rFonts w:ascii="TimesNewRoman" w:eastAsia="TimesNewRoman" w:cs="TimesNewRoman" w:hint="eastAsia"/>
          <w:szCs w:val="24"/>
        </w:rPr>
        <w:t>ą</w:t>
      </w:r>
      <w:r w:rsidRPr="006D71C7">
        <w:rPr>
          <w:rFonts w:eastAsia="Calibri"/>
          <w:szCs w:val="24"/>
        </w:rPr>
        <w:t>cym stan gospodarki województwa w ostatnich latach, a</w:t>
      </w:r>
      <w:r w:rsidR="00F564A8" w:rsidRPr="006D71C7">
        <w:rPr>
          <w:rFonts w:eastAsia="Calibri"/>
          <w:szCs w:val="24"/>
        </w:rPr>
        <w:t> </w:t>
      </w:r>
      <w:r w:rsidRPr="006D71C7">
        <w:rPr>
          <w:rFonts w:eastAsia="Calibri"/>
          <w:szCs w:val="24"/>
        </w:rPr>
        <w:t>w konsekwencji kondycj</w:t>
      </w:r>
      <w:r w:rsidRPr="006D71C7">
        <w:rPr>
          <w:rFonts w:ascii="TimesNewRoman" w:eastAsia="TimesNewRoman" w:cs="TimesNewRoman" w:hint="eastAsia"/>
          <w:szCs w:val="24"/>
        </w:rPr>
        <w:t>ę</w:t>
      </w:r>
      <w:r w:rsidRPr="006D71C7">
        <w:rPr>
          <w:rFonts w:ascii="TimesNewRoman" w:eastAsia="TimesNewRoman" w:cs="TimesNewRoman"/>
          <w:szCs w:val="24"/>
        </w:rPr>
        <w:t xml:space="preserve"> </w:t>
      </w:r>
      <w:r w:rsidRPr="006D71C7">
        <w:rPr>
          <w:rFonts w:eastAsia="Calibri"/>
          <w:szCs w:val="24"/>
        </w:rPr>
        <w:t>przedsi</w:t>
      </w:r>
      <w:r w:rsidRPr="006D71C7">
        <w:rPr>
          <w:rFonts w:ascii="TimesNewRoman" w:eastAsia="TimesNewRoman" w:cs="TimesNewRoman" w:hint="eastAsia"/>
          <w:szCs w:val="24"/>
        </w:rPr>
        <w:t>ę</w:t>
      </w:r>
      <w:r w:rsidRPr="006D71C7">
        <w:rPr>
          <w:rFonts w:eastAsia="Calibri"/>
          <w:szCs w:val="24"/>
        </w:rPr>
        <w:t>biorców działaj</w:t>
      </w:r>
      <w:r w:rsidRPr="006D71C7">
        <w:rPr>
          <w:rFonts w:ascii="TimesNewRoman" w:eastAsia="TimesNewRoman" w:cs="TimesNewRoman" w:hint="eastAsia"/>
          <w:szCs w:val="24"/>
        </w:rPr>
        <w:t>ą</w:t>
      </w:r>
      <w:r w:rsidRPr="006D71C7">
        <w:rPr>
          <w:rFonts w:eastAsia="Calibri"/>
          <w:szCs w:val="24"/>
        </w:rPr>
        <w:t xml:space="preserve">cych w regionie był </w:t>
      </w:r>
      <w:r w:rsidRPr="006D71C7">
        <w:rPr>
          <w:rFonts w:ascii="TimesNewRoman" w:eastAsia="TimesNewRoman" w:cs="TimesNewRoman" w:hint="eastAsia"/>
          <w:szCs w:val="24"/>
        </w:rPr>
        <w:t>ś</w:t>
      </w:r>
      <w:r w:rsidRPr="006D71C7">
        <w:rPr>
          <w:rFonts w:eastAsia="Calibri"/>
          <w:szCs w:val="24"/>
        </w:rPr>
        <w:t>wiatowy kryzys gospodarczy.</w:t>
      </w:r>
      <w:r w:rsidR="004036D3" w:rsidRPr="006D71C7">
        <w:rPr>
          <w:rFonts w:eastAsia="Calibri"/>
          <w:szCs w:val="24"/>
        </w:rPr>
        <w:t xml:space="preserve"> </w:t>
      </w:r>
      <w:r w:rsidR="00467D98">
        <w:t>W okresie sprawozdawczym wielu przedsiębiorców zgłaszało problemy związane z trudną kondycją</w:t>
      </w:r>
      <w:r w:rsidR="00467D98">
        <w:rPr>
          <w:rFonts w:ascii="TimesNewRoman" w:hAnsi="TimesNewRoman"/>
        </w:rPr>
        <w:t xml:space="preserve"> </w:t>
      </w:r>
      <w:r w:rsidR="00467D98">
        <w:t>ekonomiczną, która powodowa</w:t>
      </w:r>
      <w:r w:rsidR="00BF71C1">
        <w:t>ła wnioskowanie o pozwolenie na </w:t>
      </w:r>
      <w:r w:rsidR="00467D98">
        <w:t xml:space="preserve">zmiany w realizacji inwestycji. </w:t>
      </w:r>
      <w:r w:rsidR="00467D98">
        <w:rPr>
          <w:rFonts w:eastAsia="Calibri"/>
          <w:szCs w:val="24"/>
        </w:rPr>
        <w:t>Z</w:t>
      </w:r>
      <w:r w:rsidRPr="006D71C7">
        <w:rPr>
          <w:rFonts w:eastAsia="Calibri"/>
          <w:szCs w:val="24"/>
        </w:rPr>
        <w:t>miany dotyczyły przede wszystkim: przesuni</w:t>
      </w:r>
      <w:r w:rsidRPr="006D71C7">
        <w:rPr>
          <w:rFonts w:ascii="TimesNewRoman" w:eastAsia="TimesNewRoman" w:cs="TimesNewRoman" w:hint="eastAsia"/>
          <w:szCs w:val="24"/>
        </w:rPr>
        <w:t>ę</w:t>
      </w:r>
      <w:r w:rsidRPr="006D71C7">
        <w:rPr>
          <w:rFonts w:eastAsia="Calibri"/>
          <w:szCs w:val="24"/>
        </w:rPr>
        <w:t>cia terminu zako</w:t>
      </w:r>
      <w:r w:rsidRPr="006D71C7">
        <w:rPr>
          <w:rFonts w:ascii="TimesNewRoman" w:eastAsia="TimesNewRoman" w:cs="TimesNewRoman" w:hint="eastAsia"/>
          <w:szCs w:val="24"/>
        </w:rPr>
        <w:t>ń</w:t>
      </w:r>
      <w:r w:rsidRPr="006D71C7">
        <w:rPr>
          <w:rFonts w:eastAsia="Calibri"/>
          <w:szCs w:val="24"/>
        </w:rPr>
        <w:t>czenia realizacji projektu</w:t>
      </w:r>
      <w:r w:rsidR="00467D98">
        <w:rPr>
          <w:rFonts w:eastAsia="Calibri"/>
          <w:szCs w:val="24"/>
        </w:rPr>
        <w:t>. Ponadto zgłaszane były przez beneficjentów</w:t>
      </w:r>
      <w:r w:rsidRPr="006D71C7">
        <w:rPr>
          <w:rFonts w:eastAsia="Calibri"/>
          <w:szCs w:val="24"/>
        </w:rPr>
        <w:t xml:space="preserve"> </w:t>
      </w:r>
      <w:r w:rsidR="00467D98">
        <w:rPr>
          <w:rFonts w:eastAsia="Calibri"/>
          <w:szCs w:val="24"/>
        </w:rPr>
        <w:t>trudności</w:t>
      </w:r>
      <w:r w:rsidRPr="006D71C7">
        <w:rPr>
          <w:rFonts w:eastAsia="Calibri"/>
          <w:szCs w:val="24"/>
        </w:rPr>
        <w:t xml:space="preserve"> </w:t>
      </w:r>
      <w:r w:rsidR="00467D98">
        <w:rPr>
          <w:rFonts w:eastAsia="Calibri"/>
          <w:szCs w:val="24"/>
        </w:rPr>
        <w:t>w</w:t>
      </w:r>
      <w:r w:rsidR="00BF71C1">
        <w:rPr>
          <w:rFonts w:eastAsia="Calibri"/>
          <w:szCs w:val="24"/>
        </w:rPr>
        <w:t> </w:t>
      </w:r>
      <w:r w:rsidRPr="006D71C7">
        <w:rPr>
          <w:rFonts w:eastAsia="Calibri"/>
          <w:szCs w:val="24"/>
        </w:rPr>
        <w:t>osi</w:t>
      </w:r>
      <w:r w:rsidRPr="006D71C7">
        <w:rPr>
          <w:rFonts w:ascii="TimesNewRoman" w:eastAsia="TimesNewRoman" w:cs="TimesNewRoman" w:hint="eastAsia"/>
          <w:szCs w:val="24"/>
        </w:rPr>
        <w:t>ą</w:t>
      </w:r>
      <w:r w:rsidRPr="006D71C7">
        <w:rPr>
          <w:rFonts w:eastAsia="Calibri"/>
          <w:szCs w:val="24"/>
        </w:rPr>
        <w:t>gni</w:t>
      </w:r>
      <w:r w:rsidR="00467D98">
        <w:rPr>
          <w:rFonts w:ascii="TimesNewRoman" w:eastAsia="TimesNewRoman" w:cs="TimesNewRoman"/>
          <w:szCs w:val="24"/>
        </w:rPr>
        <w:t>ę</w:t>
      </w:r>
      <w:r w:rsidR="00467D98">
        <w:rPr>
          <w:rFonts w:ascii="TimesNewRoman" w:eastAsia="TimesNewRoman" w:cs="TimesNewRoman"/>
          <w:szCs w:val="24"/>
        </w:rPr>
        <w:t>ciu</w:t>
      </w:r>
      <w:r w:rsidRPr="006D71C7">
        <w:rPr>
          <w:rFonts w:eastAsia="Calibri"/>
          <w:szCs w:val="24"/>
        </w:rPr>
        <w:t xml:space="preserve"> zało</w:t>
      </w:r>
      <w:r w:rsidRPr="006D71C7">
        <w:rPr>
          <w:rFonts w:ascii="TimesNewRoman" w:eastAsia="TimesNewRoman" w:cs="TimesNewRoman"/>
          <w:szCs w:val="24"/>
        </w:rPr>
        <w:t>ż</w:t>
      </w:r>
      <w:r w:rsidRPr="006D71C7">
        <w:rPr>
          <w:rFonts w:eastAsia="Calibri"/>
          <w:szCs w:val="24"/>
        </w:rPr>
        <w:t>onych na etapie wnioskowania wska</w:t>
      </w:r>
      <w:r w:rsidRPr="006D71C7">
        <w:rPr>
          <w:rFonts w:ascii="TimesNewRoman" w:eastAsia="TimesNewRoman" w:cs="TimesNewRoman" w:hint="eastAsia"/>
          <w:szCs w:val="24"/>
        </w:rPr>
        <w:t>ź</w:t>
      </w:r>
      <w:r w:rsidRPr="006D71C7">
        <w:rPr>
          <w:rFonts w:eastAsia="Calibri"/>
          <w:szCs w:val="24"/>
        </w:rPr>
        <w:t xml:space="preserve">ników produktu czy rezultatu. </w:t>
      </w:r>
      <w:r w:rsidR="00BF71C1">
        <w:rPr>
          <w:szCs w:val="24"/>
        </w:rPr>
        <w:t>W </w:t>
      </w:r>
      <w:r w:rsidR="00C43B75" w:rsidRPr="00C43B75">
        <w:rPr>
          <w:szCs w:val="24"/>
        </w:rPr>
        <w:t>okresie sprawozdawczym w celu przeciwdziałani</w:t>
      </w:r>
      <w:r w:rsidR="00C0381F">
        <w:rPr>
          <w:szCs w:val="24"/>
        </w:rPr>
        <w:t>a</w:t>
      </w:r>
      <w:r w:rsidR="00C43B75" w:rsidRPr="00C43B75">
        <w:rPr>
          <w:szCs w:val="24"/>
        </w:rPr>
        <w:t xml:space="preserve"> negatywnym skutkom ww. okoliczności, IZ RPO WSL nie podejmowała żadnych środków zaradczych, za wyjątkiem bieżących konsultacji z</w:t>
      </w:r>
      <w:r w:rsidR="00CF33B6">
        <w:rPr>
          <w:szCs w:val="24"/>
        </w:rPr>
        <w:t> </w:t>
      </w:r>
      <w:r w:rsidR="00C43B75" w:rsidRPr="00C43B75">
        <w:rPr>
          <w:szCs w:val="24"/>
        </w:rPr>
        <w:t>beneficjentami</w:t>
      </w:r>
      <w:r w:rsidR="00467D98">
        <w:rPr>
          <w:szCs w:val="24"/>
        </w:rPr>
        <w:t>.</w:t>
      </w:r>
    </w:p>
    <w:p w:rsidR="00146E16" w:rsidRPr="006D71C7" w:rsidRDefault="0008138D" w:rsidP="006D71C7">
      <w:pPr>
        <w:autoSpaceDE w:val="0"/>
        <w:autoSpaceDN w:val="0"/>
        <w:adjustRightInd w:val="0"/>
        <w:spacing w:after="0"/>
        <w:jc w:val="both"/>
        <w:rPr>
          <w:b/>
          <w:szCs w:val="24"/>
        </w:rPr>
      </w:pPr>
      <w:r>
        <w:rPr>
          <w:b/>
          <w:szCs w:val="24"/>
        </w:rPr>
        <w:t xml:space="preserve"> </w:t>
      </w:r>
    </w:p>
    <w:p w:rsidR="00D0638B" w:rsidRPr="006D71C7" w:rsidRDefault="00D0638B" w:rsidP="006D71C7">
      <w:pPr>
        <w:jc w:val="both"/>
        <w:rPr>
          <w:b/>
          <w:szCs w:val="24"/>
        </w:rPr>
      </w:pPr>
      <w:r w:rsidRPr="006D71C7">
        <w:rPr>
          <w:b/>
          <w:szCs w:val="24"/>
        </w:rPr>
        <w:t>Rynek pracy i wynagrodzenia w regionie</w:t>
      </w:r>
    </w:p>
    <w:p w:rsidR="00D0638B" w:rsidRPr="006D71C7" w:rsidRDefault="00D0638B" w:rsidP="006D71C7">
      <w:pPr>
        <w:autoSpaceDE w:val="0"/>
        <w:autoSpaceDN w:val="0"/>
        <w:adjustRightInd w:val="0"/>
        <w:spacing w:after="0"/>
        <w:jc w:val="both"/>
        <w:rPr>
          <w:szCs w:val="24"/>
        </w:rPr>
      </w:pPr>
      <w:r w:rsidRPr="006D71C7">
        <w:rPr>
          <w:bCs/>
          <w:szCs w:val="24"/>
        </w:rPr>
        <w:t xml:space="preserve">Przeciętna liczba zatrudnionych </w:t>
      </w:r>
      <w:r w:rsidR="00BE5A01" w:rsidRPr="006D71C7">
        <w:rPr>
          <w:bCs/>
          <w:szCs w:val="24"/>
        </w:rPr>
        <w:t xml:space="preserve">w województwie </w:t>
      </w:r>
      <w:r w:rsidRPr="006D71C7">
        <w:rPr>
          <w:bCs/>
          <w:szCs w:val="24"/>
        </w:rPr>
        <w:t xml:space="preserve">w sektorze przedsiębiorstw </w:t>
      </w:r>
      <w:r w:rsidRPr="006D71C7">
        <w:rPr>
          <w:szCs w:val="24"/>
        </w:rPr>
        <w:t xml:space="preserve">w 2011 r. wyniosła 746,5 tys. osób, tj. o 1,9% więcej niż w 2010 r. </w:t>
      </w:r>
      <w:r w:rsidRPr="006D71C7">
        <w:rPr>
          <w:iCs/>
          <w:szCs w:val="24"/>
        </w:rPr>
        <w:t xml:space="preserve">W kraju przeciętne zatrudnienie wzrosło w skali roku o 3,2%. </w:t>
      </w:r>
      <w:r w:rsidRPr="006D71C7">
        <w:rPr>
          <w:szCs w:val="24"/>
        </w:rPr>
        <w:t>W sektorze publicznym przeciętna liczba zatrudnionych ukształtowała się na poziomie 165,3 tys. osób, a w sektorze prywatnym 581,1</w:t>
      </w:r>
      <w:r w:rsidR="00BE5A01" w:rsidRPr="006D71C7">
        <w:rPr>
          <w:szCs w:val="24"/>
        </w:rPr>
        <w:t xml:space="preserve"> tys. osób. W </w:t>
      </w:r>
      <w:r w:rsidRPr="006D71C7">
        <w:rPr>
          <w:szCs w:val="24"/>
        </w:rPr>
        <w:t>porównaniu z 2010r. w sektorze publicznym odnotowano spadek przeciętnej liczby zatrudnionych (o 4,4%), a w sektorze prywatnym – wzrost (o 3,8%)</w:t>
      </w:r>
    </w:p>
    <w:p w:rsidR="00D0638B" w:rsidRPr="006D71C7" w:rsidRDefault="00D0638B" w:rsidP="006D71C7">
      <w:pPr>
        <w:autoSpaceDE w:val="0"/>
        <w:autoSpaceDN w:val="0"/>
        <w:adjustRightInd w:val="0"/>
        <w:spacing w:after="120"/>
        <w:jc w:val="both"/>
        <w:rPr>
          <w:szCs w:val="24"/>
        </w:rPr>
      </w:pPr>
      <w:r w:rsidRPr="006D71C7">
        <w:rPr>
          <w:szCs w:val="24"/>
        </w:rPr>
        <w:t>W przemyśle przecię</w:t>
      </w:r>
      <w:r w:rsidR="00BE5A01" w:rsidRPr="006D71C7">
        <w:rPr>
          <w:szCs w:val="24"/>
        </w:rPr>
        <w:t>tna liczba zatrudnionych w 2011</w:t>
      </w:r>
      <w:r w:rsidRPr="006D71C7">
        <w:rPr>
          <w:szCs w:val="24"/>
        </w:rPr>
        <w:t>r. wyniosła 444,6 tys</w:t>
      </w:r>
      <w:r w:rsidR="00BE5A01" w:rsidRPr="006D71C7">
        <w:rPr>
          <w:szCs w:val="24"/>
        </w:rPr>
        <w:t>. osób i była wyższa niż w 2010</w:t>
      </w:r>
      <w:r w:rsidRPr="006D71C7">
        <w:rPr>
          <w:szCs w:val="24"/>
        </w:rPr>
        <w:t>r. o 1,5%. Wśród sekcji należących do przemysłu wzrost przeciętnej liczby zatrudnionych zanotowano w przetwórstwie przemysłowym (o 2,7%), dostawie wody; gospodarowaniu ściekami i odpadami; rekultywacji (o 2,5%) oraz w wytwarzaniu i zaopatrywaniu w energię elektryczną, gaz, parę wodną i gorącą wodę (o 1,9%). Spadek przeciętnej liczby zatrudnionych odnotowano w sekcji górnictwo i wydobywanie (o 1,3%).</w:t>
      </w:r>
    </w:p>
    <w:p w:rsidR="00D0638B" w:rsidRPr="006D71C7" w:rsidRDefault="00D0638B" w:rsidP="006D71C7">
      <w:pPr>
        <w:autoSpaceDE w:val="0"/>
        <w:autoSpaceDN w:val="0"/>
        <w:adjustRightInd w:val="0"/>
        <w:jc w:val="both"/>
        <w:rPr>
          <w:szCs w:val="24"/>
        </w:rPr>
      </w:pPr>
      <w:r w:rsidRPr="006D71C7">
        <w:rPr>
          <w:noProof/>
          <w:szCs w:val="24"/>
        </w:rPr>
        <w:drawing>
          <wp:inline distT="0" distB="0" distL="0" distR="0">
            <wp:extent cx="5573661" cy="3021862"/>
            <wp:effectExtent l="38100" t="19050" r="27039" b="7088"/>
            <wp:docPr id="24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915C3" w:rsidRPr="006D71C7" w:rsidRDefault="007338BD" w:rsidP="006D71C7">
      <w:pPr>
        <w:pStyle w:val="Legenda"/>
        <w:jc w:val="both"/>
        <w:rPr>
          <w:b w:val="0"/>
          <w:i/>
          <w:color w:val="auto"/>
          <w:sz w:val="20"/>
          <w:szCs w:val="20"/>
        </w:rPr>
      </w:pPr>
      <w:bookmarkStart w:id="202" w:name="_Toc295293401"/>
      <w:bookmarkStart w:id="203" w:name="_Toc292889098"/>
      <w:bookmarkStart w:id="204" w:name="_Toc292796788"/>
      <w:bookmarkStart w:id="205" w:name="_Toc292796294"/>
      <w:bookmarkStart w:id="206" w:name="_Toc292793706"/>
      <w:bookmarkStart w:id="207" w:name="_Toc324853704"/>
      <w:bookmarkStart w:id="208" w:name="_Toc324855751"/>
      <w:bookmarkStart w:id="209" w:name="_Toc326055338"/>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20</w:t>
      </w:r>
      <w:r w:rsidR="008F7228">
        <w:rPr>
          <w:color w:val="auto"/>
          <w:sz w:val="20"/>
          <w:szCs w:val="20"/>
        </w:rPr>
        <w:fldChar w:fldCharType="end"/>
      </w:r>
      <w:r w:rsidR="00A2743F" w:rsidRPr="006D71C7">
        <w:rPr>
          <w:color w:val="auto"/>
        </w:rPr>
        <w:t xml:space="preserve"> </w:t>
      </w:r>
      <w:r w:rsidR="00D0638B" w:rsidRPr="006D71C7">
        <w:rPr>
          <w:b w:val="0"/>
          <w:i/>
          <w:color w:val="auto"/>
          <w:sz w:val="20"/>
          <w:szCs w:val="20"/>
        </w:rPr>
        <w:t xml:space="preserve">Struktura przeciętnego zatrudnienia </w:t>
      </w:r>
      <w:r w:rsidR="00BE5A01" w:rsidRPr="006D71C7">
        <w:rPr>
          <w:b w:val="0"/>
          <w:i/>
          <w:color w:val="auto"/>
          <w:sz w:val="20"/>
          <w:szCs w:val="20"/>
        </w:rPr>
        <w:t xml:space="preserve">w regionie </w:t>
      </w:r>
      <w:r w:rsidR="00D0638B" w:rsidRPr="006D71C7">
        <w:rPr>
          <w:b w:val="0"/>
          <w:i/>
          <w:color w:val="auto"/>
          <w:sz w:val="20"/>
          <w:szCs w:val="20"/>
        </w:rPr>
        <w:t>w sektorze przedsiębiorstw w 2011r.; źródło: GUS</w:t>
      </w:r>
      <w:bookmarkEnd w:id="202"/>
      <w:bookmarkEnd w:id="203"/>
      <w:bookmarkEnd w:id="204"/>
      <w:bookmarkEnd w:id="205"/>
      <w:bookmarkEnd w:id="206"/>
      <w:bookmarkEnd w:id="207"/>
      <w:bookmarkEnd w:id="208"/>
      <w:bookmarkEnd w:id="209"/>
    </w:p>
    <w:p w:rsidR="00D0638B" w:rsidRPr="006D71C7" w:rsidRDefault="00D0638B" w:rsidP="006D71C7">
      <w:pPr>
        <w:autoSpaceDE w:val="0"/>
        <w:autoSpaceDN w:val="0"/>
        <w:adjustRightInd w:val="0"/>
        <w:spacing w:after="0"/>
        <w:jc w:val="both"/>
        <w:rPr>
          <w:bCs/>
          <w:szCs w:val="24"/>
        </w:rPr>
      </w:pPr>
      <w:r w:rsidRPr="006D71C7">
        <w:rPr>
          <w:szCs w:val="24"/>
        </w:rPr>
        <w:t>Spośród sekcji ni</w:t>
      </w:r>
      <w:r w:rsidR="0084391A" w:rsidRPr="006D71C7">
        <w:rPr>
          <w:szCs w:val="24"/>
        </w:rPr>
        <w:t>enależących do przemysłu w 2011</w:t>
      </w:r>
      <w:r w:rsidRPr="006D71C7">
        <w:rPr>
          <w:szCs w:val="24"/>
        </w:rPr>
        <w:t>r. w porównaniu z rokiem poprzednim wzrost przeciętnej liczby zatrudnionych odnotowano m.in. w: zakwaterowaniu i gastronomii (o 13,6%), informacji i komunikacji (o 8,6%), budownictwie (o 7,9%), natomiast spadek m.in. w administrowaniu i działalności wspierającej (o 3,9%) oraz w obsłudze rynku nieruchomości (o 2,6%).</w:t>
      </w:r>
    </w:p>
    <w:p w:rsidR="00D0638B" w:rsidRPr="006D71C7" w:rsidRDefault="00D0638B" w:rsidP="006D71C7">
      <w:pPr>
        <w:autoSpaceDE w:val="0"/>
        <w:autoSpaceDN w:val="0"/>
        <w:adjustRightInd w:val="0"/>
        <w:spacing w:after="0"/>
        <w:jc w:val="both"/>
        <w:rPr>
          <w:szCs w:val="24"/>
        </w:rPr>
      </w:pPr>
      <w:r w:rsidRPr="006D71C7">
        <w:rPr>
          <w:bCs/>
          <w:szCs w:val="24"/>
        </w:rPr>
        <w:t xml:space="preserve">Stopa bezrobocia </w:t>
      </w:r>
      <w:r w:rsidRPr="006D71C7">
        <w:rPr>
          <w:szCs w:val="24"/>
        </w:rPr>
        <w:t xml:space="preserve">w końcu grudnia 2011 r. wyniosła 10,1% </w:t>
      </w:r>
      <w:r w:rsidRPr="006D71C7">
        <w:rPr>
          <w:iCs/>
          <w:szCs w:val="24"/>
        </w:rPr>
        <w:t>(w kraju 12,5%).</w:t>
      </w:r>
      <w:r w:rsidRPr="006D71C7">
        <w:rPr>
          <w:i/>
          <w:iCs/>
          <w:szCs w:val="24"/>
        </w:rPr>
        <w:t xml:space="preserve"> </w:t>
      </w:r>
      <w:r w:rsidRPr="006D71C7">
        <w:rPr>
          <w:szCs w:val="24"/>
        </w:rPr>
        <w:t>Była ona wyższa o 0,1 pkt</w:t>
      </w:r>
      <w:r w:rsidR="0084391A" w:rsidRPr="006D71C7">
        <w:rPr>
          <w:szCs w:val="24"/>
        </w:rPr>
        <w:t>.</w:t>
      </w:r>
      <w:r w:rsidRPr="006D71C7">
        <w:rPr>
          <w:szCs w:val="24"/>
        </w:rPr>
        <w:t xml:space="preserve"> proc. niż przed rokiem oraz o 0,2 pkt</w:t>
      </w:r>
      <w:r w:rsidR="0084391A" w:rsidRPr="006D71C7">
        <w:rPr>
          <w:szCs w:val="24"/>
        </w:rPr>
        <w:t>.</w:t>
      </w:r>
      <w:r w:rsidRPr="006D71C7">
        <w:rPr>
          <w:szCs w:val="24"/>
        </w:rPr>
        <w:t xml:space="preserve"> proc. niż w końcu poprzedniego miesiąca. Występuje znaczne zróżnicowanie stopy bezrobocia w przekroju terytorialnym. Najniższą stopę bezrobocia zanotowano w Katowicach (4,3%), powiecie bieruńsko-lędzińskim (5,1%), Tychach (5,5%), a najwyższą w Bytomiu (19,1%) oraz w powiecie myszkowskim (18,9%).</w:t>
      </w:r>
    </w:p>
    <w:p w:rsidR="00D0638B" w:rsidRPr="006D71C7" w:rsidRDefault="0084391A" w:rsidP="006D71C7">
      <w:pPr>
        <w:autoSpaceDE w:val="0"/>
        <w:autoSpaceDN w:val="0"/>
        <w:adjustRightInd w:val="0"/>
        <w:spacing w:after="0"/>
        <w:jc w:val="both"/>
        <w:rPr>
          <w:bCs/>
          <w:szCs w:val="24"/>
        </w:rPr>
      </w:pPr>
      <w:r w:rsidRPr="006D71C7">
        <w:rPr>
          <w:szCs w:val="24"/>
        </w:rPr>
        <w:t>W końcu grudnia 2011</w:t>
      </w:r>
      <w:r w:rsidR="00D0638B" w:rsidRPr="006D71C7">
        <w:rPr>
          <w:szCs w:val="24"/>
        </w:rPr>
        <w:t xml:space="preserve">r. w urzędach pracy </w:t>
      </w:r>
      <w:r w:rsidR="00D0638B" w:rsidRPr="006D71C7">
        <w:rPr>
          <w:bCs/>
          <w:szCs w:val="24"/>
        </w:rPr>
        <w:t xml:space="preserve">zarejestrowanych </w:t>
      </w:r>
      <w:r w:rsidR="00D0638B" w:rsidRPr="006D71C7">
        <w:rPr>
          <w:szCs w:val="24"/>
        </w:rPr>
        <w:t xml:space="preserve">było 186,2 tys. </w:t>
      </w:r>
      <w:r w:rsidR="00D0638B" w:rsidRPr="006D71C7">
        <w:rPr>
          <w:bCs/>
          <w:szCs w:val="24"/>
        </w:rPr>
        <w:t>bezrobotnych</w:t>
      </w:r>
      <w:r w:rsidRPr="006D71C7">
        <w:rPr>
          <w:szCs w:val="24"/>
        </w:rPr>
        <w:t>. W </w:t>
      </w:r>
      <w:r w:rsidR="00D0638B" w:rsidRPr="006D71C7">
        <w:rPr>
          <w:szCs w:val="24"/>
        </w:rPr>
        <w:t>porównaniu z danymi w</w:t>
      </w:r>
      <w:r w:rsidRPr="006D71C7">
        <w:rPr>
          <w:szCs w:val="24"/>
        </w:rPr>
        <w:t xml:space="preserve"> końcu grudnia 2010</w:t>
      </w:r>
      <w:r w:rsidR="00D0638B" w:rsidRPr="006D71C7">
        <w:rPr>
          <w:szCs w:val="24"/>
        </w:rPr>
        <w:t>r. i listopada 2011 r. liczba bezrobotnych zwiększyła się odpowiednio o: 2,8% i 2,4%. Wśród ogółu bezrobotnych 56,1% stanowiły kobiety (54,2% przed rokiem), a 85,3% nie posiadało prawa do zasiłku (84,7%).</w:t>
      </w:r>
    </w:p>
    <w:p w:rsidR="00D0638B" w:rsidRPr="006D71C7" w:rsidRDefault="00D0638B" w:rsidP="006D71C7">
      <w:pPr>
        <w:autoSpaceDE w:val="0"/>
        <w:autoSpaceDN w:val="0"/>
        <w:adjustRightInd w:val="0"/>
        <w:spacing w:after="0"/>
        <w:jc w:val="both"/>
        <w:rPr>
          <w:bCs/>
          <w:szCs w:val="24"/>
        </w:rPr>
      </w:pPr>
      <w:r w:rsidRPr="006D71C7">
        <w:rPr>
          <w:szCs w:val="24"/>
        </w:rPr>
        <w:t>Biorąc pod uwagę wiek bezrobotnych w porównaniu ze stanem w końcu grudnia 2010 r., najbardziej zwiększyła się liczba bezrobotnych w wieku 55 lat i więcej (o 14,6%), natomiast najbardziej zmniejszyła się liczba bezrobotnych w wieku 24 lata i mniej (o 4,0%). Wzrost liczby bezrobotnych odnotowano na wszystkich poziomach wykształcenia, w tym największy wśród osób z wykształceniem wyższym (o 6,8%). Według czasu pozostawania bez pracy najbardziej zwiększyła się liczba bezrobotnych pozostających bez pracy powyżej 24 miesięcy (o 42,3%), natomiast najbardziej zmniejszyła się liczba bezrobotnych pozostających bez pracy 1 miesiąc i mniej (o 16,1%).</w:t>
      </w:r>
    </w:p>
    <w:p w:rsidR="00D0638B" w:rsidRPr="006D71C7" w:rsidRDefault="00D0638B" w:rsidP="006D71C7">
      <w:pPr>
        <w:autoSpaceDE w:val="0"/>
        <w:autoSpaceDN w:val="0"/>
        <w:adjustRightInd w:val="0"/>
        <w:spacing w:after="0"/>
        <w:jc w:val="both"/>
        <w:rPr>
          <w:bCs/>
          <w:szCs w:val="24"/>
        </w:rPr>
      </w:pPr>
      <w:r w:rsidRPr="006D71C7">
        <w:rPr>
          <w:bCs/>
          <w:szCs w:val="24"/>
        </w:rPr>
        <w:t xml:space="preserve">Przeciętne miesięczne wynagrodzenie nominalne brutto w sektorze przedsiębiorstw </w:t>
      </w:r>
      <w:r w:rsidRPr="006D71C7">
        <w:rPr>
          <w:szCs w:val="24"/>
        </w:rPr>
        <w:t>w 2011 r. wyniosło 860,89 EUR (3 897,26 PLN) i w porównaniu z 2010 r. wzrosło o 6,0% (</w:t>
      </w:r>
      <w:r w:rsidRPr="006D71C7">
        <w:rPr>
          <w:iCs/>
          <w:szCs w:val="24"/>
        </w:rPr>
        <w:t>w kraju przeciętne miesięczne wynagrodzenie nominalne brutto wzrosło o 5,0%).</w:t>
      </w:r>
      <w:r w:rsidRPr="006D71C7">
        <w:rPr>
          <w:i/>
          <w:iCs/>
          <w:szCs w:val="24"/>
        </w:rPr>
        <w:t xml:space="preserve"> </w:t>
      </w:r>
      <w:r w:rsidRPr="006D71C7">
        <w:rPr>
          <w:szCs w:val="24"/>
        </w:rPr>
        <w:t>W sektorze publicznym przeciętna płaca nominalna brutto osiągnęła wartość 1 241,55 EUR (5 620,50 PLN), natomiast w sektorze prywatnym 752,58 EUR (3 406,93 PLN). W skali roku zanotowano wzrost przeciętnego miesięcznego wynagrodzenia nominalnego brutto zarówno w sektorze publicznym (o 10,0%), jak i w sektorze prywatnym (o 5,4%).</w:t>
      </w:r>
    </w:p>
    <w:p w:rsidR="00D0638B" w:rsidRPr="006D71C7" w:rsidRDefault="00D0638B" w:rsidP="006D71C7">
      <w:pPr>
        <w:spacing w:after="120"/>
        <w:jc w:val="both"/>
        <w:rPr>
          <w:szCs w:val="24"/>
        </w:rPr>
      </w:pPr>
      <w:r w:rsidRPr="006D71C7">
        <w:rPr>
          <w:szCs w:val="24"/>
        </w:rPr>
        <w:t>Wzrost przeciętnego miesięcznego wynagrodzenia</w:t>
      </w:r>
      <w:r w:rsidR="00D51C98" w:rsidRPr="006D71C7">
        <w:rPr>
          <w:szCs w:val="24"/>
        </w:rPr>
        <w:t xml:space="preserve"> nominalnego brutto w 2011</w:t>
      </w:r>
      <w:r w:rsidR="0084391A" w:rsidRPr="006D71C7">
        <w:rPr>
          <w:szCs w:val="24"/>
        </w:rPr>
        <w:t>r. w </w:t>
      </w:r>
      <w:r w:rsidRPr="006D71C7">
        <w:rPr>
          <w:szCs w:val="24"/>
        </w:rPr>
        <w:t>odniesieniu do danych z 2010 r. zanotowano we wszystkich sekcjach sektora przedsiębiorstw.</w:t>
      </w:r>
    </w:p>
    <w:p w:rsidR="00D0638B" w:rsidRPr="006D71C7" w:rsidRDefault="00D0638B" w:rsidP="006D71C7">
      <w:pPr>
        <w:jc w:val="both"/>
        <w:rPr>
          <w:b/>
          <w:szCs w:val="24"/>
        </w:rPr>
      </w:pPr>
      <w:r w:rsidRPr="006D71C7">
        <w:rPr>
          <w:b/>
          <w:szCs w:val="24"/>
        </w:rPr>
        <w:t>Firmy i instytucje w regionie</w:t>
      </w:r>
    </w:p>
    <w:p w:rsidR="00D0638B" w:rsidRPr="006D71C7" w:rsidRDefault="00D0638B" w:rsidP="006D71C7">
      <w:pPr>
        <w:autoSpaceDE w:val="0"/>
        <w:autoSpaceDN w:val="0"/>
        <w:adjustRightInd w:val="0"/>
        <w:jc w:val="both"/>
        <w:rPr>
          <w:szCs w:val="24"/>
        </w:rPr>
      </w:pPr>
      <w:r w:rsidRPr="006D71C7">
        <w:rPr>
          <w:szCs w:val="24"/>
        </w:rPr>
        <w:t>Według Krajowego Rejestru Urzędowego Podmiotów</w:t>
      </w:r>
      <w:r w:rsidR="0084391A" w:rsidRPr="006D71C7">
        <w:rPr>
          <w:szCs w:val="24"/>
        </w:rPr>
        <w:t xml:space="preserve"> Gospodarki Narodowej – REGON w </w:t>
      </w:r>
      <w:r w:rsidRPr="006D71C7">
        <w:rPr>
          <w:szCs w:val="24"/>
        </w:rPr>
        <w:t xml:space="preserve">województwie śląskim w końcu grudnia 2011 r. </w:t>
      </w:r>
      <w:r w:rsidRPr="006D71C7">
        <w:rPr>
          <w:bCs/>
          <w:szCs w:val="24"/>
        </w:rPr>
        <w:t xml:space="preserve">zarejestrowanych </w:t>
      </w:r>
      <w:r w:rsidRPr="006D71C7">
        <w:rPr>
          <w:szCs w:val="24"/>
        </w:rPr>
        <w:t xml:space="preserve">było 443,4 tys. </w:t>
      </w:r>
      <w:r w:rsidR="0084391A" w:rsidRPr="006D71C7">
        <w:rPr>
          <w:bCs/>
          <w:szCs w:val="24"/>
        </w:rPr>
        <w:t>p</w:t>
      </w:r>
      <w:r w:rsidRPr="006D71C7">
        <w:rPr>
          <w:bCs/>
          <w:szCs w:val="24"/>
        </w:rPr>
        <w:t>odmiotów</w:t>
      </w:r>
      <w:r w:rsidRPr="006D71C7">
        <w:rPr>
          <w:szCs w:val="24"/>
        </w:rPr>
        <w:t>, których liczba obniżyła się zarówno w porównaniu ze stanem w końcu grudnia 2010 r. (o 1,8%), jak i w odniesieniu do stanu w końcu września 2011 r. (o 0,3%). Ponad 96% podmiotów pochodziło z sektora prywatnego.</w:t>
      </w:r>
    </w:p>
    <w:p w:rsidR="00D0638B" w:rsidRPr="006D71C7" w:rsidRDefault="00D0638B" w:rsidP="006D71C7">
      <w:pPr>
        <w:autoSpaceDE w:val="0"/>
        <w:autoSpaceDN w:val="0"/>
        <w:adjustRightInd w:val="0"/>
        <w:jc w:val="both"/>
        <w:rPr>
          <w:szCs w:val="24"/>
        </w:rPr>
      </w:pPr>
      <w:r w:rsidRPr="006D71C7">
        <w:rPr>
          <w:szCs w:val="24"/>
        </w:rPr>
        <w:t>Wśród ogółu podmiotów gospodarczych dominowały osoby fizyczne prowadzące działalność gospodarczą – 331,7 tys. (74,8%) i było ich mniej niż w końcu grudnia 2010 r. oraz w końcu września 2011 r. odpowiednio o: 3,3% i 0,7%.</w:t>
      </w:r>
    </w:p>
    <w:p w:rsidR="00D0638B" w:rsidRPr="006D71C7" w:rsidRDefault="00D0638B" w:rsidP="00C74054">
      <w:pPr>
        <w:autoSpaceDE w:val="0"/>
        <w:autoSpaceDN w:val="0"/>
        <w:adjustRightInd w:val="0"/>
        <w:jc w:val="center"/>
        <w:rPr>
          <w:szCs w:val="24"/>
        </w:rPr>
      </w:pPr>
      <w:r w:rsidRPr="006D71C7">
        <w:rPr>
          <w:noProof/>
          <w:szCs w:val="24"/>
        </w:rPr>
        <w:drawing>
          <wp:inline distT="0" distB="0" distL="0" distR="0">
            <wp:extent cx="6011826" cy="3510960"/>
            <wp:effectExtent l="38100" t="19050" r="27024" b="0"/>
            <wp:docPr id="24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915C3" w:rsidRPr="006D71C7" w:rsidRDefault="007338BD" w:rsidP="006D71C7">
      <w:pPr>
        <w:pStyle w:val="Legenda"/>
        <w:jc w:val="both"/>
        <w:rPr>
          <w:color w:val="auto"/>
          <w:szCs w:val="24"/>
        </w:rPr>
      </w:pPr>
      <w:bookmarkStart w:id="210" w:name="_Toc324853705"/>
      <w:bookmarkStart w:id="211" w:name="_Toc324855752"/>
      <w:bookmarkStart w:id="212" w:name="_Toc326055339"/>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21</w:t>
      </w:r>
      <w:r w:rsidR="008F7228">
        <w:rPr>
          <w:color w:val="auto"/>
          <w:sz w:val="20"/>
          <w:szCs w:val="20"/>
        </w:rPr>
        <w:fldChar w:fldCharType="end"/>
      </w:r>
      <w:r w:rsidR="00A2743F" w:rsidRPr="006D71C7">
        <w:rPr>
          <w:color w:val="auto"/>
        </w:rPr>
        <w:t xml:space="preserve"> </w:t>
      </w:r>
      <w:r w:rsidR="00D0638B" w:rsidRPr="006D71C7">
        <w:rPr>
          <w:b w:val="0"/>
          <w:i/>
          <w:color w:val="auto"/>
        </w:rPr>
        <w:t>Struktura osób fizycznych prowadzących działalność gospodarczą według sekcji w 2011 r.</w:t>
      </w:r>
      <w:r w:rsidR="00D0638B" w:rsidRPr="006D71C7">
        <w:rPr>
          <w:color w:val="auto"/>
        </w:rPr>
        <w:t xml:space="preserve"> ; </w:t>
      </w:r>
      <w:r w:rsidR="00D0638B" w:rsidRPr="006D71C7">
        <w:rPr>
          <w:b w:val="0"/>
          <w:i/>
          <w:color w:val="auto"/>
          <w:sz w:val="20"/>
          <w:szCs w:val="20"/>
        </w:rPr>
        <w:t>; źródło: GUS</w:t>
      </w:r>
      <w:bookmarkEnd w:id="210"/>
      <w:bookmarkEnd w:id="211"/>
      <w:bookmarkEnd w:id="212"/>
    </w:p>
    <w:p w:rsidR="00D0638B" w:rsidRPr="006D71C7" w:rsidRDefault="00D0638B" w:rsidP="006D71C7">
      <w:pPr>
        <w:autoSpaceDE w:val="0"/>
        <w:autoSpaceDN w:val="0"/>
        <w:adjustRightInd w:val="0"/>
        <w:spacing w:after="0"/>
        <w:jc w:val="both"/>
        <w:rPr>
          <w:szCs w:val="24"/>
        </w:rPr>
      </w:pPr>
      <w:r w:rsidRPr="006D71C7">
        <w:rPr>
          <w:szCs w:val="24"/>
        </w:rPr>
        <w:t>W końcu grudnia 2011 r. w rejestrze REGON zarejestrowanych było 35,8 tys. spółek cywilnych oraz 34,7 tys. spółek handlowych, w tym 5,9 tys. z udziałem kapitału zagranicznego. W porównaniu z końcem grudnia 2010 r. liczba spółek handlowych zwiększyła się o 5,9%, a spółek cywilnych o 1,7%. Liczb</w:t>
      </w:r>
      <w:r w:rsidR="00D51C98" w:rsidRPr="006D71C7">
        <w:rPr>
          <w:szCs w:val="24"/>
        </w:rPr>
        <w:t>a przedsiębiorstw państwowych w </w:t>
      </w:r>
      <w:r w:rsidRPr="006D71C7">
        <w:rPr>
          <w:szCs w:val="24"/>
        </w:rPr>
        <w:t>końcu grudnia 2011 r. wynosiła 13 i w skali roku zmniejszyła się o 6, tj. o 31,6 %.</w:t>
      </w:r>
    </w:p>
    <w:p w:rsidR="00D0638B" w:rsidRPr="006D71C7" w:rsidRDefault="00D0638B" w:rsidP="006D71C7">
      <w:pPr>
        <w:autoSpaceDE w:val="0"/>
        <w:autoSpaceDN w:val="0"/>
        <w:adjustRightInd w:val="0"/>
        <w:spacing w:after="0"/>
        <w:jc w:val="both"/>
        <w:rPr>
          <w:szCs w:val="24"/>
        </w:rPr>
      </w:pPr>
      <w:r w:rsidRPr="006D71C7">
        <w:rPr>
          <w:szCs w:val="24"/>
        </w:rPr>
        <w:t xml:space="preserve">W 2011 r. zarejestrowano 37,0 tys. nowych podmiotów gospodarki narodowej, w tym 31,8 tys. osób fizycznych prowadzących działalność gospodarczą. Najwięcej zarejestrowanych jednostek prowadziło działalności w sekcjach: handel; naprawa pojazdów samochodowych (29,6%), budownictwo (12,4%) oraz przetwórstwo przemysłowe (8,6%). </w:t>
      </w:r>
    </w:p>
    <w:p w:rsidR="00D51C98" w:rsidRPr="006D71C7" w:rsidRDefault="00D0638B" w:rsidP="006D71C7">
      <w:pPr>
        <w:autoSpaceDE w:val="0"/>
        <w:autoSpaceDN w:val="0"/>
        <w:adjustRightInd w:val="0"/>
        <w:spacing w:after="0"/>
        <w:jc w:val="both"/>
        <w:rPr>
          <w:szCs w:val="24"/>
        </w:rPr>
      </w:pPr>
      <w:r w:rsidRPr="006D71C7">
        <w:rPr>
          <w:szCs w:val="24"/>
        </w:rPr>
        <w:t>W 2011 r. zarejestrowano 37,0 tys. nowych podmiotów gospodarki narodowej, w tym 31,8 tys. osób fizycznych prowadzących działalność gospodarczą. Najwięcej zarejestrowanych jednostek prowadziło działalności w sekcjach: handel; naprawa pojazdów samochodowych (29,6%), budownictwo (12,4%) oraz przetwórstwo przemysłowe (8,6%). W omawianym okresie 44,9 tys. podmiotów wykreślono z rejestru REGON. Najwięcej podmiotów wyrejestrowanych pochodziło z sekcji: handel; naprawa pojazdów samochodowych (36,9%), budownictwo (12,9%) oraz przetwórstwo przemysłowe (8,4%). Podobnie jak w przypadku jednostek nowo powstałych, także wśród podmiotów wyrejestrowanych przeważały osoby fizyczne prowadzące działalność gospodarczą – 42,6 tys. Wzrost liczby skreśleń z rejestru REGON dokonanych w 2011 r., spowodowany był aktualiz</w:t>
      </w:r>
      <w:r w:rsidR="00BF71C1">
        <w:rPr>
          <w:szCs w:val="24"/>
        </w:rPr>
        <w:t>acją rejestru REGON w oparciu o </w:t>
      </w:r>
      <w:r w:rsidRPr="006D71C7">
        <w:rPr>
          <w:szCs w:val="24"/>
        </w:rPr>
        <w:t>informacje uzyskane z rejestru PESEL.</w:t>
      </w:r>
    </w:p>
    <w:p w:rsidR="000E2CA8" w:rsidRPr="006D71C7" w:rsidRDefault="000E2CA8" w:rsidP="006D71C7">
      <w:pPr>
        <w:autoSpaceDE w:val="0"/>
        <w:autoSpaceDN w:val="0"/>
        <w:adjustRightInd w:val="0"/>
        <w:spacing w:after="0"/>
        <w:jc w:val="both"/>
        <w:rPr>
          <w:szCs w:val="24"/>
        </w:rPr>
      </w:pPr>
    </w:p>
    <w:p w:rsidR="00D0638B" w:rsidRPr="006D71C7" w:rsidRDefault="00D0638B" w:rsidP="006D71C7">
      <w:pPr>
        <w:autoSpaceDE w:val="0"/>
        <w:autoSpaceDN w:val="0"/>
        <w:adjustRightInd w:val="0"/>
        <w:spacing w:after="0"/>
        <w:jc w:val="both"/>
        <w:rPr>
          <w:b/>
          <w:szCs w:val="24"/>
        </w:rPr>
      </w:pPr>
      <w:r w:rsidRPr="006D71C7">
        <w:rPr>
          <w:b/>
          <w:szCs w:val="24"/>
        </w:rPr>
        <w:t>Przemysł, handel, budownictwo w regionie</w:t>
      </w:r>
    </w:p>
    <w:p w:rsidR="00D0638B" w:rsidRPr="006D71C7" w:rsidRDefault="00D0638B" w:rsidP="006D71C7">
      <w:pPr>
        <w:autoSpaceDE w:val="0"/>
        <w:autoSpaceDN w:val="0"/>
        <w:adjustRightInd w:val="0"/>
        <w:spacing w:after="0"/>
        <w:jc w:val="both"/>
        <w:rPr>
          <w:bCs/>
          <w:szCs w:val="24"/>
        </w:rPr>
      </w:pPr>
      <w:r w:rsidRPr="006D71C7">
        <w:rPr>
          <w:bCs/>
          <w:szCs w:val="24"/>
        </w:rPr>
        <w:t xml:space="preserve">Produkcja sprzedana przemysłu </w:t>
      </w:r>
      <w:r w:rsidRPr="006D71C7">
        <w:rPr>
          <w:szCs w:val="24"/>
        </w:rPr>
        <w:t>w 2011 r. wyniosła 44 346,83 mln EUR (200 758,1 mln PLN) i w porównaniu z rokiem poprzednim w cenach stałych wzrosła o 6,1% (</w:t>
      </w:r>
      <w:r w:rsidRPr="006D71C7">
        <w:rPr>
          <w:iCs/>
          <w:szCs w:val="24"/>
        </w:rPr>
        <w:t>w kraju wzrost o 7,7%).</w:t>
      </w:r>
      <w:r w:rsidRPr="006D71C7">
        <w:rPr>
          <w:i/>
          <w:iCs/>
          <w:szCs w:val="24"/>
        </w:rPr>
        <w:t xml:space="preserve"> </w:t>
      </w:r>
      <w:r w:rsidRPr="006D71C7">
        <w:rPr>
          <w:szCs w:val="24"/>
        </w:rPr>
        <w:t>Wyższe przychody ze sprzedaży wyrobów i usług odnotowano w przetwórstwie przemysłowym (o 7,1%), dostawie wody; gospodarowaniu ściekami i odpadami; rekultywacji (o 3,8%) oraz w górnictwie i wydobywaniu (o 2,9%), n</w:t>
      </w:r>
      <w:r w:rsidR="00D51C98" w:rsidRPr="006D71C7">
        <w:rPr>
          <w:szCs w:val="24"/>
        </w:rPr>
        <w:t>atomiast niższe w wytwarzaniu i </w:t>
      </w:r>
      <w:r w:rsidRPr="006D71C7">
        <w:rPr>
          <w:szCs w:val="24"/>
        </w:rPr>
        <w:t>zaopatrywaniu w energię elektryczną, gaz, parę wodną i gorącą wodę (o 1,0%).</w:t>
      </w:r>
    </w:p>
    <w:p w:rsidR="00D0638B" w:rsidRPr="006D71C7" w:rsidRDefault="00D0638B" w:rsidP="006D71C7">
      <w:pPr>
        <w:autoSpaceDE w:val="0"/>
        <w:autoSpaceDN w:val="0"/>
        <w:adjustRightInd w:val="0"/>
        <w:spacing w:after="0"/>
        <w:jc w:val="both"/>
        <w:rPr>
          <w:bCs/>
          <w:szCs w:val="24"/>
        </w:rPr>
      </w:pPr>
      <w:r w:rsidRPr="006D71C7">
        <w:rPr>
          <w:bCs/>
          <w:szCs w:val="24"/>
        </w:rPr>
        <w:t xml:space="preserve">Sprzedaż detaliczna </w:t>
      </w:r>
      <w:r w:rsidRPr="006D71C7">
        <w:rPr>
          <w:szCs w:val="24"/>
        </w:rPr>
        <w:t>zrealizowana przez jednostki handlowe i niehandlowe w 2011 r. była wyższa niż w roku poprzednim (o 5,0%). Wyższa wartość sprzedaży detalicznej wystąpiła m.in. w grupach: prasa, książki, pozostała sprzedaż w wyspecjalizowanych sklepach (ponad 2-krotnie), paliwa stałe, ciekłe i gazowe (o 44,3%), farmaceutyki, kosmetyki, sprzęt ortopedyczny (o 27,2%). Niższą sprzedaż detaliczną odnotowano m.in. w grupach: pozostała sprzedaż detaliczna w niewyspecjalizowanych sklepach (o 43,3%), pojazdy samochodowe, motocykle, części (o 13,7%), pozostałe (o 8,7%) oraz włókno, odzież obuwie (o 4,9%).</w:t>
      </w:r>
    </w:p>
    <w:p w:rsidR="00D0638B" w:rsidRPr="006D71C7" w:rsidRDefault="00D0638B" w:rsidP="006D71C7">
      <w:pPr>
        <w:autoSpaceDE w:val="0"/>
        <w:autoSpaceDN w:val="0"/>
        <w:adjustRightInd w:val="0"/>
        <w:spacing w:after="0"/>
        <w:jc w:val="both"/>
        <w:rPr>
          <w:bCs/>
          <w:szCs w:val="24"/>
        </w:rPr>
      </w:pPr>
      <w:r w:rsidRPr="006D71C7">
        <w:rPr>
          <w:bCs/>
          <w:szCs w:val="24"/>
        </w:rPr>
        <w:t xml:space="preserve">Sprzedaż hurtowa </w:t>
      </w:r>
      <w:r w:rsidRPr="006D71C7">
        <w:rPr>
          <w:szCs w:val="24"/>
        </w:rPr>
        <w:t>zrealizowana przez przedsiębiorstwa handlowe i niehandlowe w 2011 r. wzrosła w skali roku o 4,0%. W grudniu 2011 r. sprzedaż hurtowa była wyższa niż w analogicznym miesiącu 2010 r., jak i w porównaniu z poprzednim miesiącem odpowiednio o: 10,5% i 1,2%.</w:t>
      </w:r>
    </w:p>
    <w:p w:rsidR="00D0638B" w:rsidRPr="006D71C7" w:rsidRDefault="00D0638B" w:rsidP="006D71C7">
      <w:pPr>
        <w:autoSpaceDE w:val="0"/>
        <w:autoSpaceDN w:val="0"/>
        <w:adjustRightInd w:val="0"/>
        <w:spacing w:after="0"/>
        <w:jc w:val="both"/>
        <w:rPr>
          <w:bCs/>
          <w:szCs w:val="24"/>
        </w:rPr>
      </w:pPr>
      <w:r w:rsidRPr="006D71C7">
        <w:rPr>
          <w:bCs/>
          <w:szCs w:val="24"/>
        </w:rPr>
        <w:t xml:space="preserve">Przychody ze sprzedaży wyrobów i usług w budownictwie </w:t>
      </w:r>
      <w:r w:rsidRPr="006D71C7">
        <w:rPr>
          <w:szCs w:val="24"/>
        </w:rPr>
        <w:t>w 2011 r. wyniosły 4 447,40 mln EUR (20 133,4 mln PLN) i były (w cenach bieżących) wyżs</w:t>
      </w:r>
      <w:r w:rsidR="00BF71C1">
        <w:rPr>
          <w:szCs w:val="24"/>
        </w:rPr>
        <w:t>ze w porównaniu z 2010 r. o </w:t>
      </w:r>
      <w:r w:rsidRPr="006D71C7">
        <w:rPr>
          <w:szCs w:val="24"/>
        </w:rPr>
        <w:t>17,2%. W sektorze publicznym odnotowano spadek p</w:t>
      </w:r>
      <w:r w:rsidR="00BF71C1">
        <w:rPr>
          <w:szCs w:val="24"/>
        </w:rPr>
        <w:t>rzychodów (o 8,7%), natomiast w </w:t>
      </w:r>
      <w:r w:rsidRPr="006D71C7">
        <w:rPr>
          <w:szCs w:val="24"/>
        </w:rPr>
        <w:t>sektorze prywatnym wzrost (o 17,9%). Udział sektora prywatnego w przychodach ogółem budownictwa wyniósł 97,8%.</w:t>
      </w:r>
    </w:p>
    <w:p w:rsidR="00D0638B" w:rsidRPr="006D71C7" w:rsidRDefault="00D0638B" w:rsidP="006D71C7">
      <w:pPr>
        <w:autoSpaceDE w:val="0"/>
        <w:autoSpaceDN w:val="0"/>
        <w:adjustRightInd w:val="0"/>
        <w:spacing w:after="0"/>
        <w:jc w:val="both"/>
        <w:rPr>
          <w:bCs/>
          <w:szCs w:val="24"/>
        </w:rPr>
      </w:pPr>
      <w:r w:rsidRPr="006D71C7">
        <w:rPr>
          <w:bCs/>
          <w:szCs w:val="24"/>
        </w:rPr>
        <w:t xml:space="preserve">Produkcja budowlano-montażowa </w:t>
      </w:r>
      <w:r w:rsidRPr="006D71C7">
        <w:rPr>
          <w:szCs w:val="24"/>
        </w:rPr>
        <w:t>w 2011 r. osiągnęła wartość 2 559,92 mln EUR (11 588,8 mln PLN) i w porównaniu z 2010 r. wzrosła o 19,4%. Wyższe przychody odnotowano we wszystkich działach budownictwa, i tak w: robotach b</w:t>
      </w:r>
      <w:r w:rsidR="00BF71C1">
        <w:rPr>
          <w:szCs w:val="24"/>
        </w:rPr>
        <w:t>udowlanych specjalistycznych (o </w:t>
      </w:r>
      <w:r w:rsidRPr="006D71C7">
        <w:rPr>
          <w:szCs w:val="24"/>
        </w:rPr>
        <w:t>29,8%), budowie obiektów inżynierii lądowej i wodnej (o 20,2%) oraz budowie budynków (o 10,7%).</w:t>
      </w:r>
    </w:p>
    <w:p w:rsidR="00D0638B" w:rsidRPr="006D71C7" w:rsidRDefault="00D0638B" w:rsidP="006D71C7">
      <w:pPr>
        <w:autoSpaceDE w:val="0"/>
        <w:autoSpaceDN w:val="0"/>
        <w:adjustRightInd w:val="0"/>
        <w:spacing w:after="0"/>
        <w:jc w:val="both"/>
        <w:rPr>
          <w:szCs w:val="24"/>
          <w:highlight w:val="yellow"/>
        </w:rPr>
      </w:pPr>
      <w:r w:rsidRPr="006D71C7">
        <w:rPr>
          <w:bCs/>
          <w:szCs w:val="24"/>
        </w:rPr>
        <w:t xml:space="preserve">Przychody ze sprzedaży robót budowlanych o charakterze inwestycyjnym </w:t>
      </w:r>
      <w:r w:rsidRPr="006D71C7">
        <w:rPr>
          <w:szCs w:val="24"/>
        </w:rPr>
        <w:t>w 2011 r. osiągnęły wartość 924,16 mln EUR (4 183,7 mln PLN) i były wyższe niż w 2010 r. o 7,8%. Przychody te stanowiły 36,1% produkcji budowlano-montażowej.</w:t>
      </w:r>
    </w:p>
    <w:p w:rsidR="00D72267" w:rsidRPr="006D71C7" w:rsidRDefault="00D72267" w:rsidP="006D71C7">
      <w:pPr>
        <w:autoSpaceDE w:val="0"/>
        <w:autoSpaceDN w:val="0"/>
        <w:adjustRightInd w:val="0"/>
        <w:spacing w:after="0"/>
        <w:jc w:val="both"/>
        <w:rPr>
          <w:szCs w:val="24"/>
          <w:highlight w:val="yellow"/>
        </w:rPr>
      </w:pPr>
    </w:p>
    <w:p w:rsidR="00D0638B" w:rsidRPr="006D71C7" w:rsidRDefault="00D0638B" w:rsidP="006D71C7">
      <w:pPr>
        <w:autoSpaceDE w:val="0"/>
        <w:autoSpaceDN w:val="0"/>
        <w:adjustRightInd w:val="0"/>
        <w:jc w:val="both"/>
        <w:rPr>
          <w:b/>
          <w:szCs w:val="24"/>
        </w:rPr>
      </w:pPr>
      <w:r w:rsidRPr="006D71C7">
        <w:rPr>
          <w:b/>
          <w:szCs w:val="24"/>
        </w:rPr>
        <w:t>Charakterystyka podmiotów gospodarki narodowej, według sekcji PKD, zarejestrowanych w województwie śląskim</w:t>
      </w:r>
    </w:p>
    <w:p w:rsidR="00C451B3" w:rsidRPr="006D71C7" w:rsidRDefault="00C6116F" w:rsidP="006D71C7">
      <w:pPr>
        <w:spacing w:before="120" w:after="120"/>
        <w:jc w:val="both"/>
        <w:rPr>
          <w:rFonts w:cstheme="minorHAnsi"/>
        </w:rPr>
      </w:pPr>
      <w:r w:rsidRPr="006D71C7">
        <w:rPr>
          <w:rFonts w:cstheme="minorHAnsi"/>
        </w:rPr>
        <w:t>Największą branżą w województwie śląskim jest Handel mający 132 234 zarejestrowanych podmiotów gospodarczych, stanowi to 30% wszystkich podmiotów gospodarczych zarejestrowanych w województwie śląskim. Uwagę zwraca, iż jego wielkość jest porównywalna do ilości podmiotów sklasyfikowanych jako „Pozostałe sekcje” czyli  11 innych branż. Warto również zwrócić uwagę, iż omawiany dział gospodarki narodowej jest ponad dwukrotnie liczniej reprezentowany w województwie śląskim, niż kolejna w klasyfikacji branża budowlana, która reprezentuje 51 097 podmiotów gospodarczych. Kolejnym obszarem działalności gospodarczej najliczniej reprezentowanym przez przedsiębiorców jest Przetwórstwo przemysłowe, którego wielkość szacowana jest                    na 41871 podmiotów, co stanowi 9,5 %. Z kolei branża Działalność związana z zakwaterowaniem i usługami gastronomicznymi – Turystyka reprezentowana jest przez 14762 podmiotów gospodarczych, co stanowi ponad 3% wszystkich podmiotów ujętych w niniejszej klasyfikacji.</w:t>
      </w:r>
    </w:p>
    <w:p w:rsidR="00D72267" w:rsidRPr="006D71C7" w:rsidRDefault="00C6116F" w:rsidP="006D71C7">
      <w:pPr>
        <w:spacing w:before="120" w:after="120"/>
        <w:ind w:left="-709"/>
        <w:jc w:val="both"/>
        <w:rPr>
          <w:rFonts w:cstheme="minorHAnsi"/>
        </w:rPr>
      </w:pPr>
      <w:r w:rsidRPr="006D71C7">
        <w:rPr>
          <w:rFonts w:cstheme="minorHAnsi"/>
          <w:noProof/>
        </w:rPr>
        <w:drawing>
          <wp:inline distT="0" distB="0" distL="0" distR="0">
            <wp:extent cx="6756105" cy="3443354"/>
            <wp:effectExtent l="38100" t="19050" r="25695" b="4696"/>
            <wp:docPr id="227"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915C3" w:rsidRPr="006D71C7" w:rsidRDefault="007338BD" w:rsidP="006D71C7">
      <w:pPr>
        <w:pStyle w:val="Legenda"/>
        <w:jc w:val="both"/>
        <w:rPr>
          <w:rFonts w:cstheme="minorHAnsi"/>
          <w:color w:val="auto"/>
          <w:sz w:val="20"/>
          <w:szCs w:val="20"/>
        </w:rPr>
      </w:pPr>
      <w:bookmarkStart w:id="213" w:name="_Toc324853706"/>
      <w:bookmarkStart w:id="214" w:name="_Toc324855753"/>
      <w:bookmarkStart w:id="215" w:name="_Toc326055340"/>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22</w:t>
      </w:r>
      <w:r w:rsidR="008F7228">
        <w:rPr>
          <w:color w:val="auto"/>
          <w:sz w:val="20"/>
          <w:szCs w:val="20"/>
        </w:rPr>
        <w:fldChar w:fldCharType="end"/>
      </w:r>
      <w:r w:rsidR="00EA299C" w:rsidRPr="006D71C7">
        <w:rPr>
          <w:color w:val="auto"/>
        </w:rPr>
        <w:t xml:space="preserve"> </w:t>
      </w:r>
      <w:r w:rsidR="00D72267" w:rsidRPr="006D71C7">
        <w:rPr>
          <w:b w:val="0"/>
          <w:i/>
          <w:color w:val="auto"/>
          <w:sz w:val="20"/>
          <w:szCs w:val="20"/>
        </w:rPr>
        <w:t>Liczba podmiotów w województwie śląskim</w:t>
      </w:r>
      <w:bookmarkEnd w:id="213"/>
      <w:bookmarkEnd w:id="214"/>
      <w:bookmarkEnd w:id="215"/>
    </w:p>
    <w:p w:rsidR="001915C3" w:rsidRPr="006D71C7" w:rsidRDefault="00E44009" w:rsidP="00BA2FE7">
      <w:pPr>
        <w:pStyle w:val="Nagwek1"/>
        <w:numPr>
          <w:ilvl w:val="1"/>
          <w:numId w:val="39"/>
        </w:numPr>
        <w:tabs>
          <w:tab w:val="left" w:pos="1560"/>
        </w:tabs>
        <w:spacing w:before="0" w:after="120"/>
        <w:jc w:val="both"/>
        <w:rPr>
          <w:bCs w:val="0"/>
          <w:szCs w:val="24"/>
        </w:rPr>
      </w:pPr>
      <w:bookmarkStart w:id="216" w:name="_Toc292789267"/>
      <w:bookmarkStart w:id="217" w:name="_Toc292793552"/>
      <w:bookmarkStart w:id="218" w:name="_Toc327259226"/>
      <w:bookmarkEnd w:id="201"/>
      <w:r w:rsidRPr="006D71C7">
        <w:rPr>
          <w:spacing w:val="1"/>
          <w:szCs w:val="24"/>
        </w:rPr>
        <w:t>ZASADNICZE MODYFIKACJE W ROZUMIENIU ART. 57 ROZPORZĄDZENIA NR 10/83/2006</w:t>
      </w:r>
      <w:bookmarkEnd w:id="216"/>
      <w:bookmarkEnd w:id="217"/>
      <w:bookmarkEnd w:id="218"/>
      <w:r w:rsidRPr="006D71C7">
        <w:rPr>
          <w:spacing w:val="1"/>
          <w:szCs w:val="24"/>
        </w:rPr>
        <w:t xml:space="preserve"> </w:t>
      </w:r>
    </w:p>
    <w:p w:rsidR="0005410E" w:rsidRPr="006D71C7" w:rsidRDefault="0005410E" w:rsidP="006D71C7">
      <w:pPr>
        <w:widowControl w:val="0"/>
        <w:autoSpaceDE w:val="0"/>
        <w:autoSpaceDN w:val="0"/>
        <w:adjustRightInd w:val="0"/>
        <w:spacing w:after="0"/>
        <w:ind w:right="-20"/>
        <w:jc w:val="both"/>
        <w:rPr>
          <w:szCs w:val="24"/>
        </w:rPr>
      </w:pPr>
      <w:r w:rsidRPr="006D71C7">
        <w:rPr>
          <w:szCs w:val="24"/>
        </w:rPr>
        <w:t xml:space="preserve">W okresie sprawozdawczym nie stwierdzono zasadniczych modyfikacji </w:t>
      </w:r>
      <w:r w:rsidRPr="006D71C7">
        <w:rPr>
          <w:bCs/>
          <w:szCs w:val="24"/>
        </w:rPr>
        <w:t xml:space="preserve">w </w:t>
      </w:r>
      <w:r w:rsidRPr="006D71C7">
        <w:rPr>
          <w:bCs/>
          <w:spacing w:val="-1"/>
          <w:szCs w:val="24"/>
        </w:rPr>
        <w:t>r</w:t>
      </w:r>
      <w:r w:rsidRPr="006D71C7">
        <w:rPr>
          <w:bCs/>
          <w:szCs w:val="24"/>
        </w:rPr>
        <w:t>o</w:t>
      </w:r>
      <w:r w:rsidRPr="006D71C7">
        <w:rPr>
          <w:bCs/>
          <w:spacing w:val="-1"/>
          <w:szCs w:val="24"/>
        </w:rPr>
        <w:t>z</w:t>
      </w:r>
      <w:r w:rsidRPr="006D71C7">
        <w:rPr>
          <w:bCs/>
          <w:spacing w:val="1"/>
          <w:szCs w:val="24"/>
        </w:rPr>
        <w:t>u</w:t>
      </w:r>
      <w:r w:rsidRPr="006D71C7">
        <w:rPr>
          <w:bCs/>
          <w:spacing w:val="-3"/>
          <w:szCs w:val="24"/>
        </w:rPr>
        <w:t>m</w:t>
      </w:r>
      <w:r w:rsidRPr="006D71C7">
        <w:rPr>
          <w:bCs/>
          <w:spacing w:val="1"/>
          <w:szCs w:val="24"/>
        </w:rPr>
        <w:t>i</w:t>
      </w:r>
      <w:r w:rsidRPr="006D71C7">
        <w:rPr>
          <w:bCs/>
          <w:spacing w:val="-1"/>
          <w:szCs w:val="24"/>
        </w:rPr>
        <w:t>e</w:t>
      </w:r>
      <w:r w:rsidRPr="006D71C7">
        <w:rPr>
          <w:bCs/>
          <w:spacing w:val="1"/>
          <w:szCs w:val="24"/>
        </w:rPr>
        <w:t>ni</w:t>
      </w:r>
      <w:r w:rsidRPr="006D71C7">
        <w:rPr>
          <w:bCs/>
          <w:szCs w:val="24"/>
        </w:rPr>
        <w:t>u a</w:t>
      </w:r>
      <w:r w:rsidRPr="006D71C7">
        <w:rPr>
          <w:bCs/>
          <w:spacing w:val="-1"/>
          <w:szCs w:val="24"/>
        </w:rPr>
        <w:t>rt</w:t>
      </w:r>
      <w:r w:rsidRPr="006D71C7">
        <w:rPr>
          <w:bCs/>
          <w:szCs w:val="24"/>
        </w:rPr>
        <w:t>. 57 </w:t>
      </w:r>
      <w:r w:rsidRPr="006D71C7">
        <w:rPr>
          <w:bCs/>
          <w:spacing w:val="-1"/>
          <w:szCs w:val="24"/>
        </w:rPr>
        <w:t>r</w:t>
      </w:r>
      <w:r w:rsidRPr="006D71C7">
        <w:rPr>
          <w:bCs/>
          <w:szCs w:val="24"/>
        </w:rPr>
        <w:t>o</w:t>
      </w:r>
      <w:r w:rsidRPr="006D71C7">
        <w:rPr>
          <w:bCs/>
          <w:spacing w:val="-1"/>
          <w:szCs w:val="24"/>
        </w:rPr>
        <w:t>z</w:t>
      </w:r>
      <w:r w:rsidRPr="006D71C7">
        <w:rPr>
          <w:bCs/>
          <w:spacing w:val="1"/>
          <w:szCs w:val="24"/>
        </w:rPr>
        <w:t>p</w:t>
      </w:r>
      <w:r w:rsidRPr="006D71C7">
        <w:rPr>
          <w:bCs/>
          <w:szCs w:val="24"/>
        </w:rPr>
        <w:t>o</w:t>
      </w:r>
      <w:r w:rsidRPr="006D71C7">
        <w:rPr>
          <w:bCs/>
          <w:spacing w:val="-1"/>
          <w:szCs w:val="24"/>
        </w:rPr>
        <w:t>rz</w:t>
      </w:r>
      <w:r w:rsidRPr="006D71C7">
        <w:rPr>
          <w:szCs w:val="24"/>
        </w:rPr>
        <w:t>ą</w:t>
      </w:r>
      <w:r w:rsidRPr="006D71C7">
        <w:rPr>
          <w:bCs/>
          <w:spacing w:val="1"/>
          <w:szCs w:val="24"/>
        </w:rPr>
        <w:t>d</w:t>
      </w:r>
      <w:r w:rsidRPr="006D71C7">
        <w:rPr>
          <w:bCs/>
          <w:spacing w:val="-1"/>
          <w:szCs w:val="24"/>
        </w:rPr>
        <w:t>ze</w:t>
      </w:r>
      <w:r w:rsidRPr="006D71C7">
        <w:rPr>
          <w:bCs/>
          <w:spacing w:val="1"/>
          <w:szCs w:val="24"/>
        </w:rPr>
        <w:t>ni</w:t>
      </w:r>
      <w:r w:rsidRPr="006D71C7">
        <w:rPr>
          <w:bCs/>
          <w:szCs w:val="24"/>
        </w:rPr>
        <w:t>a</w:t>
      </w:r>
      <w:r w:rsidRPr="006D71C7">
        <w:rPr>
          <w:bCs/>
          <w:spacing w:val="7"/>
          <w:szCs w:val="24"/>
        </w:rPr>
        <w:t xml:space="preserve"> </w:t>
      </w:r>
      <w:r w:rsidRPr="006D71C7">
        <w:rPr>
          <w:bCs/>
          <w:spacing w:val="1"/>
          <w:szCs w:val="24"/>
        </w:rPr>
        <w:t>n</w:t>
      </w:r>
      <w:r w:rsidRPr="006D71C7">
        <w:rPr>
          <w:bCs/>
          <w:szCs w:val="24"/>
        </w:rPr>
        <w:t>r 1083</w:t>
      </w:r>
      <w:r w:rsidRPr="006D71C7">
        <w:rPr>
          <w:bCs/>
          <w:spacing w:val="1"/>
          <w:szCs w:val="24"/>
        </w:rPr>
        <w:t>/</w:t>
      </w:r>
      <w:r w:rsidRPr="006D71C7">
        <w:rPr>
          <w:bCs/>
          <w:szCs w:val="24"/>
        </w:rPr>
        <w:t>2006.</w:t>
      </w:r>
    </w:p>
    <w:p w:rsidR="00C71AA2" w:rsidRPr="006D71C7" w:rsidRDefault="00E44009" w:rsidP="00BA2FE7">
      <w:pPr>
        <w:pStyle w:val="Nagwek1"/>
        <w:numPr>
          <w:ilvl w:val="1"/>
          <w:numId w:val="39"/>
        </w:numPr>
        <w:tabs>
          <w:tab w:val="left" w:pos="1560"/>
        </w:tabs>
        <w:spacing w:after="120"/>
        <w:jc w:val="both"/>
        <w:rPr>
          <w:bCs w:val="0"/>
          <w:spacing w:val="-2"/>
          <w:szCs w:val="24"/>
        </w:rPr>
      </w:pPr>
      <w:bookmarkStart w:id="219" w:name="_Toc292789268"/>
      <w:bookmarkStart w:id="220" w:name="_Toc292793553"/>
      <w:bookmarkStart w:id="221" w:name="_Toc327259227"/>
      <w:r w:rsidRPr="006D71C7">
        <w:rPr>
          <w:bCs w:val="0"/>
          <w:spacing w:val="-2"/>
          <w:szCs w:val="24"/>
        </w:rPr>
        <w:t>KOMPLEMENTARNOŚĆ POMOCY Z INNYMI INSTRUMENTAMI WSPARCIA</w:t>
      </w:r>
      <w:bookmarkEnd w:id="219"/>
      <w:bookmarkEnd w:id="220"/>
      <w:bookmarkEnd w:id="221"/>
      <w:r w:rsidRPr="006D71C7">
        <w:rPr>
          <w:bCs w:val="0"/>
          <w:spacing w:val="-2"/>
          <w:szCs w:val="24"/>
        </w:rPr>
        <w:t xml:space="preserve"> </w:t>
      </w:r>
    </w:p>
    <w:p w:rsidR="00C37305" w:rsidRPr="006D71C7" w:rsidRDefault="00282E40" w:rsidP="006D71C7">
      <w:pPr>
        <w:autoSpaceDE w:val="0"/>
        <w:autoSpaceDN w:val="0"/>
        <w:adjustRightInd w:val="0"/>
        <w:spacing w:after="0"/>
        <w:jc w:val="both"/>
        <w:rPr>
          <w:rFonts w:eastAsia="Calibri"/>
          <w:szCs w:val="24"/>
        </w:rPr>
      </w:pPr>
      <w:r w:rsidRPr="006D71C7">
        <w:rPr>
          <w:rFonts w:eastAsia="Calibri"/>
          <w:szCs w:val="24"/>
        </w:rPr>
        <w:t xml:space="preserve">W dokumentach programowych RPO WSL zawarto ogólne opisy obszarów i mechanizmów zapewniających komplementarność </w:t>
      </w:r>
      <w:r w:rsidRPr="006D71C7">
        <w:rPr>
          <w:rFonts w:eastAsia="Calibri"/>
          <w:i/>
          <w:szCs w:val="24"/>
        </w:rPr>
        <w:t>Programu</w:t>
      </w:r>
      <w:r w:rsidRPr="006D71C7">
        <w:rPr>
          <w:rFonts w:eastAsia="Calibri"/>
          <w:szCs w:val="24"/>
        </w:rPr>
        <w:t xml:space="preserve"> z innymi programami realizowanymi w ramach Polityki Spójności, Wspólnej Polityki Rolnej oraz Wspólnej Polityki Rybackiej. Prawie wszystkie priorytety programów krajowych, tj. Programu Operacyjnego Infrastruktura i Środowisko, Programu Operacyjnego Innowacyjna Gospodarka, Programu Operacyjnego Kapitał Ludzki, Programu Rozwoju Obszarów Wiejskich, a także Zrównoważonego rozwoju sektora rybołówstwa i</w:t>
      </w:r>
      <w:r w:rsidR="009B48B5" w:rsidRPr="006D71C7">
        <w:rPr>
          <w:rFonts w:eastAsia="Calibri"/>
          <w:szCs w:val="24"/>
        </w:rPr>
        <w:t xml:space="preserve"> </w:t>
      </w:r>
      <w:r w:rsidRPr="006D71C7">
        <w:rPr>
          <w:rFonts w:eastAsia="Calibri"/>
          <w:szCs w:val="24"/>
        </w:rPr>
        <w:t>nadbrze</w:t>
      </w:r>
      <w:r w:rsidR="009B48B5" w:rsidRPr="006D71C7">
        <w:rPr>
          <w:rFonts w:eastAsia="Calibri"/>
          <w:szCs w:val="24"/>
        </w:rPr>
        <w:t>ż</w:t>
      </w:r>
      <w:r w:rsidRPr="006D71C7">
        <w:rPr>
          <w:rFonts w:eastAsia="Calibri"/>
          <w:szCs w:val="24"/>
        </w:rPr>
        <w:t>nych obszarów rybackich</w:t>
      </w:r>
      <w:r w:rsidR="009B48B5" w:rsidRPr="006D71C7">
        <w:rPr>
          <w:rFonts w:eastAsia="Calibri"/>
          <w:szCs w:val="24"/>
        </w:rPr>
        <w:t xml:space="preserve"> zostały określone jako komplementarne z RPO WSL.</w:t>
      </w:r>
      <w:r w:rsidRPr="006D71C7">
        <w:rPr>
          <w:rFonts w:eastAsia="Calibri"/>
          <w:szCs w:val="24"/>
        </w:rPr>
        <w:t xml:space="preserve"> </w:t>
      </w:r>
      <w:r w:rsidR="00C37305" w:rsidRPr="006D71C7">
        <w:rPr>
          <w:szCs w:val="24"/>
          <w:lang w:eastAsia="ar-SA"/>
        </w:rPr>
        <w:t>Działania realizowane na obszarze Wojewó</w:t>
      </w:r>
      <w:r w:rsidR="009B48B5" w:rsidRPr="006D71C7">
        <w:rPr>
          <w:szCs w:val="24"/>
          <w:lang w:eastAsia="ar-SA"/>
        </w:rPr>
        <w:t>dztwa Śląskiego w </w:t>
      </w:r>
      <w:r w:rsidR="00C37305" w:rsidRPr="006D71C7">
        <w:rPr>
          <w:szCs w:val="24"/>
          <w:lang w:eastAsia="ar-SA"/>
        </w:rPr>
        <w:t>ramach RPO WSL będą uzupełniane o przedsięwzięcia mające charakter transgraniczny, współfinansowane w ramach Programów Współpracy Transgranicznej Polska – Czechy, Polska – Słowacja. Projekty tworzone w ramach wymienionych Programów będą m</w:t>
      </w:r>
      <w:r w:rsidR="009B48B5" w:rsidRPr="006D71C7">
        <w:rPr>
          <w:szCs w:val="24"/>
          <w:lang w:eastAsia="ar-SA"/>
        </w:rPr>
        <w:t>ożliwe do </w:t>
      </w:r>
      <w:r w:rsidR="00C37305" w:rsidRPr="006D71C7">
        <w:rPr>
          <w:szCs w:val="24"/>
          <w:lang w:eastAsia="ar-SA"/>
        </w:rPr>
        <w:t xml:space="preserve">zrealizowania tylko na terenach województwa należących do strefy przygranicznej oraz wyłącznie w ścisłej współpracy z partnerami zagranicznymi. </w:t>
      </w:r>
    </w:p>
    <w:p w:rsidR="00C71AA2" w:rsidRPr="006D71C7" w:rsidRDefault="003826ED" w:rsidP="00BA2FE7">
      <w:pPr>
        <w:pStyle w:val="Nagwek1"/>
        <w:numPr>
          <w:ilvl w:val="2"/>
          <w:numId w:val="39"/>
        </w:numPr>
        <w:tabs>
          <w:tab w:val="left" w:pos="1560"/>
        </w:tabs>
        <w:spacing w:after="120"/>
        <w:ind w:left="1134" w:hanging="284"/>
        <w:jc w:val="both"/>
        <w:rPr>
          <w:szCs w:val="24"/>
          <w:lang w:eastAsia="ar-SA"/>
        </w:rPr>
      </w:pPr>
      <w:bookmarkStart w:id="222" w:name="_Toc292793554"/>
      <w:bookmarkStart w:id="223" w:name="_Toc324853878"/>
      <w:bookmarkStart w:id="224" w:name="_Toc327259228"/>
      <w:r w:rsidRPr="006D71C7">
        <w:rPr>
          <w:szCs w:val="24"/>
          <w:lang w:eastAsia="ar-SA"/>
        </w:rPr>
        <w:t>Wpływ działalności KM/PKM, i</w:t>
      </w:r>
      <w:r w:rsidR="00C71AA2" w:rsidRPr="006D71C7">
        <w:rPr>
          <w:szCs w:val="24"/>
          <w:lang w:eastAsia="ar-SA"/>
        </w:rPr>
        <w:t>nstytucji i grup na zapewnienie koordynacji i komplementarności</w:t>
      </w:r>
      <w:r w:rsidRPr="006D71C7">
        <w:rPr>
          <w:szCs w:val="24"/>
          <w:lang w:eastAsia="ar-SA"/>
        </w:rPr>
        <w:t xml:space="preserve"> wsparcia</w:t>
      </w:r>
      <w:bookmarkEnd w:id="222"/>
      <w:bookmarkEnd w:id="223"/>
      <w:bookmarkEnd w:id="224"/>
    </w:p>
    <w:p w:rsidR="009B48B5" w:rsidRPr="006D71C7" w:rsidRDefault="009B48B5" w:rsidP="00BA2FE7">
      <w:pPr>
        <w:pStyle w:val="Akapitzlist"/>
        <w:numPr>
          <w:ilvl w:val="0"/>
          <w:numId w:val="78"/>
        </w:numPr>
        <w:spacing w:after="0"/>
        <w:ind w:left="426"/>
        <w:jc w:val="both"/>
      </w:pPr>
      <w:r w:rsidRPr="006D71C7">
        <w:t>Komitet Koordynacyjny Narodowe Strategiczne Ramy Odniesienia składający się m.in. z przedstawicieli IZ RPO, IK NSRO oraz Wspólnej Polityki Rolnej i Wspólnej Polityki Rybołówstwa, monitoruje i usprawnia koordynację pomiędzy instrumentami finansowymi UE (EFRR, EFS, FS, EFRROW, EFR) na poziomie krajowym,</w:t>
      </w:r>
    </w:p>
    <w:p w:rsidR="009B48B5" w:rsidRPr="006D71C7" w:rsidRDefault="009B48B5" w:rsidP="00BA2FE7">
      <w:pPr>
        <w:pStyle w:val="Akapitzlist"/>
        <w:numPr>
          <w:ilvl w:val="0"/>
          <w:numId w:val="78"/>
        </w:numPr>
        <w:spacing w:after="0"/>
        <w:ind w:left="426"/>
        <w:jc w:val="both"/>
      </w:pPr>
      <w:r w:rsidRPr="006D71C7">
        <w:t xml:space="preserve">Komitet Monitorujący RPO WSL zapewnia jakość realizacji </w:t>
      </w:r>
      <w:r w:rsidRPr="006D71C7">
        <w:rPr>
          <w:i/>
        </w:rPr>
        <w:t>Programu</w:t>
      </w:r>
      <w:r w:rsidRPr="006D71C7">
        <w:t xml:space="preserve"> zgodnie z przepisami art. 65 </w:t>
      </w:r>
      <w:r w:rsidRPr="006D71C7">
        <w:rPr>
          <w:i/>
        </w:rPr>
        <w:t>Rozporządzenia Rady nr 1083/2006</w:t>
      </w:r>
      <w:r w:rsidRPr="006D71C7">
        <w:t>.</w:t>
      </w:r>
      <w:r w:rsidRPr="006D71C7">
        <w:rPr>
          <w:szCs w:val="24"/>
        </w:rPr>
        <w:t xml:space="preserve"> </w:t>
      </w:r>
      <w:r w:rsidRPr="006D71C7">
        <w:t xml:space="preserve">W skład KM RPO WSL </w:t>
      </w:r>
      <w:r w:rsidRPr="006D71C7">
        <w:rPr>
          <w:szCs w:val="24"/>
        </w:rPr>
        <w:t>weszli przedstawiciele jednostek samorządu terytorialnego, strony rządowej, partnerów społecznych i gospodarczych, środowiska akademicko-naukowego oraz środowiska kościelnego i związków wyznaniowych,</w:t>
      </w:r>
    </w:p>
    <w:p w:rsidR="009B48B5" w:rsidRPr="006D71C7" w:rsidRDefault="009B48B5" w:rsidP="00BA2FE7">
      <w:pPr>
        <w:pStyle w:val="Akapitzlist"/>
        <w:numPr>
          <w:ilvl w:val="0"/>
          <w:numId w:val="78"/>
        </w:numPr>
        <w:spacing w:after="0"/>
        <w:ind w:left="426"/>
        <w:jc w:val="both"/>
        <w:rPr>
          <w:rFonts w:eastAsiaTheme="minorHAnsi"/>
          <w:szCs w:val="24"/>
          <w:lang w:eastAsia="en-US"/>
        </w:rPr>
      </w:pPr>
      <w:r w:rsidRPr="006D71C7">
        <w:rPr>
          <w:i/>
        </w:rPr>
        <w:t>Grupa robocza ds. ko</w:t>
      </w:r>
      <w:r w:rsidRPr="006D71C7">
        <w:rPr>
          <w:i/>
          <w:szCs w:val="24"/>
        </w:rPr>
        <w:t>o</w:t>
      </w:r>
      <w:r w:rsidRPr="006D71C7">
        <w:rPr>
          <w:i/>
        </w:rPr>
        <w:t>rdynacji i komplementarności</w:t>
      </w:r>
      <w:r w:rsidRPr="006D71C7">
        <w:rPr>
          <w:b/>
          <w:i/>
        </w:rPr>
        <w:t xml:space="preserve">, </w:t>
      </w:r>
      <w:r w:rsidRPr="006D71C7">
        <w:t>w skład której wchodzą m.in. przedstawiciele</w:t>
      </w:r>
      <w:r w:rsidR="00BB61CA" w:rsidRPr="006D71C7">
        <w:t xml:space="preserve"> IZ</w:t>
      </w:r>
      <w:r w:rsidRPr="006D71C7">
        <w:t xml:space="preserve"> RPO WSL. Grupa odpowiedzialna jest głównie za monitorowanie komplementarności wdrażania działań poszczególnych programów operacyjnych w ramach NSRO, Wspólnej Polityki Rolnej oraz Wspólnej Polityki Rybackiej. W 2011 r. miało miejsce pięć posiedzeń ww. grupy</w:t>
      </w:r>
      <w:r w:rsidR="00244042" w:rsidRPr="006D71C7">
        <w:t>.</w:t>
      </w:r>
    </w:p>
    <w:p w:rsidR="00C71AA2" w:rsidRPr="006D71C7" w:rsidRDefault="00805CCE" w:rsidP="00BA2FE7">
      <w:pPr>
        <w:pStyle w:val="Nagwek1"/>
        <w:numPr>
          <w:ilvl w:val="2"/>
          <w:numId w:val="39"/>
        </w:numPr>
        <w:tabs>
          <w:tab w:val="left" w:pos="1560"/>
        </w:tabs>
        <w:spacing w:after="120"/>
        <w:ind w:left="1134" w:hanging="283"/>
        <w:jc w:val="both"/>
        <w:rPr>
          <w:rStyle w:val="Pogrubienie"/>
          <w:b/>
          <w:szCs w:val="24"/>
        </w:rPr>
      </w:pPr>
      <w:bookmarkStart w:id="225" w:name="_Toc292793555"/>
      <w:bookmarkStart w:id="226" w:name="_Toc324853879"/>
      <w:bookmarkStart w:id="227" w:name="_Toc327259229"/>
      <w:r w:rsidRPr="006D71C7">
        <w:rPr>
          <w:rStyle w:val="Pogrubienie"/>
          <w:b/>
          <w:szCs w:val="24"/>
        </w:rPr>
        <w:t>Informacje na temat stosowanych mechanizmów i narzędzi służących</w:t>
      </w:r>
      <w:r w:rsidR="00C71AA2" w:rsidRPr="006D71C7">
        <w:rPr>
          <w:rStyle w:val="Pogrubienie"/>
          <w:b/>
          <w:szCs w:val="24"/>
        </w:rPr>
        <w:t xml:space="preserve"> zapewnieniu koordynacji i komplementarności wsparcia</w:t>
      </w:r>
      <w:r w:rsidR="003826ED" w:rsidRPr="006D71C7">
        <w:rPr>
          <w:rStyle w:val="Pogrubienie"/>
          <w:b/>
          <w:szCs w:val="24"/>
        </w:rPr>
        <w:t xml:space="preserve"> oraz ich oceny</w:t>
      </w:r>
      <w:bookmarkEnd w:id="225"/>
      <w:bookmarkEnd w:id="226"/>
      <w:bookmarkEnd w:id="227"/>
    </w:p>
    <w:p w:rsidR="00244042" w:rsidRDefault="00244042" w:rsidP="006D71C7">
      <w:pPr>
        <w:pStyle w:val="Akapitzlist"/>
        <w:autoSpaceDE w:val="0"/>
        <w:autoSpaceDN w:val="0"/>
        <w:adjustRightInd w:val="0"/>
        <w:spacing w:after="0"/>
        <w:ind w:left="0"/>
        <w:jc w:val="both"/>
        <w:rPr>
          <w:rFonts w:eastAsia="Calibri"/>
          <w:szCs w:val="24"/>
        </w:rPr>
      </w:pPr>
      <w:r w:rsidRPr="006D71C7">
        <w:rPr>
          <w:rFonts w:eastAsia="Calibri"/>
          <w:szCs w:val="24"/>
        </w:rPr>
        <w:t xml:space="preserve">W poprzednim okresie sprawozdawczym KK NSRO przyjął </w:t>
      </w:r>
      <w:r w:rsidRPr="006D71C7">
        <w:rPr>
          <w:rFonts w:eastAsia="Calibri"/>
          <w:i/>
          <w:iCs/>
          <w:szCs w:val="24"/>
        </w:rPr>
        <w:t>Rekomendacje horyzontalne dla instytucji zaanga</w:t>
      </w:r>
      <w:r w:rsidRPr="006D71C7">
        <w:rPr>
          <w:rFonts w:eastAsia="Calibri"/>
          <w:szCs w:val="24"/>
        </w:rPr>
        <w:t>ż</w:t>
      </w:r>
      <w:r w:rsidRPr="006D71C7">
        <w:rPr>
          <w:rFonts w:eastAsia="Calibri"/>
          <w:i/>
          <w:iCs/>
          <w:szCs w:val="24"/>
        </w:rPr>
        <w:t>owanych we wdra</w:t>
      </w:r>
      <w:r w:rsidRPr="006D71C7">
        <w:rPr>
          <w:rFonts w:eastAsia="Calibri"/>
          <w:szCs w:val="24"/>
        </w:rPr>
        <w:t>ż</w:t>
      </w:r>
      <w:r w:rsidRPr="006D71C7">
        <w:rPr>
          <w:rFonts w:eastAsia="Calibri"/>
          <w:i/>
          <w:iCs/>
          <w:szCs w:val="24"/>
        </w:rPr>
        <w:t>anie PO/RPO w ramach NSRO 2007-2013 w zakresie koordynacji i komplementarno</w:t>
      </w:r>
      <w:r w:rsidRPr="006D71C7">
        <w:rPr>
          <w:rFonts w:eastAsia="Calibri"/>
          <w:szCs w:val="24"/>
        </w:rPr>
        <w:t>ś</w:t>
      </w:r>
      <w:r w:rsidRPr="006D71C7">
        <w:rPr>
          <w:rFonts w:eastAsia="Calibri"/>
          <w:i/>
          <w:iCs/>
          <w:szCs w:val="24"/>
        </w:rPr>
        <w:t>ci podejmowanych działa</w:t>
      </w:r>
      <w:r w:rsidRPr="006D71C7">
        <w:rPr>
          <w:rFonts w:eastAsia="Calibri"/>
          <w:szCs w:val="24"/>
        </w:rPr>
        <w:t>ń</w:t>
      </w:r>
      <w:r w:rsidRPr="006D71C7">
        <w:rPr>
          <w:rFonts w:eastAsia="Calibri"/>
          <w:i/>
          <w:iCs/>
          <w:szCs w:val="24"/>
        </w:rPr>
        <w:t xml:space="preserve">, </w:t>
      </w:r>
      <w:r w:rsidRPr="006D71C7">
        <w:rPr>
          <w:rFonts w:eastAsia="Calibri"/>
          <w:szCs w:val="24"/>
        </w:rPr>
        <w:t>które mają charakter zaleceń, ponadto wskazują kierunek, w jakim powinny zostać zaplanowane działania zorientowane na zapewnienie koordynacji i komplementarności wsparcia w perspektywie po roku 2013.</w:t>
      </w:r>
    </w:p>
    <w:p w:rsidR="00663087" w:rsidRDefault="00663087" w:rsidP="006D71C7">
      <w:pPr>
        <w:pStyle w:val="Akapitzlist"/>
        <w:autoSpaceDE w:val="0"/>
        <w:autoSpaceDN w:val="0"/>
        <w:adjustRightInd w:val="0"/>
        <w:spacing w:after="0"/>
        <w:ind w:left="0"/>
        <w:jc w:val="both"/>
        <w:rPr>
          <w:rFonts w:eastAsia="Calibri"/>
          <w:szCs w:val="24"/>
        </w:rPr>
      </w:pPr>
    </w:p>
    <w:p w:rsidR="00663087" w:rsidRDefault="00B87FFA" w:rsidP="00663087">
      <w:pPr>
        <w:spacing w:after="0"/>
        <w:ind w:left="66"/>
        <w:jc w:val="both"/>
      </w:pPr>
      <w:r>
        <w:t>Większość priorytetów</w:t>
      </w:r>
      <w:r w:rsidR="00663087" w:rsidRPr="006D71C7">
        <w:t xml:space="preserve"> RPO WSL (EFRR) </w:t>
      </w:r>
      <w:r>
        <w:t>jest komplementarna</w:t>
      </w:r>
      <w:r w:rsidR="00663087" w:rsidRPr="006D71C7">
        <w:t xml:space="preserve"> z działaniami podejmowanymi w ramach PO KL (EFS). Dotyczy to przede wszystkim działań miękkich, obejmujących innowacje i przedsiębiorczość, sferę badawczo – rozwojową. W ramach RPO WSL realizowane są projekty inwestycyjne, infrastrukturalne. Komplementarność RPO WSL </w:t>
      </w:r>
      <w:r w:rsidR="00663087">
        <w:t>z</w:t>
      </w:r>
      <w:r w:rsidR="00663087" w:rsidRPr="006D71C7">
        <w:t xml:space="preserve"> PROW obejmuje m.in. projekty infrastrukturalne realizowane w ramach priorytetów: I, III, IV, V, VI, VII oraz IX. </w:t>
      </w:r>
      <w:r w:rsidR="00663087">
        <w:t>Ze względu na położenie geograficzne województwa, RPO WSL wykazuje komplementarność z PO RYBY jedynie w zakresie wsparcia dla gospodarstw i przedsiębiorstw zajmujących się produkcją i przetwórstwem rybnym śród</w:t>
      </w:r>
      <w:r w:rsidR="00BB74E3">
        <w:t>lądowym oraz ochrony środowiska, w związku z powyższym nie zostały wdrożone mechanizmy koordynacji i komplementarności pomiędzy programami.</w:t>
      </w:r>
    </w:p>
    <w:p w:rsidR="00244042" w:rsidRPr="006D71C7" w:rsidRDefault="00244042" w:rsidP="006D71C7">
      <w:pPr>
        <w:autoSpaceDE w:val="0"/>
        <w:autoSpaceDN w:val="0"/>
        <w:adjustRightInd w:val="0"/>
        <w:spacing w:after="0"/>
        <w:jc w:val="both"/>
        <w:rPr>
          <w:rFonts w:eastAsia="Calibri"/>
          <w:i/>
          <w:iCs/>
          <w:szCs w:val="24"/>
        </w:rPr>
      </w:pPr>
    </w:p>
    <w:p w:rsidR="00244042" w:rsidRPr="006D71C7" w:rsidRDefault="00244042" w:rsidP="006D71C7">
      <w:pPr>
        <w:autoSpaceDE w:val="0"/>
        <w:autoSpaceDN w:val="0"/>
        <w:adjustRightInd w:val="0"/>
        <w:spacing w:after="0"/>
        <w:jc w:val="both"/>
        <w:rPr>
          <w:rFonts w:eastAsia="Calibri"/>
          <w:szCs w:val="24"/>
        </w:rPr>
      </w:pPr>
      <w:r w:rsidRPr="006D71C7">
        <w:rPr>
          <w:rFonts w:eastAsia="Calibri"/>
          <w:szCs w:val="24"/>
        </w:rPr>
        <w:t>W RPO WSL funkcjonują niżej wymienione mechanizmy (narzędzia), o których mowa w ww. rekomendacjach:</w:t>
      </w:r>
    </w:p>
    <w:p w:rsidR="00244042" w:rsidRPr="006D71C7" w:rsidRDefault="00244042" w:rsidP="00BA2FE7">
      <w:pPr>
        <w:pStyle w:val="Akapitzlist"/>
        <w:numPr>
          <w:ilvl w:val="0"/>
          <w:numId w:val="79"/>
        </w:numPr>
        <w:spacing w:after="0"/>
        <w:ind w:left="426"/>
        <w:jc w:val="both"/>
        <w:rPr>
          <w:szCs w:val="24"/>
        </w:rPr>
      </w:pPr>
      <w:r w:rsidRPr="006D71C7">
        <w:rPr>
          <w:szCs w:val="24"/>
        </w:rPr>
        <w:t xml:space="preserve">komplementarność projektu - każdy beneficjent opisuje we wniosku o dofinansowanie czy złożony projekt do dofinansowania jest komplementarny z innymi zrealizowanymi już projektami. Na etapie oceny merytoryczno-technicznej jednym z kryteriów podstawowych jest </w:t>
      </w:r>
      <w:r w:rsidRPr="006D71C7">
        <w:rPr>
          <w:i/>
          <w:szCs w:val="24"/>
        </w:rPr>
        <w:t xml:space="preserve">stopień komplementarności z innymi przedsięwzięciami lub innymi podmiotami, realizującymi projekt </w:t>
      </w:r>
      <w:r w:rsidRPr="006D71C7">
        <w:t>(rekomendacja grupy roboczej ds. koordynacji i komplementarności) rekomendacja horyzontalna dla instytucji zaangażowanych we wdrażanie i koordynację RPO w ramach NSRO w zakresie koordynacji i komplementarności podejmowanych działań</w:t>
      </w:r>
      <w:r w:rsidRPr="006D71C7">
        <w:rPr>
          <w:i/>
          <w:szCs w:val="24"/>
        </w:rPr>
        <w:t>,</w:t>
      </w:r>
    </w:p>
    <w:p w:rsidR="00244042" w:rsidRPr="006D71C7" w:rsidRDefault="00244042" w:rsidP="00BA2FE7">
      <w:pPr>
        <w:pStyle w:val="Akapitzlist"/>
        <w:numPr>
          <w:ilvl w:val="0"/>
          <w:numId w:val="79"/>
        </w:numPr>
        <w:tabs>
          <w:tab w:val="left" w:pos="426"/>
        </w:tabs>
        <w:spacing w:after="0"/>
        <w:ind w:left="426"/>
        <w:jc w:val="both"/>
        <w:rPr>
          <w:szCs w:val="24"/>
        </w:rPr>
      </w:pPr>
      <w:r w:rsidRPr="006D71C7">
        <w:t>koncentracja w Urzędzie Marszałkowskim Województwa Śląskiego IZ RPO WSL, Instytucji Pośredniczącej komponentu regionalnego PO KL, EWT oraz Instytucji Wdrażającej niektóre działania PROW, sprzyja zapobieganiu podwójnemu finansowaniu, oraz osiągnięcie skutecznej i efektywnej komunikacji, która pozwala na optymalizację wdrażania wszystkich programów (rekomendacja grupy roboczej ds. koordynacji i komplementarności),</w:t>
      </w:r>
    </w:p>
    <w:p w:rsidR="00244042" w:rsidRPr="006D71C7" w:rsidRDefault="00244042" w:rsidP="00BA2FE7">
      <w:pPr>
        <w:pStyle w:val="Akapitzlist"/>
        <w:numPr>
          <w:ilvl w:val="0"/>
          <w:numId w:val="79"/>
        </w:numPr>
        <w:tabs>
          <w:tab w:val="left" w:pos="426"/>
        </w:tabs>
        <w:spacing w:after="0"/>
        <w:ind w:left="426"/>
        <w:jc w:val="both"/>
        <w:rPr>
          <w:i/>
          <w:szCs w:val="24"/>
        </w:rPr>
      </w:pPr>
      <w:r w:rsidRPr="006D71C7">
        <w:rPr>
          <w:szCs w:val="24"/>
        </w:rPr>
        <w:t xml:space="preserve">IZ RPO WSL w kryteriach wyboru Funduszu Rozwoju Obszarów Miejskich ramach Inicjatywy JESSICA w </w:t>
      </w:r>
      <w:r w:rsidR="00EA01AD" w:rsidRPr="006D71C7">
        <w:rPr>
          <w:szCs w:val="24"/>
        </w:rPr>
        <w:t>województwie śląskim wprowadziła</w:t>
      </w:r>
      <w:r w:rsidRPr="006D71C7">
        <w:rPr>
          <w:szCs w:val="24"/>
        </w:rPr>
        <w:t xml:space="preserve"> komplementarność, której celem jest rewitalizacja społeczna. W kryterium dotyczącym portfela projektów zostało wprowadzone podkryterium: </w:t>
      </w:r>
      <w:r w:rsidRPr="006D71C7">
        <w:rPr>
          <w:i/>
          <w:szCs w:val="24"/>
        </w:rPr>
        <w:t xml:space="preserve">społeczny charakter poszczególnych projektów. </w:t>
      </w:r>
      <w:r w:rsidRPr="006D71C7">
        <w:rPr>
          <w:szCs w:val="24"/>
        </w:rPr>
        <w:t>Wnioskodawca powinien udowodnić, że przynajmniej część Projektów Miejskich dostarczy rozwiązań problemów społeczności lokalnej, mających na cel</w:t>
      </w:r>
      <w:r w:rsidR="00BB61CA" w:rsidRPr="006D71C7">
        <w:rPr>
          <w:szCs w:val="24"/>
        </w:rPr>
        <w:t>u</w:t>
      </w:r>
      <w:r w:rsidRPr="006D71C7">
        <w:rPr>
          <w:szCs w:val="24"/>
        </w:rPr>
        <w:t xml:space="preserve"> integrację społeczną oraz zapewnienie komplementarności z projektami zrealizowanymi, których celem jest rewitalizacja społeczna. </w:t>
      </w:r>
    </w:p>
    <w:p w:rsidR="00244042" w:rsidRPr="006D71C7" w:rsidRDefault="00244042" w:rsidP="00BA2FE7">
      <w:pPr>
        <w:pStyle w:val="Akapitzlist"/>
        <w:numPr>
          <w:ilvl w:val="0"/>
          <w:numId w:val="79"/>
        </w:numPr>
        <w:tabs>
          <w:tab w:val="left" w:pos="426"/>
        </w:tabs>
        <w:spacing w:after="0"/>
        <w:ind w:left="426"/>
        <w:jc w:val="both"/>
        <w:rPr>
          <w:szCs w:val="24"/>
        </w:rPr>
      </w:pPr>
      <w:r w:rsidRPr="006D71C7">
        <w:rPr>
          <w:szCs w:val="24"/>
        </w:rPr>
        <w:t xml:space="preserve">w </w:t>
      </w:r>
      <w:r w:rsidRPr="006D71C7">
        <w:t>pracach Podkomitetu Monitorującego Program Operacyjny Kapitał Ludzki Województwa Śląskiego uczestniczy jeden przedstawiciel lub jego stały zastępca z ramienia Instytucji Zarządzającej Regionalnym Programem Operacyjnym Województwa Śląskiego,</w:t>
      </w:r>
    </w:p>
    <w:p w:rsidR="00244042" w:rsidRPr="006D71C7" w:rsidRDefault="00244042" w:rsidP="00BA2FE7">
      <w:pPr>
        <w:pStyle w:val="Akapitzlist"/>
        <w:numPr>
          <w:ilvl w:val="0"/>
          <w:numId w:val="79"/>
        </w:numPr>
        <w:tabs>
          <w:tab w:val="left" w:pos="426"/>
        </w:tabs>
        <w:spacing w:after="0"/>
        <w:ind w:left="426"/>
        <w:jc w:val="both"/>
        <w:rPr>
          <w:szCs w:val="24"/>
        </w:rPr>
      </w:pPr>
      <w:r w:rsidRPr="006D71C7">
        <w:rPr>
          <w:szCs w:val="24"/>
          <w:lang w:eastAsia="ar-SA"/>
        </w:rPr>
        <w:t>mechanizm blokowy wspierania projektów komplementarnych:</w:t>
      </w:r>
    </w:p>
    <w:p w:rsidR="00EA01AD" w:rsidRPr="006D71C7" w:rsidRDefault="00244042" w:rsidP="00BA2FE7">
      <w:pPr>
        <w:pStyle w:val="Akapitzlist"/>
        <w:numPr>
          <w:ilvl w:val="0"/>
          <w:numId w:val="80"/>
        </w:numPr>
        <w:spacing w:after="0"/>
        <w:ind w:left="709"/>
        <w:jc w:val="both"/>
        <w:rPr>
          <w:szCs w:val="24"/>
          <w:lang w:eastAsia="ar-SA"/>
        </w:rPr>
      </w:pPr>
      <w:r w:rsidRPr="006D71C7">
        <w:rPr>
          <w:szCs w:val="24"/>
          <w:lang w:eastAsia="ar-SA"/>
        </w:rPr>
        <w:t xml:space="preserve">stosowany jest w przypadku </w:t>
      </w:r>
      <w:r w:rsidRPr="006D71C7">
        <w:rPr>
          <w:bCs/>
          <w:szCs w:val="24"/>
          <w:lang w:eastAsia="ar-SA"/>
        </w:rPr>
        <w:t>projektów rewitalizacyjnych</w:t>
      </w:r>
      <w:r w:rsidRPr="006D71C7">
        <w:rPr>
          <w:szCs w:val="24"/>
          <w:lang w:eastAsia="ar-SA"/>
        </w:rPr>
        <w:t xml:space="preserve">, gdzie istotna jest zgodność z lokalnym programem rewitalizacji,  </w:t>
      </w:r>
    </w:p>
    <w:p w:rsidR="00EA01AD" w:rsidRPr="006D71C7" w:rsidRDefault="00244042" w:rsidP="00BA2FE7">
      <w:pPr>
        <w:pStyle w:val="Akapitzlist"/>
        <w:numPr>
          <w:ilvl w:val="0"/>
          <w:numId w:val="80"/>
        </w:numPr>
        <w:spacing w:after="0"/>
        <w:ind w:left="709"/>
        <w:jc w:val="both"/>
        <w:rPr>
          <w:szCs w:val="24"/>
          <w:lang w:eastAsia="ar-SA"/>
        </w:rPr>
      </w:pPr>
      <w:r w:rsidRPr="006D71C7">
        <w:rPr>
          <w:szCs w:val="24"/>
          <w:lang w:eastAsia="ar-SA"/>
        </w:rPr>
        <w:t xml:space="preserve">stosowanie </w:t>
      </w:r>
      <w:r w:rsidRPr="006D71C7">
        <w:rPr>
          <w:bCs/>
          <w:szCs w:val="24"/>
          <w:lang w:eastAsia="ar-SA"/>
        </w:rPr>
        <w:t>pozakonkursowej ścieżki wyboru projektów</w:t>
      </w:r>
      <w:r w:rsidRPr="006D71C7">
        <w:rPr>
          <w:szCs w:val="24"/>
          <w:lang w:eastAsia="ar-SA"/>
        </w:rPr>
        <w:t xml:space="preserve"> </w:t>
      </w:r>
      <w:r w:rsidRPr="006D71C7">
        <w:rPr>
          <w:bCs/>
          <w:szCs w:val="24"/>
          <w:lang w:eastAsia="ar-SA"/>
        </w:rPr>
        <w:t>Pr</w:t>
      </w:r>
      <w:r w:rsidR="00EA01AD" w:rsidRPr="006D71C7">
        <w:rPr>
          <w:bCs/>
          <w:szCs w:val="24"/>
          <w:lang w:eastAsia="ar-SA"/>
        </w:rPr>
        <w:t>ogramy Rozwoju Subregionów</w:t>
      </w:r>
      <w:r w:rsidRPr="006D71C7">
        <w:rPr>
          <w:szCs w:val="24"/>
          <w:lang w:eastAsia="ar-SA"/>
        </w:rPr>
        <w:t xml:space="preserve"> przygotowywane w porozumieniu </w:t>
      </w:r>
      <w:r w:rsidR="00EA01AD" w:rsidRPr="006D71C7">
        <w:rPr>
          <w:szCs w:val="24"/>
          <w:lang w:eastAsia="ar-SA"/>
        </w:rPr>
        <w:t>z</w:t>
      </w:r>
      <w:r w:rsidRPr="006D71C7">
        <w:rPr>
          <w:szCs w:val="24"/>
          <w:lang w:eastAsia="ar-SA"/>
        </w:rPr>
        <w:t xml:space="preserve"> władz</w:t>
      </w:r>
      <w:r w:rsidR="00EA01AD" w:rsidRPr="006D71C7">
        <w:rPr>
          <w:szCs w:val="24"/>
          <w:lang w:eastAsia="ar-SA"/>
        </w:rPr>
        <w:t>ami lokalnymi</w:t>
      </w:r>
      <w:r w:rsidRPr="006D71C7">
        <w:rPr>
          <w:szCs w:val="24"/>
          <w:lang w:eastAsia="ar-SA"/>
        </w:rPr>
        <w:t xml:space="preserve">, </w:t>
      </w:r>
    </w:p>
    <w:p w:rsidR="00B50BDA" w:rsidRDefault="00244042" w:rsidP="00BA2FE7">
      <w:pPr>
        <w:pStyle w:val="Akapitzlist"/>
        <w:numPr>
          <w:ilvl w:val="0"/>
          <w:numId w:val="79"/>
        </w:numPr>
        <w:spacing w:after="0"/>
        <w:ind w:left="426"/>
        <w:jc w:val="both"/>
      </w:pPr>
      <w:r w:rsidRPr="006D71C7">
        <w:t xml:space="preserve">projekty systemowe realizowane w ramach PO KL - </w:t>
      </w:r>
      <w:r w:rsidR="00EA01AD" w:rsidRPr="006D71C7">
        <w:t>w</w:t>
      </w:r>
      <w:r w:rsidRPr="006D71C7">
        <w:t xml:space="preserve"> latach 2009-2011</w:t>
      </w:r>
      <w:r w:rsidR="00EA01AD" w:rsidRPr="006D71C7">
        <w:t xml:space="preserve"> w  ramach projektu systemowego z </w:t>
      </w:r>
      <w:r w:rsidR="00EA01AD" w:rsidRPr="006D71C7">
        <w:rPr>
          <w:i/>
        </w:rPr>
        <w:t>poddziałania</w:t>
      </w:r>
      <w:r w:rsidRPr="006D71C7">
        <w:rPr>
          <w:i/>
        </w:rPr>
        <w:t xml:space="preserve"> 8.1.4  Programu Operacyjnego Kapitał Ludzki</w:t>
      </w:r>
      <w:r w:rsidRPr="006D71C7">
        <w:t xml:space="preserve"> zrealizowano projekt pn. </w:t>
      </w:r>
      <w:r w:rsidRPr="006D71C7">
        <w:rPr>
          <w:rStyle w:val="Pogrubienie"/>
          <w:b w:val="0"/>
          <w:i/>
        </w:rPr>
        <w:t>Badania i analizy na potrzeby Regionalnego Centrum Analiz Strategicznych</w:t>
      </w:r>
      <w:r w:rsidRPr="006D71C7">
        <w:rPr>
          <w:b/>
          <w:bCs/>
          <w:i/>
        </w:rPr>
        <w:t xml:space="preserve">. </w:t>
      </w:r>
      <w:r w:rsidRPr="006D71C7">
        <w:rPr>
          <w:rStyle w:val="Pogrubienie"/>
          <w:b w:val="0"/>
        </w:rPr>
        <w:t xml:space="preserve">Celem projektu </w:t>
      </w:r>
      <w:r w:rsidR="00EA01AD" w:rsidRPr="006D71C7">
        <w:rPr>
          <w:rStyle w:val="Pogrubienie"/>
          <w:b w:val="0"/>
        </w:rPr>
        <w:t>było</w:t>
      </w:r>
      <w:r w:rsidRPr="006D71C7">
        <w:t xml:space="preserve"> dostarczenie wiedzy podmiotom kreującym rozwój społeczno - gospodarczy województwa śląskiego w następujących obszarach:</w:t>
      </w:r>
      <w:r w:rsidR="00EA01AD" w:rsidRPr="006D71C7">
        <w:t xml:space="preserve"> </w:t>
      </w:r>
      <w:r w:rsidRPr="006D71C7">
        <w:t>rynek pracy,</w:t>
      </w:r>
      <w:r w:rsidR="00EA01AD" w:rsidRPr="006D71C7">
        <w:t xml:space="preserve"> </w:t>
      </w:r>
      <w:r w:rsidRPr="006D71C7">
        <w:t>trendy demograficzne,</w:t>
      </w:r>
      <w:r w:rsidR="00EA01AD" w:rsidRPr="006D71C7">
        <w:t xml:space="preserve"> </w:t>
      </w:r>
      <w:r w:rsidRPr="006D71C7">
        <w:t>infrastruktura transportowa,</w:t>
      </w:r>
      <w:r w:rsidR="00EA01AD" w:rsidRPr="006D71C7">
        <w:t xml:space="preserve"> </w:t>
      </w:r>
      <w:r w:rsidRPr="006D71C7">
        <w:t>realizacja zdegradowanych terenów,</w:t>
      </w:r>
      <w:r w:rsidR="00EA01AD" w:rsidRPr="006D71C7">
        <w:t xml:space="preserve"> </w:t>
      </w:r>
      <w:r w:rsidRPr="006D71C7">
        <w:t>stan środowiska.</w:t>
      </w:r>
      <w:r w:rsidR="00EA01AD" w:rsidRPr="006D71C7">
        <w:t xml:space="preserve"> </w:t>
      </w:r>
      <w:r w:rsidRPr="006D71C7">
        <w:t xml:space="preserve">Uzyskane informacje z przeprowadzonych badań </w:t>
      </w:r>
      <w:r w:rsidR="00BF71C1">
        <w:t>są </w:t>
      </w:r>
      <w:r w:rsidRPr="006D71C7">
        <w:t xml:space="preserve">elementem </w:t>
      </w:r>
      <w:r w:rsidR="00360B92" w:rsidRPr="006D71C7">
        <w:t>u</w:t>
      </w:r>
      <w:r w:rsidRPr="006D71C7">
        <w:t xml:space="preserve">tworzonego w ramach Urzędu Marszałkowskiego Województwa Śląskiego </w:t>
      </w:r>
      <w:r w:rsidRPr="006D71C7">
        <w:rPr>
          <w:rStyle w:val="Pogrubienie"/>
          <w:b w:val="0"/>
          <w:i/>
        </w:rPr>
        <w:t>Regionalnego Centrum Analiz Strategicznych (RCAS),</w:t>
      </w:r>
      <w:r w:rsidRPr="006D71C7">
        <w:t xml:space="preserve"> które wspomaga samorząd województwa w obszarze procesów zarządzania rozwojem regionu. W ramach RCAS zakłada się ciągłe monitorowanie rozwoju regionu, dokonywanie okresowej ewaluacji wdrażania polityki prowadzonej przez samorząd i generowanie potrzeb badawczych. Informacje uzyskane w ramach niniejszego projektu będą stanowiły wkład do tworzonej w ramach RCAS bazy, tworząc kompleksowy system danych regionalnych</w:t>
      </w:r>
      <w:r w:rsidR="00B50BDA">
        <w:t>,</w:t>
      </w:r>
    </w:p>
    <w:p w:rsidR="00B50BDA" w:rsidRPr="006D71C7" w:rsidRDefault="00B50BDA" w:rsidP="00BA2FE7">
      <w:pPr>
        <w:pStyle w:val="Akapitzlist"/>
        <w:numPr>
          <w:ilvl w:val="0"/>
          <w:numId w:val="79"/>
        </w:numPr>
        <w:spacing w:after="0"/>
        <w:ind w:left="426"/>
        <w:jc w:val="both"/>
      </w:pPr>
      <w:r>
        <w:t>w</w:t>
      </w:r>
      <w:r w:rsidRPr="006D71C7">
        <w:t xml:space="preserve"> skład KM RPO WSL </w:t>
      </w:r>
      <w:r w:rsidR="00B87FFA">
        <w:rPr>
          <w:szCs w:val="24"/>
        </w:rPr>
        <w:t>wchodzą</w:t>
      </w:r>
      <w:r w:rsidRPr="006D71C7">
        <w:rPr>
          <w:szCs w:val="24"/>
        </w:rPr>
        <w:t xml:space="preserve"> przedstawiciele </w:t>
      </w:r>
      <w:r w:rsidRPr="006D71C7">
        <w:t>Instytucji Pośredniczącej</w:t>
      </w:r>
      <w:r>
        <w:t xml:space="preserve"> komponentu regionalnego PO KL </w:t>
      </w:r>
      <w:r w:rsidRPr="006D71C7">
        <w:t>oraz Instytucji Wdrażającej niektóre działania PROW</w:t>
      </w:r>
      <w:r w:rsidRPr="006D71C7">
        <w:rPr>
          <w:szCs w:val="24"/>
        </w:rPr>
        <w:t>,</w:t>
      </w:r>
    </w:p>
    <w:p w:rsidR="00B717BD" w:rsidRPr="006D71C7" w:rsidRDefault="00B50BDA" w:rsidP="00BA2FE7">
      <w:pPr>
        <w:pStyle w:val="Akapitzlist"/>
        <w:numPr>
          <w:ilvl w:val="0"/>
          <w:numId w:val="79"/>
        </w:numPr>
        <w:spacing w:after="0"/>
        <w:ind w:left="426"/>
        <w:jc w:val="both"/>
      </w:pPr>
      <w:r w:rsidRPr="00B50BDA">
        <w:t xml:space="preserve">Grupa robocza ds. partnerstwa społeczno </w:t>
      </w:r>
      <w:r>
        <w:t>–</w:t>
      </w:r>
      <w:r w:rsidRPr="00B50BDA">
        <w:t xml:space="preserve"> gospodarczego</w:t>
      </w:r>
      <w:r>
        <w:t>, która została utworzona przy KM RPO WSL, na której poruszane są tematy dot. zarówno zakresu związanego z wdrażaniem PO KL jak i PROW</w:t>
      </w:r>
      <w:r w:rsidR="00B87FFA">
        <w:t xml:space="preserve"> (Leader+)</w:t>
      </w:r>
      <w:r>
        <w:t>.</w:t>
      </w:r>
    </w:p>
    <w:p w:rsidR="00C71AA2" w:rsidRPr="006D71C7" w:rsidRDefault="00C71AA2" w:rsidP="00BA2FE7">
      <w:pPr>
        <w:pStyle w:val="Nagwek1"/>
        <w:numPr>
          <w:ilvl w:val="2"/>
          <w:numId w:val="39"/>
        </w:numPr>
        <w:tabs>
          <w:tab w:val="left" w:pos="1560"/>
        </w:tabs>
        <w:spacing w:after="120"/>
        <w:ind w:left="1134" w:hanging="283"/>
        <w:jc w:val="both"/>
      </w:pPr>
      <w:bookmarkStart w:id="228" w:name="_Toc292793556"/>
      <w:bookmarkStart w:id="229" w:name="_Toc324853880"/>
      <w:bookmarkStart w:id="230" w:name="_Toc327259230"/>
      <w:r w:rsidRPr="006D71C7">
        <w:t>Cross-financing</w:t>
      </w:r>
      <w:bookmarkEnd w:id="228"/>
      <w:bookmarkEnd w:id="229"/>
      <w:bookmarkEnd w:id="230"/>
    </w:p>
    <w:p w:rsidR="00DD4DDA" w:rsidRPr="006D71C7" w:rsidRDefault="00DD4DDA" w:rsidP="006D71C7">
      <w:pPr>
        <w:jc w:val="both"/>
        <w:rPr>
          <w:szCs w:val="24"/>
          <w:lang w:eastAsia="ar-SA"/>
        </w:rPr>
      </w:pPr>
      <w:r w:rsidRPr="006D71C7">
        <w:rPr>
          <w:szCs w:val="24"/>
          <w:lang w:eastAsia="ar-SA"/>
        </w:rPr>
        <w:t xml:space="preserve">W ramach </w:t>
      </w:r>
      <w:r w:rsidRPr="006D71C7">
        <w:rPr>
          <w:i/>
          <w:szCs w:val="24"/>
          <w:lang w:eastAsia="ar-SA"/>
        </w:rPr>
        <w:t>Programu</w:t>
      </w:r>
      <w:r w:rsidRPr="006D71C7">
        <w:rPr>
          <w:szCs w:val="24"/>
          <w:lang w:eastAsia="ar-SA"/>
        </w:rPr>
        <w:t xml:space="preserve"> beneficjenci z zasady cross – financing mogą korzystać w ramach dwóch </w:t>
      </w:r>
      <w:r w:rsidR="00460F49" w:rsidRPr="006D71C7">
        <w:rPr>
          <w:szCs w:val="24"/>
          <w:lang w:eastAsia="ar-SA"/>
        </w:rPr>
        <w:t>p</w:t>
      </w:r>
      <w:r w:rsidRPr="006D71C7">
        <w:rPr>
          <w:szCs w:val="24"/>
          <w:lang w:eastAsia="ar-SA"/>
        </w:rPr>
        <w:t>riorytetów:</w:t>
      </w:r>
    </w:p>
    <w:p w:rsidR="00DD4DDA" w:rsidRPr="006D71C7" w:rsidRDefault="00C74054" w:rsidP="00BA2FE7">
      <w:pPr>
        <w:pStyle w:val="Akapitzlist"/>
        <w:numPr>
          <w:ilvl w:val="0"/>
          <w:numId w:val="7"/>
        </w:numPr>
        <w:jc w:val="both"/>
        <w:rPr>
          <w:szCs w:val="24"/>
          <w:lang w:eastAsia="ar-SA"/>
        </w:rPr>
      </w:pPr>
      <w:r>
        <w:rPr>
          <w:szCs w:val="24"/>
          <w:lang w:eastAsia="ar-SA"/>
        </w:rPr>
        <w:t>s</w:t>
      </w:r>
      <w:r w:rsidR="00DD4DDA" w:rsidRPr="006D71C7">
        <w:rPr>
          <w:szCs w:val="24"/>
          <w:lang w:eastAsia="ar-SA"/>
        </w:rPr>
        <w:t>połeczeństwo informacyjne,</w:t>
      </w:r>
    </w:p>
    <w:p w:rsidR="00DD4DDA" w:rsidRPr="006D71C7" w:rsidRDefault="00C74054" w:rsidP="00BA2FE7">
      <w:pPr>
        <w:pStyle w:val="Akapitzlist"/>
        <w:numPr>
          <w:ilvl w:val="0"/>
          <w:numId w:val="7"/>
        </w:numPr>
        <w:jc w:val="both"/>
        <w:rPr>
          <w:szCs w:val="24"/>
          <w:lang w:eastAsia="ar-SA"/>
        </w:rPr>
      </w:pPr>
      <w:r>
        <w:rPr>
          <w:szCs w:val="24"/>
          <w:lang w:eastAsia="ar-SA"/>
        </w:rPr>
        <w:t>ś</w:t>
      </w:r>
      <w:r w:rsidR="00DD4DDA" w:rsidRPr="006D71C7">
        <w:rPr>
          <w:szCs w:val="24"/>
          <w:lang w:eastAsia="ar-SA"/>
        </w:rPr>
        <w:t>rodowisko.</w:t>
      </w:r>
    </w:p>
    <w:p w:rsidR="002A72D6" w:rsidRPr="006D71C7" w:rsidRDefault="00DD4DDA" w:rsidP="006D71C7">
      <w:pPr>
        <w:widowControl w:val="0"/>
        <w:autoSpaceDE w:val="0"/>
        <w:autoSpaceDN w:val="0"/>
        <w:adjustRightInd w:val="0"/>
        <w:spacing w:after="240"/>
        <w:ind w:right="-23"/>
        <w:jc w:val="both"/>
        <w:rPr>
          <w:bCs/>
          <w:szCs w:val="24"/>
        </w:rPr>
      </w:pPr>
      <w:r w:rsidRPr="006D71C7">
        <w:rPr>
          <w:bCs/>
          <w:szCs w:val="24"/>
        </w:rPr>
        <w:t>W ramach</w:t>
      </w:r>
      <w:r w:rsidR="00C74054">
        <w:rPr>
          <w:bCs/>
          <w:i/>
          <w:szCs w:val="24"/>
        </w:rPr>
        <w:t xml:space="preserve"> p</w:t>
      </w:r>
      <w:r w:rsidRPr="006D71C7">
        <w:rPr>
          <w:bCs/>
          <w:i/>
          <w:szCs w:val="24"/>
        </w:rPr>
        <w:t xml:space="preserve">riorytetu II </w:t>
      </w:r>
      <w:r w:rsidRPr="006D71C7">
        <w:rPr>
          <w:bCs/>
          <w:szCs w:val="24"/>
        </w:rPr>
        <w:t>występuje możliwość cross</w:t>
      </w:r>
      <w:r w:rsidR="002F2535" w:rsidRPr="006D71C7">
        <w:rPr>
          <w:bCs/>
          <w:szCs w:val="24"/>
        </w:rPr>
        <w:t xml:space="preserve"> </w:t>
      </w:r>
      <w:r w:rsidRPr="006D71C7">
        <w:rPr>
          <w:bCs/>
          <w:szCs w:val="24"/>
        </w:rPr>
        <w:t>-</w:t>
      </w:r>
      <w:r w:rsidR="002F2535" w:rsidRPr="006D71C7">
        <w:rPr>
          <w:bCs/>
          <w:szCs w:val="24"/>
        </w:rPr>
        <w:t xml:space="preserve"> </w:t>
      </w:r>
      <w:r w:rsidRPr="006D71C7">
        <w:rPr>
          <w:bCs/>
          <w:szCs w:val="24"/>
        </w:rPr>
        <w:t>financingu tylko dla działania 2.2</w:t>
      </w:r>
      <w:r w:rsidRPr="006D71C7">
        <w:rPr>
          <w:i/>
          <w:szCs w:val="24"/>
        </w:rPr>
        <w:t xml:space="preserve"> Rozwój elektronicznych usług publicznych</w:t>
      </w:r>
      <w:r w:rsidRPr="006D71C7">
        <w:rPr>
          <w:szCs w:val="24"/>
        </w:rPr>
        <w:t>, w kategorii interwencji 11</w:t>
      </w:r>
      <w:r w:rsidR="006C7181" w:rsidRPr="006D71C7">
        <w:rPr>
          <w:szCs w:val="24"/>
        </w:rPr>
        <w:t xml:space="preserve"> </w:t>
      </w:r>
      <w:r w:rsidRPr="006D71C7">
        <w:rPr>
          <w:szCs w:val="24"/>
        </w:rPr>
        <w:t xml:space="preserve">- technologie informacyjne </w:t>
      </w:r>
      <w:r w:rsidR="002E7A75" w:rsidRPr="006D71C7">
        <w:rPr>
          <w:szCs w:val="24"/>
        </w:rPr>
        <w:t>i </w:t>
      </w:r>
      <w:r w:rsidRPr="006D71C7">
        <w:rPr>
          <w:szCs w:val="24"/>
        </w:rPr>
        <w:t>komunikacyjne (dostęp, bezpieczeństwo, interoperacyjność, zapobieganie zagrożeniem, badania, innowacje, treści cyfrowe itp.) oraz</w:t>
      </w:r>
      <w:r w:rsidRPr="006D71C7">
        <w:rPr>
          <w:bCs/>
          <w:szCs w:val="24"/>
        </w:rPr>
        <w:t xml:space="preserve"> w kategorii interwencji 13 - usługi i aplikacje dla obywateli (e-zdrowie, e-administracja itp.)</w:t>
      </w:r>
      <w:r w:rsidR="002A72D6" w:rsidRPr="006D71C7">
        <w:rPr>
          <w:bCs/>
          <w:szCs w:val="24"/>
        </w:rPr>
        <w:t xml:space="preserve">. </w:t>
      </w:r>
      <w:r w:rsidR="00E11307" w:rsidRPr="006D71C7">
        <w:rPr>
          <w:bCs/>
          <w:szCs w:val="24"/>
        </w:rPr>
        <w:t xml:space="preserve">W ramach działania 2.2 </w:t>
      </w:r>
      <w:r w:rsidR="002A72D6" w:rsidRPr="006D71C7">
        <w:rPr>
          <w:bCs/>
          <w:szCs w:val="24"/>
        </w:rPr>
        <w:t>cross</w:t>
      </w:r>
      <w:r w:rsidR="00E11307" w:rsidRPr="006D71C7">
        <w:rPr>
          <w:bCs/>
          <w:szCs w:val="24"/>
        </w:rPr>
        <w:t xml:space="preserve"> </w:t>
      </w:r>
      <w:r w:rsidR="002A72D6" w:rsidRPr="006D71C7">
        <w:rPr>
          <w:bCs/>
          <w:szCs w:val="24"/>
        </w:rPr>
        <w:t>-</w:t>
      </w:r>
      <w:r w:rsidR="00E11307" w:rsidRPr="006D71C7">
        <w:rPr>
          <w:bCs/>
          <w:szCs w:val="24"/>
        </w:rPr>
        <w:t xml:space="preserve"> </w:t>
      </w:r>
      <w:r w:rsidR="002A72D6" w:rsidRPr="006D71C7">
        <w:rPr>
          <w:bCs/>
          <w:szCs w:val="24"/>
        </w:rPr>
        <w:t>financing</w:t>
      </w:r>
      <w:r w:rsidR="00E11307" w:rsidRPr="006D71C7">
        <w:rPr>
          <w:bCs/>
          <w:szCs w:val="24"/>
        </w:rPr>
        <w:t xml:space="preserve">owi podlegają </w:t>
      </w:r>
      <w:r w:rsidR="002A72D6" w:rsidRPr="006D71C7">
        <w:rPr>
          <w:bCs/>
          <w:szCs w:val="24"/>
        </w:rPr>
        <w:t xml:space="preserve"> </w:t>
      </w:r>
      <w:r w:rsidR="00E11307" w:rsidRPr="006D71C7">
        <w:rPr>
          <w:bCs/>
          <w:szCs w:val="24"/>
        </w:rPr>
        <w:t>kategorie kosztów w</w:t>
      </w:r>
      <w:r w:rsidR="002A72D6" w:rsidRPr="006D71C7">
        <w:rPr>
          <w:bCs/>
          <w:szCs w:val="24"/>
        </w:rPr>
        <w:t xml:space="preserve"> zakresie szkoleń dla użytkowników systemów front i back – office. </w:t>
      </w:r>
      <w:r w:rsidR="00401D06" w:rsidRPr="006D71C7">
        <w:rPr>
          <w:bCs/>
          <w:szCs w:val="24"/>
        </w:rPr>
        <w:t>W przypadku projektów realizowanych w ramach działania 2.2 głównym zamierzeniem jest rozwój elektronicznych usług publicznych, jednak komplementarnie podejmowane</w:t>
      </w:r>
      <w:r w:rsidR="00517A33" w:rsidRPr="006D71C7">
        <w:rPr>
          <w:bCs/>
          <w:szCs w:val="24"/>
        </w:rPr>
        <w:t xml:space="preserve"> są</w:t>
      </w:r>
      <w:r w:rsidR="00401D06" w:rsidRPr="006D71C7">
        <w:rPr>
          <w:bCs/>
          <w:szCs w:val="24"/>
        </w:rPr>
        <w:t xml:space="preserve"> działania współfinansowane na zasadzie cross – financingu, które poprawią efektywność i jakość rozwijanych usług.</w:t>
      </w:r>
    </w:p>
    <w:p w:rsidR="006C7181" w:rsidRPr="006D71C7" w:rsidRDefault="00745783" w:rsidP="006D71C7">
      <w:pPr>
        <w:widowControl w:val="0"/>
        <w:autoSpaceDE w:val="0"/>
        <w:autoSpaceDN w:val="0"/>
        <w:adjustRightInd w:val="0"/>
        <w:spacing w:after="240"/>
        <w:ind w:right="-23"/>
        <w:jc w:val="both"/>
        <w:rPr>
          <w:bCs/>
          <w:szCs w:val="24"/>
        </w:rPr>
      </w:pPr>
      <w:r w:rsidRPr="006D71C7">
        <w:rPr>
          <w:bCs/>
          <w:szCs w:val="24"/>
        </w:rPr>
        <w:t>Do</w:t>
      </w:r>
      <w:r w:rsidR="0070685C" w:rsidRPr="006D71C7">
        <w:rPr>
          <w:bCs/>
          <w:szCs w:val="24"/>
        </w:rPr>
        <w:t> </w:t>
      </w:r>
      <w:r w:rsidRPr="006D71C7">
        <w:rPr>
          <w:bCs/>
          <w:szCs w:val="24"/>
        </w:rPr>
        <w:t>końca okresu sprawozdawczego w</w:t>
      </w:r>
      <w:r w:rsidR="00DD4DDA" w:rsidRPr="006D71C7">
        <w:rPr>
          <w:bCs/>
          <w:szCs w:val="24"/>
        </w:rPr>
        <w:t xml:space="preserve"> ramach </w:t>
      </w:r>
      <w:r w:rsidR="00DD4DDA" w:rsidRPr="006D71C7">
        <w:rPr>
          <w:bCs/>
          <w:i/>
          <w:szCs w:val="24"/>
        </w:rPr>
        <w:t>działania 2.2</w:t>
      </w:r>
      <w:r w:rsidR="006C7181" w:rsidRPr="006D71C7">
        <w:rPr>
          <w:bCs/>
          <w:i/>
          <w:szCs w:val="24"/>
        </w:rPr>
        <w:t>,</w:t>
      </w:r>
      <w:r w:rsidR="00DD4DDA" w:rsidRPr="006D71C7">
        <w:rPr>
          <w:bCs/>
          <w:szCs w:val="24"/>
        </w:rPr>
        <w:t xml:space="preserve"> </w:t>
      </w:r>
      <w:r w:rsidR="0070685C" w:rsidRPr="006D71C7">
        <w:rPr>
          <w:bCs/>
          <w:szCs w:val="24"/>
        </w:rPr>
        <w:t xml:space="preserve">podpisano umowy z </w:t>
      </w:r>
      <w:r w:rsidR="00FB0608" w:rsidRPr="006D71C7">
        <w:rPr>
          <w:bCs/>
          <w:szCs w:val="24"/>
        </w:rPr>
        <w:t>58</w:t>
      </w:r>
      <w:r w:rsidR="00E11307" w:rsidRPr="006D71C7">
        <w:rPr>
          <w:bCs/>
          <w:szCs w:val="24"/>
        </w:rPr>
        <w:t>,</w:t>
      </w:r>
      <w:r w:rsidR="00DD4DDA" w:rsidRPr="006D71C7">
        <w:rPr>
          <w:bCs/>
          <w:szCs w:val="24"/>
        </w:rPr>
        <w:t xml:space="preserve"> </w:t>
      </w:r>
      <w:r w:rsidR="0070685C" w:rsidRPr="006D71C7">
        <w:rPr>
          <w:bCs/>
          <w:szCs w:val="24"/>
        </w:rPr>
        <w:t>beneficjentami</w:t>
      </w:r>
      <w:r w:rsidR="00E11307" w:rsidRPr="006D71C7">
        <w:rPr>
          <w:bCs/>
          <w:szCs w:val="24"/>
        </w:rPr>
        <w:t xml:space="preserve">, którzy deklarowali </w:t>
      </w:r>
      <w:r w:rsidR="00DC35EB" w:rsidRPr="006D71C7">
        <w:rPr>
          <w:bCs/>
          <w:szCs w:val="24"/>
        </w:rPr>
        <w:t>występowanie</w:t>
      </w:r>
      <w:r w:rsidR="00E11307" w:rsidRPr="006D71C7">
        <w:rPr>
          <w:bCs/>
          <w:szCs w:val="24"/>
        </w:rPr>
        <w:t xml:space="preserve"> w projekcie cross-financingu </w:t>
      </w:r>
      <w:r w:rsidR="0070685C" w:rsidRPr="006D71C7">
        <w:rPr>
          <w:bCs/>
          <w:szCs w:val="24"/>
        </w:rPr>
        <w:t>(</w:t>
      </w:r>
      <w:r w:rsidR="00DD4DDA" w:rsidRPr="006D71C7">
        <w:rPr>
          <w:bCs/>
          <w:szCs w:val="24"/>
        </w:rPr>
        <w:t xml:space="preserve">ok. </w:t>
      </w:r>
      <w:r w:rsidR="00FB0608" w:rsidRPr="006D71C7">
        <w:rPr>
          <w:bCs/>
          <w:szCs w:val="24"/>
        </w:rPr>
        <w:t>86</w:t>
      </w:r>
      <w:r w:rsidR="00DD4DDA" w:rsidRPr="006D71C7">
        <w:rPr>
          <w:bCs/>
          <w:szCs w:val="24"/>
        </w:rPr>
        <w:t>%</w:t>
      </w:r>
      <w:r w:rsidR="00E11307" w:rsidRPr="006D71C7">
        <w:rPr>
          <w:bCs/>
          <w:szCs w:val="24"/>
        </w:rPr>
        <w:t xml:space="preserve"> beneficjentów</w:t>
      </w:r>
      <w:r w:rsidR="00DD4DDA" w:rsidRPr="006D71C7">
        <w:rPr>
          <w:bCs/>
          <w:szCs w:val="24"/>
        </w:rPr>
        <w:t xml:space="preserve"> </w:t>
      </w:r>
      <w:r w:rsidR="00E11307" w:rsidRPr="006D71C7">
        <w:rPr>
          <w:bCs/>
          <w:szCs w:val="24"/>
        </w:rPr>
        <w:t xml:space="preserve">z wszystkich złożonych wniosków </w:t>
      </w:r>
      <w:r w:rsidR="00DD4DDA" w:rsidRPr="006D71C7">
        <w:rPr>
          <w:bCs/>
          <w:szCs w:val="24"/>
        </w:rPr>
        <w:t>deklarowało występowanie cross-financingu w projekcie</w:t>
      </w:r>
      <w:r w:rsidR="00E11307" w:rsidRPr="006D71C7">
        <w:rPr>
          <w:bCs/>
          <w:szCs w:val="24"/>
        </w:rPr>
        <w:t xml:space="preserve">). </w:t>
      </w:r>
      <w:r w:rsidR="00DD4DDA" w:rsidRPr="006D71C7">
        <w:rPr>
          <w:bCs/>
          <w:szCs w:val="24"/>
        </w:rPr>
        <w:t xml:space="preserve"> Łączna kwota, która została przeznaczona na cross</w:t>
      </w:r>
      <w:r w:rsidRPr="006D71C7">
        <w:rPr>
          <w:bCs/>
          <w:szCs w:val="24"/>
        </w:rPr>
        <w:t xml:space="preserve"> </w:t>
      </w:r>
      <w:r w:rsidR="00DD4DDA" w:rsidRPr="006D71C7">
        <w:rPr>
          <w:bCs/>
          <w:szCs w:val="24"/>
        </w:rPr>
        <w:t xml:space="preserve">- financing </w:t>
      </w:r>
      <w:r w:rsidR="006C7181" w:rsidRPr="006D71C7">
        <w:rPr>
          <w:bCs/>
          <w:szCs w:val="24"/>
        </w:rPr>
        <w:t>w</w:t>
      </w:r>
      <w:r w:rsidR="00DD4DDA" w:rsidRPr="006D71C7">
        <w:rPr>
          <w:bCs/>
          <w:szCs w:val="24"/>
        </w:rPr>
        <w:t xml:space="preserve"> </w:t>
      </w:r>
      <w:r w:rsidR="006C7181" w:rsidRPr="006D71C7">
        <w:rPr>
          <w:bCs/>
          <w:i/>
          <w:szCs w:val="24"/>
        </w:rPr>
        <w:t>działaniu</w:t>
      </w:r>
      <w:r w:rsidR="00DD4DDA" w:rsidRPr="006D71C7">
        <w:rPr>
          <w:bCs/>
          <w:i/>
          <w:szCs w:val="24"/>
        </w:rPr>
        <w:t xml:space="preserve"> 2.2</w:t>
      </w:r>
      <w:r w:rsidR="00DD4DDA" w:rsidRPr="006D71C7">
        <w:rPr>
          <w:bCs/>
          <w:szCs w:val="24"/>
        </w:rPr>
        <w:t xml:space="preserve"> </w:t>
      </w:r>
      <w:r w:rsidR="006C7181" w:rsidRPr="006D71C7">
        <w:rPr>
          <w:bCs/>
          <w:szCs w:val="24"/>
        </w:rPr>
        <w:t>to</w:t>
      </w:r>
      <w:r w:rsidR="00DD4DDA" w:rsidRPr="006D71C7">
        <w:rPr>
          <w:bCs/>
          <w:szCs w:val="24"/>
        </w:rPr>
        <w:t xml:space="preserve"> </w:t>
      </w:r>
      <w:r w:rsidR="00FB0608" w:rsidRPr="006D71C7">
        <w:rPr>
          <w:bCs/>
          <w:szCs w:val="24"/>
        </w:rPr>
        <w:t>37,85</w:t>
      </w:r>
      <w:r w:rsidRPr="006D71C7">
        <w:rPr>
          <w:bCs/>
          <w:szCs w:val="24"/>
        </w:rPr>
        <w:t xml:space="preserve"> mln EUR. </w:t>
      </w:r>
    </w:p>
    <w:p w:rsidR="00C72189" w:rsidRPr="006D71C7" w:rsidRDefault="00DD4DDA" w:rsidP="006D71C7">
      <w:pPr>
        <w:widowControl w:val="0"/>
        <w:autoSpaceDE w:val="0"/>
        <w:autoSpaceDN w:val="0"/>
        <w:adjustRightInd w:val="0"/>
        <w:spacing w:after="240"/>
        <w:ind w:right="-23"/>
        <w:jc w:val="both"/>
        <w:rPr>
          <w:bCs/>
          <w:szCs w:val="24"/>
        </w:rPr>
      </w:pPr>
      <w:r w:rsidRPr="006D71C7">
        <w:rPr>
          <w:bCs/>
          <w:szCs w:val="24"/>
        </w:rPr>
        <w:t xml:space="preserve">W celu monitorowania stosowania zasady cross-financingu każdy Beneficjent </w:t>
      </w:r>
      <w:r w:rsidR="00745783" w:rsidRPr="006D71C7">
        <w:rPr>
          <w:bCs/>
          <w:szCs w:val="24"/>
        </w:rPr>
        <w:t>realizujący projekt z </w:t>
      </w:r>
      <w:r w:rsidRPr="006D71C7">
        <w:rPr>
          <w:bCs/>
          <w:szCs w:val="24"/>
        </w:rPr>
        <w:t xml:space="preserve">cross-finacingiem, ma obowiązek monitorowania wskaźnika związanego z liczbą przeszkolonych osób w zakresie obsługi wdrożonego systemu. </w:t>
      </w:r>
      <w:r w:rsidR="006C7181" w:rsidRPr="006D71C7">
        <w:rPr>
          <w:bCs/>
          <w:szCs w:val="24"/>
        </w:rPr>
        <w:t>Ponadto k</w:t>
      </w:r>
      <w:r w:rsidRPr="006D71C7">
        <w:rPr>
          <w:bCs/>
          <w:szCs w:val="24"/>
        </w:rPr>
        <w:t xml:space="preserve">ażdy Beneficjent we wniosku o dofinansowanie, a później we wnioskach o płatność przedstawia kwoty jakie mają zostać przeznaczone na realizacje przedmiotowej zasady oraz termin jej realizacji. </w:t>
      </w:r>
    </w:p>
    <w:p w:rsidR="00ED531D" w:rsidRPr="006D71C7" w:rsidRDefault="00C72189" w:rsidP="006D71C7">
      <w:pPr>
        <w:widowControl w:val="0"/>
        <w:autoSpaceDE w:val="0"/>
        <w:autoSpaceDN w:val="0"/>
        <w:adjustRightInd w:val="0"/>
        <w:spacing w:after="240"/>
        <w:ind w:right="-23"/>
        <w:jc w:val="both"/>
        <w:rPr>
          <w:bCs/>
          <w:szCs w:val="24"/>
        </w:rPr>
      </w:pPr>
      <w:r w:rsidRPr="006D71C7">
        <w:rPr>
          <w:bCs/>
          <w:szCs w:val="24"/>
        </w:rPr>
        <w:t xml:space="preserve">W ramach </w:t>
      </w:r>
      <w:r w:rsidRPr="006D71C7">
        <w:rPr>
          <w:bCs/>
          <w:i/>
          <w:szCs w:val="24"/>
        </w:rPr>
        <w:t>Priorytetu V</w:t>
      </w:r>
      <w:r w:rsidRPr="006D71C7">
        <w:rPr>
          <w:bCs/>
          <w:szCs w:val="24"/>
        </w:rPr>
        <w:t xml:space="preserve"> występuje możliwość cross-financingu dla działania</w:t>
      </w:r>
      <w:r w:rsidRPr="006D71C7">
        <w:rPr>
          <w:bCs/>
          <w:i/>
          <w:szCs w:val="24"/>
        </w:rPr>
        <w:t xml:space="preserve"> 5.2 Gospodarka odpadami </w:t>
      </w:r>
      <w:r w:rsidRPr="006D71C7">
        <w:rPr>
          <w:bCs/>
          <w:szCs w:val="24"/>
        </w:rPr>
        <w:t>oraz dla</w:t>
      </w:r>
      <w:r w:rsidRPr="006D71C7">
        <w:rPr>
          <w:bCs/>
          <w:i/>
          <w:szCs w:val="24"/>
        </w:rPr>
        <w:t xml:space="preserve"> </w:t>
      </w:r>
      <w:r w:rsidRPr="006D71C7">
        <w:rPr>
          <w:bCs/>
          <w:szCs w:val="24"/>
        </w:rPr>
        <w:t>działania</w:t>
      </w:r>
      <w:r w:rsidRPr="006D71C7">
        <w:rPr>
          <w:bCs/>
          <w:i/>
          <w:szCs w:val="24"/>
        </w:rPr>
        <w:t xml:space="preserve"> 5.5 Dziedzictwo przyrodnicze, </w:t>
      </w:r>
      <w:r w:rsidR="00710AD7" w:rsidRPr="006D71C7">
        <w:rPr>
          <w:bCs/>
          <w:szCs w:val="24"/>
        </w:rPr>
        <w:t>w kategorii interwencji 44 -</w:t>
      </w:r>
      <w:r w:rsidRPr="006D71C7">
        <w:rPr>
          <w:bCs/>
          <w:szCs w:val="24"/>
        </w:rPr>
        <w:t xml:space="preserve">gospodarka odpadami komunalnymi i przemysłowymi oraz 51 – promowanie bioróżnorodności i ochrony przyrody. </w:t>
      </w:r>
      <w:r w:rsidR="00DC35EB" w:rsidRPr="006D71C7">
        <w:rPr>
          <w:bCs/>
          <w:szCs w:val="24"/>
        </w:rPr>
        <w:t>W ramach ww. działań cross - financingowi podlegają  kategorie kosztów w zakresie akcji promocyjno - edukacyjnych. W ramach działania 5.2  typ projektu 1 wspierane będą przedsięwzięcia realizujące kompleksowe podejście do kwestii selektywnej zbiórki odpadów. Dofinansowane będą przedsięwzięcia zmierzające</w:t>
      </w:r>
      <w:r w:rsidR="00ED531D" w:rsidRPr="006D71C7">
        <w:rPr>
          <w:bCs/>
          <w:szCs w:val="24"/>
        </w:rPr>
        <w:t xml:space="preserve"> do powstania</w:t>
      </w:r>
      <w:r w:rsidR="00DC35EB" w:rsidRPr="006D71C7">
        <w:rPr>
          <w:bCs/>
          <w:szCs w:val="24"/>
        </w:rPr>
        <w:t xml:space="preserve"> systemu selektywnej zbiórki obejmującej zbiórkę odpadów, ich segregację</w:t>
      </w:r>
      <w:r w:rsidR="00ED531D" w:rsidRPr="006D71C7">
        <w:rPr>
          <w:bCs/>
          <w:szCs w:val="24"/>
        </w:rPr>
        <w:t xml:space="preserve"> i </w:t>
      </w:r>
      <w:r w:rsidR="00DC35EB" w:rsidRPr="006D71C7">
        <w:rPr>
          <w:bCs/>
          <w:szCs w:val="24"/>
        </w:rPr>
        <w:t>przekazywania do unieszkodliwiania lub odzysku, a także</w:t>
      </w:r>
      <w:r w:rsidR="00ED531D" w:rsidRPr="006D71C7">
        <w:rPr>
          <w:bCs/>
          <w:szCs w:val="24"/>
        </w:rPr>
        <w:t xml:space="preserve"> akcje promocyjno- edukacyjne w </w:t>
      </w:r>
      <w:r w:rsidR="00DC35EB" w:rsidRPr="006D71C7">
        <w:rPr>
          <w:bCs/>
          <w:szCs w:val="24"/>
        </w:rPr>
        <w:t>tym zakresie</w:t>
      </w:r>
      <w:r w:rsidR="00517A33" w:rsidRPr="006D71C7">
        <w:rPr>
          <w:bCs/>
          <w:szCs w:val="24"/>
        </w:rPr>
        <w:t>. W ramach działania 5.5 wspierane będą przedsięwzięcia realizujące kompleksowe podejście do kwestii związanej z ochroną dziedzictwa przyrodniczego</w:t>
      </w:r>
      <w:r w:rsidR="00ED531D" w:rsidRPr="006D71C7">
        <w:rPr>
          <w:bCs/>
          <w:szCs w:val="24"/>
        </w:rPr>
        <w:t xml:space="preserve"> i </w:t>
      </w:r>
      <w:r w:rsidR="00517A33" w:rsidRPr="006D71C7">
        <w:rPr>
          <w:bCs/>
          <w:szCs w:val="24"/>
        </w:rPr>
        <w:t>kształtowanie postaw ekologicznych wraz z kampaniami promocyjno – edukacyjnymi.</w:t>
      </w:r>
    </w:p>
    <w:p w:rsidR="00042FA2" w:rsidRPr="006D71C7" w:rsidRDefault="00C72189" w:rsidP="006D71C7">
      <w:pPr>
        <w:widowControl w:val="0"/>
        <w:autoSpaceDE w:val="0"/>
        <w:autoSpaceDN w:val="0"/>
        <w:adjustRightInd w:val="0"/>
        <w:spacing w:after="240"/>
        <w:ind w:right="-23"/>
        <w:jc w:val="both"/>
        <w:rPr>
          <w:bCs/>
          <w:szCs w:val="24"/>
        </w:rPr>
      </w:pPr>
      <w:r w:rsidRPr="006D71C7">
        <w:rPr>
          <w:bCs/>
          <w:szCs w:val="24"/>
        </w:rPr>
        <w:t xml:space="preserve">W ramach </w:t>
      </w:r>
      <w:r w:rsidR="00C74054">
        <w:rPr>
          <w:bCs/>
          <w:i/>
          <w:szCs w:val="24"/>
        </w:rPr>
        <w:t>p</w:t>
      </w:r>
      <w:r w:rsidRPr="006D71C7">
        <w:rPr>
          <w:bCs/>
          <w:i/>
          <w:szCs w:val="24"/>
        </w:rPr>
        <w:t>riorytetu V</w:t>
      </w:r>
      <w:r w:rsidR="0070685C" w:rsidRPr="006D71C7">
        <w:rPr>
          <w:bCs/>
          <w:i/>
          <w:szCs w:val="24"/>
        </w:rPr>
        <w:t xml:space="preserve"> </w:t>
      </w:r>
      <w:r w:rsidR="0070685C" w:rsidRPr="006D71C7">
        <w:rPr>
          <w:bCs/>
          <w:szCs w:val="24"/>
        </w:rPr>
        <w:t xml:space="preserve">podpisano umowy </w:t>
      </w:r>
      <w:r w:rsidR="00D526BD" w:rsidRPr="006D71C7">
        <w:rPr>
          <w:bCs/>
          <w:szCs w:val="24"/>
        </w:rPr>
        <w:t>o</w:t>
      </w:r>
      <w:r w:rsidR="0070685C" w:rsidRPr="006D71C7">
        <w:rPr>
          <w:bCs/>
          <w:szCs w:val="24"/>
        </w:rPr>
        <w:t>  dofinansowanie z</w:t>
      </w:r>
      <w:r w:rsidRPr="006D71C7">
        <w:rPr>
          <w:bCs/>
          <w:szCs w:val="24"/>
        </w:rPr>
        <w:t xml:space="preserve"> </w:t>
      </w:r>
      <w:r w:rsidR="00FB0608" w:rsidRPr="006D71C7">
        <w:rPr>
          <w:bCs/>
          <w:szCs w:val="24"/>
        </w:rPr>
        <w:t>8</w:t>
      </w:r>
      <w:r w:rsidR="0070685C" w:rsidRPr="006D71C7">
        <w:rPr>
          <w:bCs/>
          <w:szCs w:val="24"/>
        </w:rPr>
        <w:t xml:space="preserve"> beneficjentami, którzy</w:t>
      </w:r>
      <w:r w:rsidRPr="006D71C7">
        <w:rPr>
          <w:bCs/>
          <w:szCs w:val="24"/>
        </w:rPr>
        <w:t xml:space="preserve"> deklarowa</w:t>
      </w:r>
      <w:r w:rsidR="0070685C" w:rsidRPr="006D71C7">
        <w:rPr>
          <w:bCs/>
          <w:szCs w:val="24"/>
        </w:rPr>
        <w:t>li</w:t>
      </w:r>
      <w:r w:rsidRPr="006D71C7">
        <w:rPr>
          <w:bCs/>
          <w:szCs w:val="24"/>
        </w:rPr>
        <w:t xml:space="preserve"> występowanie cross-financingu w</w:t>
      </w:r>
      <w:r w:rsidR="0070685C" w:rsidRPr="006D71C7">
        <w:rPr>
          <w:bCs/>
          <w:szCs w:val="24"/>
        </w:rPr>
        <w:t> </w:t>
      </w:r>
      <w:r w:rsidRPr="006D71C7">
        <w:rPr>
          <w:bCs/>
          <w:szCs w:val="24"/>
        </w:rPr>
        <w:t>projekcie</w:t>
      </w:r>
      <w:r w:rsidR="00710AD7" w:rsidRPr="006D71C7">
        <w:rPr>
          <w:bCs/>
          <w:szCs w:val="24"/>
        </w:rPr>
        <w:t xml:space="preserve">, </w:t>
      </w:r>
      <w:r w:rsidR="00FB0608" w:rsidRPr="006D71C7">
        <w:rPr>
          <w:bCs/>
          <w:szCs w:val="24"/>
        </w:rPr>
        <w:t>na łączną</w:t>
      </w:r>
      <w:r w:rsidRPr="006D71C7">
        <w:rPr>
          <w:bCs/>
          <w:szCs w:val="24"/>
        </w:rPr>
        <w:t xml:space="preserve"> wielkość środków wykorzystanych w ramach cross-financingu wyniosła </w:t>
      </w:r>
      <w:r w:rsidR="00FB0608" w:rsidRPr="006D71C7">
        <w:rPr>
          <w:bCs/>
          <w:szCs w:val="24"/>
        </w:rPr>
        <w:t xml:space="preserve">5,83 </w:t>
      </w:r>
      <w:r w:rsidR="00710AD7" w:rsidRPr="006D71C7">
        <w:rPr>
          <w:bCs/>
          <w:szCs w:val="24"/>
        </w:rPr>
        <w:t>mln EUR.</w:t>
      </w:r>
      <w:r w:rsidR="00042FA2" w:rsidRPr="006D71C7">
        <w:rPr>
          <w:bCs/>
          <w:szCs w:val="24"/>
        </w:rPr>
        <w:t xml:space="preserve"> W celu monitorowania stosowania zasady cross-financingu każdy Beneficjent realizujący projekt z cross-finacingiem, ma obowiązek monitorowania wskaźników:</w:t>
      </w:r>
    </w:p>
    <w:p w:rsidR="00042FA2" w:rsidRPr="006D71C7" w:rsidRDefault="00042FA2" w:rsidP="00BA2FE7">
      <w:pPr>
        <w:pStyle w:val="Akapitzlist"/>
        <w:widowControl w:val="0"/>
        <w:numPr>
          <w:ilvl w:val="0"/>
          <w:numId w:val="8"/>
        </w:numPr>
        <w:autoSpaceDE w:val="0"/>
        <w:autoSpaceDN w:val="0"/>
        <w:adjustRightInd w:val="0"/>
        <w:spacing w:after="240"/>
        <w:ind w:right="-23"/>
        <w:jc w:val="both"/>
        <w:rPr>
          <w:bCs/>
          <w:szCs w:val="24"/>
        </w:rPr>
      </w:pPr>
      <w:r w:rsidRPr="006D71C7">
        <w:rPr>
          <w:bCs/>
          <w:szCs w:val="24"/>
        </w:rPr>
        <w:t>Liczba przeprowadzonych akcji promocyjnych,</w:t>
      </w:r>
    </w:p>
    <w:p w:rsidR="00042FA2" w:rsidRPr="006D71C7" w:rsidRDefault="00042FA2" w:rsidP="00BA2FE7">
      <w:pPr>
        <w:pStyle w:val="Akapitzlist"/>
        <w:widowControl w:val="0"/>
        <w:numPr>
          <w:ilvl w:val="0"/>
          <w:numId w:val="8"/>
        </w:numPr>
        <w:autoSpaceDE w:val="0"/>
        <w:autoSpaceDN w:val="0"/>
        <w:adjustRightInd w:val="0"/>
        <w:spacing w:after="240"/>
        <w:ind w:right="-23"/>
        <w:jc w:val="both"/>
        <w:rPr>
          <w:bCs/>
          <w:szCs w:val="24"/>
        </w:rPr>
      </w:pPr>
      <w:r w:rsidRPr="006D71C7">
        <w:rPr>
          <w:bCs/>
          <w:szCs w:val="24"/>
        </w:rPr>
        <w:t>Liczba przeprowadzonych szkoleń/ spotkań informacyjnych,</w:t>
      </w:r>
    </w:p>
    <w:p w:rsidR="00042FA2" w:rsidRPr="006D71C7" w:rsidRDefault="00042FA2" w:rsidP="00BA2FE7">
      <w:pPr>
        <w:pStyle w:val="Akapitzlist"/>
        <w:widowControl w:val="0"/>
        <w:numPr>
          <w:ilvl w:val="0"/>
          <w:numId w:val="8"/>
        </w:numPr>
        <w:autoSpaceDE w:val="0"/>
        <w:autoSpaceDN w:val="0"/>
        <w:adjustRightInd w:val="0"/>
        <w:spacing w:after="240"/>
        <w:ind w:right="-23"/>
        <w:jc w:val="both"/>
        <w:rPr>
          <w:bCs/>
          <w:szCs w:val="24"/>
        </w:rPr>
      </w:pPr>
      <w:r w:rsidRPr="006D71C7">
        <w:rPr>
          <w:bCs/>
          <w:szCs w:val="24"/>
        </w:rPr>
        <w:t>Liczba rozprowadzonych materiałów informacyjnych.</w:t>
      </w:r>
    </w:p>
    <w:p w:rsidR="00C71AA2" w:rsidRPr="006D71C7" w:rsidRDefault="006C7181" w:rsidP="006D71C7">
      <w:pPr>
        <w:widowControl w:val="0"/>
        <w:autoSpaceDE w:val="0"/>
        <w:autoSpaceDN w:val="0"/>
        <w:adjustRightInd w:val="0"/>
        <w:spacing w:after="240"/>
        <w:ind w:right="-23"/>
        <w:jc w:val="both"/>
        <w:rPr>
          <w:bCs/>
          <w:szCs w:val="24"/>
        </w:rPr>
      </w:pPr>
      <w:r w:rsidRPr="006D71C7">
        <w:rPr>
          <w:bCs/>
          <w:szCs w:val="24"/>
        </w:rPr>
        <w:t>Ponadto k</w:t>
      </w:r>
      <w:r w:rsidR="00042FA2" w:rsidRPr="006D71C7">
        <w:rPr>
          <w:bCs/>
          <w:szCs w:val="24"/>
        </w:rPr>
        <w:t xml:space="preserve">ażdy Beneficjent we wniosku o dofinansowanie, a później we wnioskach o płatność przedstawia kwoty jakie mają zostać przeznaczone na realizacje przedmiotowej zasady oraz termin jej realizacji. </w:t>
      </w:r>
    </w:p>
    <w:p w:rsidR="00C71AA2" w:rsidRPr="006D71C7" w:rsidRDefault="00C71AA2" w:rsidP="00BA2FE7">
      <w:pPr>
        <w:pStyle w:val="Nagwek1"/>
        <w:numPr>
          <w:ilvl w:val="2"/>
          <w:numId w:val="39"/>
        </w:numPr>
        <w:tabs>
          <w:tab w:val="left" w:pos="1560"/>
        </w:tabs>
        <w:spacing w:after="120"/>
        <w:ind w:left="1134" w:hanging="283"/>
        <w:jc w:val="both"/>
        <w:rPr>
          <w:szCs w:val="24"/>
          <w:lang w:eastAsia="ar-SA"/>
        </w:rPr>
      </w:pPr>
      <w:bookmarkStart w:id="231" w:name="_Toc292793557"/>
      <w:bookmarkStart w:id="232" w:name="_Toc324853881"/>
      <w:bookmarkStart w:id="233" w:name="_Toc327259231"/>
      <w:r w:rsidRPr="006D71C7">
        <w:rPr>
          <w:szCs w:val="24"/>
          <w:lang w:eastAsia="ar-SA"/>
        </w:rPr>
        <w:t>Koordynacja i komplementarność jako przedmiot badań ewaluacyjnych</w:t>
      </w:r>
      <w:bookmarkEnd w:id="231"/>
      <w:bookmarkEnd w:id="232"/>
      <w:bookmarkEnd w:id="233"/>
    </w:p>
    <w:p w:rsidR="0013707F" w:rsidRPr="006D71C7" w:rsidRDefault="0013707F" w:rsidP="006D71C7">
      <w:pPr>
        <w:jc w:val="both"/>
        <w:rPr>
          <w:i/>
        </w:rPr>
      </w:pPr>
      <w:r w:rsidRPr="006D71C7">
        <w:t xml:space="preserve">Zgodnie z rekomendacją horyzontalną dla instytucji zaangażowanych we wdrażanie i koordynację RPO w ramach NSRO w zakresie koordynacji i komplementarności podejmowanych działań zostało przeprowadzone badanie ewaluacyjne w celu zapewnienia efektywnego stosowania mechanizmów służących do zapewnienia komplementarności wsparcia. </w:t>
      </w:r>
      <w:r w:rsidRPr="006D71C7">
        <w:rPr>
          <w:szCs w:val="24"/>
        </w:rPr>
        <w:t xml:space="preserve">Realizacja badania ewaluacyjnego pt: </w:t>
      </w:r>
      <w:r w:rsidRPr="006D71C7">
        <w:rPr>
          <w:i/>
          <w:szCs w:val="24"/>
        </w:rPr>
        <w:t xml:space="preserve">Komplementarność działań realizowanych w ramach Regionalnego Programu Operacyjnego Województwa Śląskiego na lata 2007-2013 </w:t>
      </w:r>
      <w:r w:rsidRPr="006D71C7">
        <w:rPr>
          <w:szCs w:val="24"/>
        </w:rPr>
        <w:t xml:space="preserve">zakończyła się w 2010 roku. Szczegółowe informacje na temat tego badania zostały przedstawione w </w:t>
      </w:r>
      <w:r w:rsidRPr="006D71C7">
        <w:rPr>
          <w:i/>
          <w:szCs w:val="24"/>
        </w:rPr>
        <w:t>Sprawozdaniu rocznym z realizacji RPO WSL w roku 2010.</w:t>
      </w:r>
    </w:p>
    <w:p w:rsidR="00953101" w:rsidRPr="006D71C7" w:rsidRDefault="0013707F" w:rsidP="006D71C7">
      <w:pPr>
        <w:tabs>
          <w:tab w:val="left" w:pos="851"/>
        </w:tabs>
        <w:spacing w:after="120"/>
        <w:jc w:val="both"/>
        <w:rPr>
          <w:szCs w:val="24"/>
        </w:rPr>
      </w:pPr>
      <w:r w:rsidRPr="006D71C7">
        <w:t xml:space="preserve">W 2012 roku planowane jest przeprowadzenie badania ewaluacyjnego, którego jeden z obszarów badawczych dotyczyć będzie zagadnienia stosowania mechanizmu cross-financingu w ramach RPO WSL. W ramach badania zostanie oceniony efekt stosowania zasady finansowania krzyżowego w ramach </w:t>
      </w:r>
      <w:r w:rsidRPr="006D71C7">
        <w:rPr>
          <w:i/>
        </w:rPr>
        <w:t>Programu</w:t>
      </w:r>
      <w:r w:rsidRPr="006D71C7">
        <w:t xml:space="preserve"> oraz zostaną wskazane przykłady dobrych praktyk jego wykorzystania. Wypracowane w ramach badania rekomendacje zostaną zaprezentowane w następnym okresie sprawozdawczym.</w:t>
      </w:r>
    </w:p>
    <w:p w:rsidR="00C71AA2" w:rsidRPr="006D71C7" w:rsidRDefault="00C71AA2" w:rsidP="00BA2FE7">
      <w:pPr>
        <w:pStyle w:val="Nagwek1"/>
        <w:numPr>
          <w:ilvl w:val="2"/>
          <w:numId w:val="39"/>
        </w:numPr>
        <w:tabs>
          <w:tab w:val="left" w:pos="1560"/>
        </w:tabs>
        <w:spacing w:after="120"/>
        <w:ind w:left="1134" w:hanging="283"/>
        <w:jc w:val="both"/>
        <w:rPr>
          <w:szCs w:val="24"/>
          <w:lang w:eastAsia="ar-SA"/>
        </w:rPr>
      </w:pPr>
      <w:bookmarkStart w:id="234" w:name="_Toc292793558"/>
      <w:bookmarkStart w:id="235" w:name="_Toc324853882"/>
      <w:bookmarkStart w:id="236" w:name="_Toc327259232"/>
      <w:r w:rsidRPr="006D71C7">
        <w:rPr>
          <w:szCs w:val="24"/>
          <w:lang w:eastAsia="ar-SA"/>
        </w:rPr>
        <w:t>Przykłady projektów komplementarnych</w:t>
      </w:r>
      <w:bookmarkEnd w:id="234"/>
      <w:bookmarkEnd w:id="235"/>
      <w:bookmarkEnd w:id="236"/>
      <w:r w:rsidRPr="006D71C7">
        <w:rPr>
          <w:szCs w:val="24"/>
          <w:lang w:eastAsia="ar-SA"/>
        </w:rPr>
        <w:t xml:space="preserve"> </w:t>
      </w:r>
    </w:p>
    <w:p w:rsidR="0013707F" w:rsidRPr="006D71C7" w:rsidRDefault="0013707F" w:rsidP="006D71C7">
      <w:pPr>
        <w:autoSpaceDE w:val="0"/>
        <w:autoSpaceDN w:val="0"/>
        <w:adjustRightInd w:val="0"/>
        <w:spacing w:after="0"/>
        <w:jc w:val="both"/>
        <w:rPr>
          <w:rFonts w:eastAsia="Calibri"/>
          <w:szCs w:val="24"/>
        </w:rPr>
      </w:pPr>
      <w:r w:rsidRPr="006D71C7">
        <w:rPr>
          <w:rFonts w:eastAsia="Calibri"/>
          <w:szCs w:val="24"/>
        </w:rPr>
        <w:t>W ramach zaprezentowanych w sprawozdaniu komplementarnych inwestycji realizowanych w województwie śląskim przedstawione zostały przykłady projektów z następujących obszarów wsparcia:</w:t>
      </w:r>
    </w:p>
    <w:p w:rsidR="0013707F" w:rsidRPr="006D71C7" w:rsidRDefault="0013707F" w:rsidP="00BA2FE7">
      <w:pPr>
        <w:pStyle w:val="Akapitzlist"/>
        <w:numPr>
          <w:ilvl w:val="0"/>
          <w:numId w:val="81"/>
        </w:numPr>
        <w:autoSpaceDE w:val="0"/>
        <w:autoSpaceDN w:val="0"/>
        <w:adjustRightInd w:val="0"/>
        <w:spacing w:after="0"/>
        <w:jc w:val="both"/>
        <w:rPr>
          <w:rFonts w:eastAsia="Calibri"/>
          <w:szCs w:val="24"/>
        </w:rPr>
      </w:pPr>
      <w:r w:rsidRPr="006D71C7">
        <w:rPr>
          <w:szCs w:val="24"/>
        </w:rPr>
        <w:t>Zapewnienie warunków dla optymalnego rozwoju usług telekomunikacyjnych w obszarze dostępu do Internetu poprzez stworzenie na terenie województwa śląskiego spójnej infrastruktury szerokopasmowej (3 projekty).</w:t>
      </w:r>
    </w:p>
    <w:p w:rsidR="0013707F" w:rsidRPr="006D71C7" w:rsidRDefault="0013707F" w:rsidP="00BA2FE7">
      <w:pPr>
        <w:pStyle w:val="Akapitzlist"/>
        <w:numPr>
          <w:ilvl w:val="0"/>
          <w:numId w:val="81"/>
        </w:numPr>
        <w:spacing w:after="0"/>
        <w:jc w:val="both"/>
        <w:outlineLvl w:val="0"/>
        <w:rPr>
          <w:szCs w:val="24"/>
        </w:rPr>
      </w:pPr>
      <w:bookmarkStart w:id="237" w:name="_Toc324786825"/>
      <w:bookmarkStart w:id="238" w:name="_Toc324853883"/>
      <w:bookmarkStart w:id="239" w:name="_Toc327259233"/>
      <w:r w:rsidRPr="006D71C7">
        <w:rPr>
          <w:szCs w:val="24"/>
        </w:rPr>
        <w:t>Zapewnienie komunikacji z kompleksem parkowo-amfiteatralnym w Gminie Jaworze (2 projekty).</w:t>
      </w:r>
      <w:bookmarkEnd w:id="237"/>
      <w:bookmarkEnd w:id="238"/>
      <w:bookmarkEnd w:id="239"/>
    </w:p>
    <w:p w:rsidR="0013707F" w:rsidRPr="006D71C7" w:rsidRDefault="0013707F" w:rsidP="00BA2FE7">
      <w:pPr>
        <w:pStyle w:val="Akapitzlist"/>
        <w:numPr>
          <w:ilvl w:val="0"/>
          <w:numId w:val="81"/>
        </w:numPr>
        <w:spacing w:after="0"/>
        <w:jc w:val="both"/>
        <w:outlineLvl w:val="0"/>
        <w:rPr>
          <w:szCs w:val="24"/>
        </w:rPr>
      </w:pPr>
      <w:bookmarkStart w:id="240" w:name="_Toc324786826"/>
      <w:bookmarkStart w:id="241" w:name="_Toc324853884"/>
      <w:bookmarkStart w:id="242" w:name="_Toc327259234"/>
      <w:r w:rsidRPr="006D71C7">
        <w:t>Rewitalizacja terenu poprzemysłowego, zlokalizowanego w miejscowości Glinka, mająca na celu wzrost konkurencyjności obszaru Gminy Ujsoły poprzez rozwój jednej z gałęzi przemysłu jaką jest turystyka (2 projekty).</w:t>
      </w:r>
      <w:bookmarkEnd w:id="240"/>
      <w:bookmarkEnd w:id="241"/>
      <w:bookmarkEnd w:id="242"/>
    </w:p>
    <w:p w:rsidR="0013707F" w:rsidRPr="006D71C7" w:rsidRDefault="0013707F" w:rsidP="00BA2FE7">
      <w:pPr>
        <w:pStyle w:val="Akapitzlist"/>
        <w:numPr>
          <w:ilvl w:val="0"/>
          <w:numId w:val="81"/>
        </w:numPr>
        <w:spacing w:after="0"/>
        <w:jc w:val="both"/>
        <w:outlineLvl w:val="0"/>
        <w:rPr>
          <w:szCs w:val="24"/>
        </w:rPr>
      </w:pPr>
      <w:bookmarkStart w:id="243" w:name="_Toc324786827"/>
      <w:bookmarkStart w:id="244" w:name="_Toc324853885"/>
      <w:bookmarkStart w:id="245" w:name="_Toc327259235"/>
      <w:r w:rsidRPr="006D71C7">
        <w:t>Konieczność eliminacji lub ograniczenia ilości substancji zanieczyszczających wprowadzanych do powietrza (2 projekty).</w:t>
      </w:r>
      <w:bookmarkEnd w:id="243"/>
      <w:bookmarkEnd w:id="244"/>
      <w:bookmarkEnd w:id="245"/>
    </w:p>
    <w:p w:rsidR="0013707F" w:rsidRPr="006D71C7" w:rsidRDefault="0013707F" w:rsidP="00BA2FE7">
      <w:pPr>
        <w:pStyle w:val="Akapitzlist"/>
        <w:numPr>
          <w:ilvl w:val="0"/>
          <w:numId w:val="81"/>
        </w:numPr>
        <w:spacing w:after="0"/>
        <w:jc w:val="both"/>
        <w:outlineLvl w:val="0"/>
        <w:rPr>
          <w:szCs w:val="24"/>
        </w:rPr>
      </w:pPr>
      <w:bookmarkStart w:id="246" w:name="_Toc324786828"/>
      <w:bookmarkStart w:id="247" w:name="_Toc324853886"/>
      <w:bookmarkStart w:id="248" w:name="_Toc327259236"/>
      <w:r w:rsidRPr="006D71C7">
        <w:rPr>
          <w:szCs w:val="24"/>
        </w:rPr>
        <w:t>Ochrona dziedzictwa przyrodniczego i kształtowanie postaw ekologicznych społeczeństwa (2 projekty i 2 projekty).</w:t>
      </w:r>
      <w:bookmarkEnd w:id="246"/>
      <w:bookmarkEnd w:id="247"/>
      <w:bookmarkEnd w:id="248"/>
    </w:p>
    <w:p w:rsidR="0013707F" w:rsidRPr="006D71C7" w:rsidRDefault="0013707F" w:rsidP="00BA2FE7">
      <w:pPr>
        <w:pStyle w:val="Akapitzlist"/>
        <w:numPr>
          <w:ilvl w:val="0"/>
          <w:numId w:val="81"/>
        </w:numPr>
        <w:spacing w:after="0"/>
        <w:jc w:val="both"/>
        <w:outlineLvl w:val="0"/>
        <w:rPr>
          <w:szCs w:val="24"/>
        </w:rPr>
      </w:pPr>
      <w:bookmarkStart w:id="249" w:name="_Toc324786829"/>
      <w:bookmarkStart w:id="250" w:name="_Toc324853887"/>
      <w:bookmarkStart w:id="251" w:name="_Toc327259237"/>
      <w:r w:rsidRPr="006D71C7">
        <w:rPr>
          <w:szCs w:val="24"/>
        </w:rPr>
        <w:t>Poprawa funkcjonalności i parametrów technicznych układu kluczowych elementów sieci drogowej (7 projektów).</w:t>
      </w:r>
      <w:bookmarkEnd w:id="249"/>
      <w:bookmarkEnd w:id="250"/>
      <w:bookmarkEnd w:id="251"/>
    </w:p>
    <w:p w:rsidR="0013707F" w:rsidRPr="006D71C7" w:rsidRDefault="0013707F" w:rsidP="006D71C7">
      <w:pPr>
        <w:pStyle w:val="Akapitzlist"/>
        <w:jc w:val="both"/>
        <w:rPr>
          <w:szCs w:val="24"/>
        </w:rPr>
      </w:pPr>
    </w:p>
    <w:p w:rsidR="0013707F" w:rsidRPr="006D71C7" w:rsidRDefault="0013707F" w:rsidP="006D71C7">
      <w:pPr>
        <w:pStyle w:val="Akapitzlist"/>
        <w:ind w:left="0"/>
        <w:jc w:val="both"/>
        <w:rPr>
          <w:i/>
          <w:szCs w:val="24"/>
        </w:rPr>
      </w:pPr>
      <w:r w:rsidRPr="006D71C7">
        <w:rPr>
          <w:szCs w:val="24"/>
        </w:rPr>
        <w:t xml:space="preserve">Przykłady projektów komplementarnych zostały zaprezentowane w załączniku nr </w:t>
      </w:r>
      <w:r w:rsidR="00EA299C" w:rsidRPr="006D71C7">
        <w:rPr>
          <w:szCs w:val="24"/>
        </w:rPr>
        <w:t>I</w:t>
      </w:r>
      <w:r w:rsidR="007338BD" w:rsidRPr="006D71C7">
        <w:rPr>
          <w:szCs w:val="24"/>
        </w:rPr>
        <w:t>X</w:t>
      </w:r>
      <w:r w:rsidRPr="006D71C7">
        <w:rPr>
          <w:szCs w:val="24"/>
        </w:rPr>
        <w:t xml:space="preserve"> do</w:t>
      </w:r>
      <w:r w:rsidR="002F2535" w:rsidRPr="006D71C7">
        <w:rPr>
          <w:szCs w:val="24"/>
        </w:rPr>
        <w:t> </w:t>
      </w:r>
      <w:r w:rsidRPr="006D71C7">
        <w:rPr>
          <w:szCs w:val="24"/>
        </w:rPr>
        <w:t xml:space="preserve">niniejszego </w:t>
      </w:r>
      <w:r w:rsidRPr="006D71C7">
        <w:rPr>
          <w:i/>
          <w:szCs w:val="24"/>
        </w:rPr>
        <w:t>Sprawozdania.</w:t>
      </w:r>
    </w:p>
    <w:p w:rsidR="0013707F" w:rsidRPr="006D71C7" w:rsidRDefault="0013707F" w:rsidP="006D71C7">
      <w:pPr>
        <w:widowControl w:val="0"/>
        <w:autoSpaceDE w:val="0"/>
        <w:autoSpaceDN w:val="0"/>
        <w:adjustRightInd w:val="0"/>
        <w:jc w:val="both"/>
        <w:rPr>
          <w:szCs w:val="24"/>
        </w:rPr>
      </w:pPr>
      <w:r w:rsidRPr="006D71C7">
        <w:rPr>
          <w:szCs w:val="24"/>
        </w:rPr>
        <w:t>We wszystkich</w:t>
      </w:r>
      <w:r w:rsidR="00342201" w:rsidRPr="006D71C7">
        <w:rPr>
          <w:szCs w:val="24"/>
        </w:rPr>
        <w:t xml:space="preserve"> zaprezentowanych</w:t>
      </w:r>
      <w:r w:rsidRPr="006D71C7">
        <w:rPr>
          <w:szCs w:val="24"/>
        </w:rPr>
        <w:t xml:space="preserve"> projektach występuje komplementarność wewnątrz funduszowa polegająca na tym, że podejmowane działania uzupełniają się w ramach finansowania z jednego funduszu jakim jest EFRR. W zak</w:t>
      </w:r>
      <w:r w:rsidR="00342201" w:rsidRPr="006D71C7">
        <w:rPr>
          <w:szCs w:val="24"/>
        </w:rPr>
        <w:t xml:space="preserve">resie: </w:t>
      </w:r>
      <w:r w:rsidR="00342201" w:rsidRPr="006D71C7">
        <w:rPr>
          <w:i/>
          <w:szCs w:val="24"/>
        </w:rPr>
        <w:t>poprawy funkcjonalności i </w:t>
      </w:r>
      <w:r w:rsidRPr="006D71C7">
        <w:rPr>
          <w:i/>
          <w:szCs w:val="24"/>
        </w:rPr>
        <w:t>parametrów technicznych układu kluczowych elementów sieci drogowej</w:t>
      </w:r>
      <w:r w:rsidRPr="006D71C7">
        <w:rPr>
          <w:szCs w:val="24"/>
        </w:rPr>
        <w:t xml:space="preserve"> występuje także komplementarność międzyprogramowa, która zachodzi w przypadku działań finansowanych z różnych programów operacyjnych, np. ZPORR i RPO WSL oraz komplementarność międzyokresowa, która zachodzi pomiędzy programami finansowanymi w różnych okresach programowania. Natomiast w zakresie</w:t>
      </w:r>
      <w:r w:rsidR="00342201" w:rsidRPr="006D71C7">
        <w:rPr>
          <w:szCs w:val="24"/>
        </w:rPr>
        <w:t>:</w:t>
      </w:r>
      <w:r w:rsidRPr="006D71C7">
        <w:rPr>
          <w:szCs w:val="24"/>
        </w:rPr>
        <w:t xml:space="preserve"> </w:t>
      </w:r>
      <w:r w:rsidRPr="006D71C7">
        <w:rPr>
          <w:i/>
          <w:szCs w:val="24"/>
        </w:rPr>
        <w:t>ochrony dziedzictwa przyrodniczego i kształtowania postaw ekologicznych społeczeństwa</w:t>
      </w:r>
      <w:r w:rsidRPr="006D71C7">
        <w:rPr>
          <w:szCs w:val="24"/>
        </w:rPr>
        <w:t xml:space="preserve"> występuje także komplementarność funduszy europejskic</w:t>
      </w:r>
      <w:r w:rsidR="00342201" w:rsidRPr="006D71C7">
        <w:rPr>
          <w:szCs w:val="24"/>
        </w:rPr>
        <w:t>h z innymi środkami publicznymi</w:t>
      </w:r>
      <w:r w:rsidRPr="006D71C7">
        <w:rPr>
          <w:szCs w:val="24"/>
        </w:rPr>
        <w:t xml:space="preserve"> (EFRR, Program Owca PLUS, Fundacja Eko Fundusz).</w:t>
      </w:r>
    </w:p>
    <w:p w:rsidR="00C71AA2" w:rsidRPr="006D71C7" w:rsidRDefault="00C71AA2" w:rsidP="00BA2FE7">
      <w:pPr>
        <w:pStyle w:val="Nagwek1"/>
        <w:numPr>
          <w:ilvl w:val="2"/>
          <w:numId w:val="39"/>
        </w:numPr>
        <w:tabs>
          <w:tab w:val="left" w:pos="1560"/>
        </w:tabs>
        <w:spacing w:after="120"/>
        <w:ind w:left="1134" w:hanging="283"/>
        <w:jc w:val="both"/>
        <w:rPr>
          <w:szCs w:val="24"/>
          <w:lang w:eastAsia="ar-SA"/>
        </w:rPr>
      </w:pPr>
      <w:bookmarkStart w:id="252" w:name="_Toc292793559"/>
      <w:bookmarkStart w:id="253" w:name="_Toc324853888"/>
      <w:bookmarkStart w:id="254" w:name="_Toc327259238"/>
      <w:r w:rsidRPr="006D71C7">
        <w:rPr>
          <w:szCs w:val="24"/>
          <w:lang w:eastAsia="ar-SA"/>
        </w:rPr>
        <w:t>Mechanizmy unikania podwójnego finan</w:t>
      </w:r>
      <w:r w:rsidR="00BD5097" w:rsidRPr="006D71C7">
        <w:rPr>
          <w:szCs w:val="24"/>
          <w:lang w:eastAsia="ar-SA"/>
        </w:rPr>
        <w:t>sowania działań realizowanych w </w:t>
      </w:r>
      <w:r w:rsidRPr="006D71C7">
        <w:rPr>
          <w:szCs w:val="24"/>
          <w:lang w:eastAsia="ar-SA"/>
        </w:rPr>
        <w:t>ramach Polityki Spójności z działaniami realizowanymi w ramach Wspólnej Polityki Rolnej oraz Wspólnej Polityki Rybackiej</w:t>
      </w:r>
      <w:bookmarkEnd w:id="252"/>
      <w:bookmarkEnd w:id="253"/>
      <w:bookmarkEnd w:id="254"/>
    </w:p>
    <w:p w:rsidR="00307946" w:rsidRPr="006D71C7" w:rsidRDefault="00191DFA" w:rsidP="006D71C7">
      <w:pPr>
        <w:pStyle w:val="Zwykytekst"/>
        <w:spacing w:line="276" w:lineRule="auto"/>
        <w:jc w:val="both"/>
        <w:rPr>
          <w:rFonts w:ascii="Times New Roman" w:hAnsi="Times New Roman"/>
          <w:sz w:val="24"/>
          <w:szCs w:val="24"/>
        </w:rPr>
      </w:pPr>
      <w:r w:rsidRPr="006D71C7">
        <w:rPr>
          <w:rStyle w:val="Pogrubienie"/>
          <w:rFonts w:ascii="Times New Roman" w:hAnsi="Times New Roman"/>
          <w:i/>
          <w:sz w:val="24"/>
          <w:szCs w:val="24"/>
        </w:rPr>
        <w:t>Linia</w:t>
      </w:r>
      <w:r w:rsidRPr="006D71C7">
        <w:rPr>
          <w:rFonts w:ascii="Times New Roman" w:hAnsi="Times New Roman"/>
          <w:i/>
          <w:sz w:val="24"/>
          <w:szCs w:val="24"/>
          <w:lang w:eastAsia="ar-SA"/>
        </w:rPr>
        <w:t xml:space="preserve"> </w:t>
      </w:r>
      <w:r w:rsidRPr="006D71C7">
        <w:rPr>
          <w:rFonts w:ascii="Times New Roman" w:hAnsi="Times New Roman"/>
          <w:b/>
          <w:i/>
          <w:sz w:val="24"/>
          <w:szCs w:val="24"/>
          <w:lang w:eastAsia="ar-SA"/>
        </w:rPr>
        <w:t>demarkacyjna</w:t>
      </w:r>
      <w:r w:rsidRPr="006D71C7">
        <w:rPr>
          <w:rFonts w:ascii="Times New Roman" w:hAnsi="Times New Roman"/>
          <w:b/>
          <w:sz w:val="24"/>
          <w:szCs w:val="24"/>
          <w:lang w:eastAsia="ar-SA"/>
        </w:rPr>
        <w:t xml:space="preserve"> </w:t>
      </w:r>
      <w:r w:rsidRPr="006D71C7">
        <w:rPr>
          <w:rFonts w:ascii="Times New Roman" w:hAnsi="Times New Roman"/>
          <w:sz w:val="24"/>
          <w:szCs w:val="24"/>
          <w:lang w:eastAsia="ar-SA"/>
        </w:rPr>
        <w:t xml:space="preserve">pomiędzy poszczególnymi regionalnymi programami operacyjnymi a innymi programami realizowanymi w ramach Polityki Spójności, a także Wspólnej Polityki Rolnej i Wspólnej Polityki Rybackiej przedstawiona została w dokumencie </w:t>
      </w:r>
      <w:r w:rsidRPr="006D71C7">
        <w:rPr>
          <w:rFonts w:ascii="Times New Roman" w:hAnsi="Times New Roman"/>
          <w:i/>
          <w:sz w:val="24"/>
          <w:szCs w:val="24"/>
          <w:lang w:eastAsia="ar-SA"/>
        </w:rPr>
        <w:t>Linia demarkacyjna dla programów w ramach Wspólnej Polityki Rolnej, Wspólnej Polityki Rybackiej i Polityki Spójności.</w:t>
      </w:r>
      <w:r w:rsidRPr="006D71C7">
        <w:rPr>
          <w:rFonts w:ascii="Times New Roman" w:hAnsi="Times New Roman"/>
          <w:sz w:val="24"/>
          <w:szCs w:val="24"/>
          <w:lang w:eastAsia="ar-SA"/>
        </w:rPr>
        <w:t xml:space="preserve"> Ujednolicony dokument przyjęty został przez Komitet Koordynujący NSRO. </w:t>
      </w:r>
      <w:r w:rsidRPr="006D71C7">
        <w:rPr>
          <w:rFonts w:ascii="Times New Roman" w:hAnsi="Times New Roman"/>
          <w:sz w:val="24"/>
          <w:szCs w:val="24"/>
        </w:rPr>
        <w:t>Dokument  stanowi tabelaryczne zestawienie zidentyfikowanych na etapie programowania wspólnych obszarów interwencji funduszy UE. Poprzez zawarte w nim kryteria demarkacyjne, rozdziela interwencje pomiędzy programami operacyjnymi. Kryteria odnoszą się do zasięgu terytorialnego/charakteru projektów, wartości (kosztów kwalifikowanych) projektów, rodzaju beneficjenta. W celu zapewnienia przestrzegania realizacji linii demarkacyjnej w RPO WSL zostało sformułowane i zatwierdzone przez członków KM RPO WSL kryterium podstawowe oceny formalnej</w:t>
      </w:r>
      <w:r w:rsidR="00597325" w:rsidRPr="006D71C7">
        <w:rPr>
          <w:rFonts w:ascii="Times New Roman" w:hAnsi="Times New Roman"/>
          <w:sz w:val="24"/>
          <w:szCs w:val="24"/>
        </w:rPr>
        <w:t xml:space="preserve">: </w:t>
      </w:r>
      <w:r w:rsidRPr="006D71C7">
        <w:rPr>
          <w:rFonts w:ascii="Times New Roman" w:eastAsia="Calibri" w:hAnsi="Times New Roman"/>
          <w:bCs/>
          <w:i/>
          <w:sz w:val="24"/>
          <w:szCs w:val="24"/>
        </w:rPr>
        <w:t>Zgodność z linią demarkacyjną pomiędzy Programami Operacyjnymi Polityki Spójności, Wspólnej Polityki Rolnej i Wspólnej Polityki Rybackiej</w:t>
      </w:r>
      <w:r w:rsidR="00307946" w:rsidRPr="006D71C7">
        <w:rPr>
          <w:rFonts w:ascii="Times New Roman" w:hAnsi="Times New Roman"/>
          <w:sz w:val="24"/>
          <w:szCs w:val="24"/>
        </w:rPr>
        <w:t>. W okresie sprawozdawczym nie podejmowano działań, celem określenia zakresu interwencji poszczególnych funduszy, jak również - celem zapewnienia przestrzegania realizacji linii demarkacyjnej, nie zidentyfikowano problemów z zapewnieniem przestrzegania linii demarkacyjnej oraz nie wprowadzano zmian do linii demarkacyjnej.</w:t>
      </w:r>
    </w:p>
    <w:p w:rsidR="00191DFA" w:rsidRPr="006D71C7" w:rsidRDefault="00191DFA" w:rsidP="006D71C7">
      <w:pPr>
        <w:pStyle w:val="Default"/>
        <w:spacing w:line="276" w:lineRule="auto"/>
        <w:jc w:val="both"/>
        <w:rPr>
          <w:rFonts w:eastAsia="Calibri"/>
          <w:color w:val="auto"/>
        </w:rPr>
      </w:pPr>
      <w:r w:rsidRPr="006D71C7">
        <w:rPr>
          <w:color w:val="auto"/>
          <w:highlight w:val="yellow"/>
        </w:rPr>
        <w:t xml:space="preserve"> </w:t>
      </w:r>
    </w:p>
    <w:p w:rsidR="00191DFA" w:rsidRPr="006D71C7" w:rsidRDefault="00191DFA" w:rsidP="006D71C7">
      <w:pPr>
        <w:pStyle w:val="Akapitzlist"/>
        <w:spacing w:after="0"/>
        <w:ind w:left="0"/>
        <w:jc w:val="both"/>
        <w:rPr>
          <w:i/>
        </w:rPr>
      </w:pPr>
      <w:r w:rsidRPr="006D71C7">
        <w:rPr>
          <w:b/>
          <w:i/>
        </w:rPr>
        <w:t>Oświadczenie,</w:t>
      </w:r>
      <w:r w:rsidRPr="006D71C7">
        <w:t xml:space="preserve"> każdy beneficjent starający się o dofinansowanie z RPO WSL ma obowiązek złożenia </w:t>
      </w:r>
      <w:r w:rsidRPr="006D71C7">
        <w:rPr>
          <w:i/>
        </w:rPr>
        <w:t>Oświadczenia o nie nakładaniu się pomocy,</w:t>
      </w:r>
    </w:p>
    <w:p w:rsidR="00191DFA" w:rsidRPr="006D71C7" w:rsidRDefault="00191DFA" w:rsidP="006D71C7">
      <w:pPr>
        <w:pStyle w:val="Akapitzlist"/>
        <w:spacing w:after="0"/>
        <w:ind w:left="0"/>
        <w:jc w:val="both"/>
        <w:rPr>
          <w:szCs w:val="24"/>
        </w:rPr>
      </w:pPr>
    </w:p>
    <w:p w:rsidR="00191DFA" w:rsidRPr="006D71C7" w:rsidRDefault="00191DFA" w:rsidP="006D71C7">
      <w:pPr>
        <w:spacing w:after="0"/>
        <w:jc w:val="both"/>
      </w:pPr>
      <w:r w:rsidRPr="006D71C7">
        <w:rPr>
          <w:b/>
          <w:i/>
        </w:rPr>
        <w:t>Kontrole krzyżowe projektów</w:t>
      </w:r>
      <w:r w:rsidRPr="006D71C7">
        <w:t xml:space="preserve">, IZ RPO WSL przeprowadza kontrole krzyżowe projektów (szczegółowe informacje przedstawione zostały w pkt. 2.6.7 niniejszego </w:t>
      </w:r>
      <w:r w:rsidRPr="006D71C7">
        <w:rPr>
          <w:i/>
        </w:rPr>
        <w:t>Sprawozdania)</w:t>
      </w:r>
      <w:r w:rsidRPr="006D71C7">
        <w:t>.</w:t>
      </w:r>
    </w:p>
    <w:p w:rsidR="00C71AA2" w:rsidRPr="006D71C7" w:rsidRDefault="002E7A75" w:rsidP="00BA2FE7">
      <w:pPr>
        <w:pStyle w:val="Nagwek1"/>
        <w:numPr>
          <w:ilvl w:val="2"/>
          <w:numId w:val="39"/>
        </w:numPr>
        <w:tabs>
          <w:tab w:val="left" w:pos="1560"/>
        </w:tabs>
        <w:spacing w:after="120"/>
        <w:ind w:left="1134" w:hanging="283"/>
        <w:jc w:val="both"/>
        <w:rPr>
          <w:szCs w:val="24"/>
          <w:lang w:eastAsia="ar-SA"/>
        </w:rPr>
      </w:pPr>
      <w:bookmarkStart w:id="255" w:name="_Toc292793560"/>
      <w:bookmarkStart w:id="256" w:name="_Toc324853889"/>
      <w:bookmarkStart w:id="257" w:name="_Toc327259239"/>
      <w:r w:rsidRPr="006D71C7">
        <w:rPr>
          <w:szCs w:val="24"/>
          <w:lang w:eastAsia="ar-SA"/>
        </w:rPr>
        <w:t>Kontrole krzyżowe P</w:t>
      </w:r>
      <w:r w:rsidR="00C71AA2" w:rsidRPr="006D71C7">
        <w:rPr>
          <w:szCs w:val="24"/>
          <w:lang w:eastAsia="ar-SA"/>
        </w:rPr>
        <w:t>rogramu</w:t>
      </w:r>
      <w:bookmarkEnd w:id="255"/>
      <w:bookmarkEnd w:id="256"/>
      <w:bookmarkEnd w:id="257"/>
    </w:p>
    <w:p w:rsidR="009E2B28" w:rsidRPr="00BF71C1" w:rsidRDefault="009E2B28" w:rsidP="006D71C7">
      <w:pPr>
        <w:jc w:val="both"/>
        <w:rPr>
          <w:b/>
        </w:rPr>
      </w:pPr>
      <w:bookmarkStart w:id="258" w:name="_Toc292789269"/>
      <w:bookmarkStart w:id="259" w:name="_Toc292793561"/>
      <w:r w:rsidRPr="00BF71C1">
        <w:rPr>
          <w:b/>
        </w:rPr>
        <w:t>W 2011 r. w IZ RPO WSL zostały podjęte następujące działania w ramach kontroli krzyżowych:</w:t>
      </w:r>
    </w:p>
    <w:p w:rsidR="009E2B28" w:rsidRPr="00BF71C1" w:rsidRDefault="009E2B28" w:rsidP="006D71C7">
      <w:pPr>
        <w:shd w:val="clear" w:color="auto" w:fill="FFFFFF"/>
        <w:spacing w:after="120"/>
        <w:jc w:val="both"/>
        <w:rPr>
          <w:i/>
        </w:rPr>
      </w:pPr>
      <w:r w:rsidRPr="00BF71C1">
        <w:rPr>
          <w:i/>
        </w:rPr>
        <w:t>Opis sposobu prowadzenia kontroli krzyżowych programu</w:t>
      </w:r>
    </w:p>
    <w:p w:rsidR="009E2B28" w:rsidRPr="006D71C7" w:rsidRDefault="009E2B28" w:rsidP="006D71C7">
      <w:pPr>
        <w:shd w:val="clear" w:color="auto" w:fill="FFFFFF"/>
        <w:jc w:val="both"/>
      </w:pPr>
      <w:r w:rsidRPr="006D71C7">
        <w:t xml:space="preserve">Kontrola krzyżowa w ramach RPO WSL przeprowadzana jest co miesiąc (do 28 dnia każdego miesiąca) na próbie minimum 5% Beneficjentów, którzy realizowali/realizują więcej niż jeden projekt w ramach RPO WSL. Kontrole krzyżowe programu przeprowadza dwóch wskazanych pracowników Referatu ds. Kontroli Projektów, Wydziału Rozwoju Regionalnego Urzędu Marszałkowskiego Województwa Śląskiego, posiadających stosowne </w:t>
      </w:r>
      <w:r w:rsidR="00BF71C1">
        <w:t>uprawnienia do </w:t>
      </w:r>
      <w:r w:rsidRPr="006D71C7">
        <w:t xml:space="preserve">KSI (SIMIK 07-13), którzy dokonują eksportu danych z systemu informatycznego KSI (SIMIK 07-13) za pośrednictwem aplikacji Oracle Discoverer. </w:t>
      </w:r>
    </w:p>
    <w:p w:rsidR="009E2B28" w:rsidRPr="006D71C7" w:rsidRDefault="009E2B28" w:rsidP="006D71C7">
      <w:pPr>
        <w:shd w:val="clear" w:color="auto" w:fill="FFFFFF"/>
        <w:jc w:val="both"/>
      </w:pPr>
      <w:r w:rsidRPr="006D71C7">
        <w:t>Minimalny zakres wyeksportowanych danych zawiera numery NIP i nazwy Beneficjentów, nazwy projektów, numery umów o dofinansowanie, numery poszczególnych wniosków o płatność, numery i kwoty brutto dokumentów księgowych, kwoty wydatków kwalifikowalnych autoryzowanych przez IZ RPO WS</w:t>
      </w:r>
      <w:r w:rsidR="00BF71C1">
        <w:t>L oraz IP2 RPO WSL (nazwy pól w </w:t>
      </w:r>
      <w:r w:rsidRPr="006D71C7">
        <w:t>KSI: „NIP beneficjenta”, „Nazwa beneficjenta”, „Tytuł projektu”, „Numer umowy/decyzji”, „Numer wniosku o płatność”, „Numer dokumentu”, „Numer księgowy lub ewidencyjny”, „Nazwa towaru lub usługi”, „Kwota brutto dokumentu”, „Kwota wydatków kwalifikowalnych po autoryzacji”). Dane te zawierają szczegółowe informacje o wydatkach poniesionych przez Beneficjentów w okresie podlegającym kontroli, tj. od początku okresu kwalifikowalności RPO WSL do dnia kontroli. Następnie dane te podlegają agregacji, sortowaniu i analizie w arkuszu roboczym prowadzonym w formie elektronicznej (archiwizowanym po zakończeniu kontroli). Celem przeprowadzonej analizy jest znalezienie tych wydatków beneficjenta, które mogły zostać wielokrotnie zrefundowane (lub wykazane do refundacji) w ramach funduszy UE. Analiza polega na sprawdzeniu czy Beneficjent (określony według numeru NIP) nie wykazał wielokrotnie tego samego wydatku (powtórzenie się tej samej „Kwoty brutto dokumentu” i „Numeru dokumentu” lub „Numeru księgowego lub ewidencyjnego” dla tego samego „NIP-u beneficjenta”). Czynności kontrolne są dokumentowane na formularzu Lista sprawdzająca do kontroli krzyżowej RPO WSL. W formie notatki służbowej dokumentowana jest ponadto metoda losowania próby do kontroli, zestawienie numerów NIP Beneficjentów podlegających losowaniu oraz listę Beneficjentów wylosowanych do kontroli krzyżowej. Wypełniona lista sprawdzająca z kontroli krzyżowej przekazywana jest do akceptacji przez Kierownika RMKP a następnie do zatwierdzenia przez Dyrektora Wydziału WRR/ Zastępcę Dyrektora WRR. Wnioski zawarte w Liście sprawdzającej do kontroli krzyżowej stanowią podstawę do podjęcia ewentualnych dodatkowych czynności wyjaśniających i kontrolnych, z kontrolą doraźną włącznie. Decyzję w tej sprawie podejmuje Dyrektor Wydziału WRR/ Zastępca Dyrektora WRR.</w:t>
      </w:r>
    </w:p>
    <w:p w:rsidR="009E2B28" w:rsidRPr="00BF71C1" w:rsidRDefault="009E2B28" w:rsidP="006D71C7">
      <w:pPr>
        <w:shd w:val="clear" w:color="auto" w:fill="FFFFFF"/>
        <w:jc w:val="both"/>
        <w:rPr>
          <w:i/>
        </w:rPr>
      </w:pPr>
      <w:r w:rsidRPr="00BF71C1">
        <w:rPr>
          <w:i/>
        </w:rPr>
        <w:t>Informacja dotycząca liczby przeprowadzonych kontroli krzyżowych oraz  liczby podejrzeń podwójnego finansowania wydatków</w:t>
      </w:r>
    </w:p>
    <w:p w:rsidR="009E2B28" w:rsidRPr="006D71C7" w:rsidRDefault="009E2B28" w:rsidP="006D71C7">
      <w:pPr>
        <w:shd w:val="clear" w:color="auto" w:fill="FFFFFF"/>
        <w:jc w:val="both"/>
      </w:pPr>
      <w:r w:rsidRPr="006D71C7">
        <w:t xml:space="preserve">W 2011 roku w trakcie comiesięcznych kontroli przeprowadzono kontrolę krzyżową wydatków przedstawionych do refundacji w ramach RPO WSL przez 174 beneficjentów (skontrolowano 1428 wniosków o płatność). W wyniku kontroli krzyżowej nie ujawniono żadnych dokumentów, co do których zachodziłoby podejrzenie podwójnego finansowania w ramach RPO WSL – jakkolwiek w jednym przypadku konieczne było sprawdzenie adnotacji na dokumentach źródłowych. </w:t>
      </w:r>
    </w:p>
    <w:p w:rsidR="009E2B28" w:rsidRPr="00BF71C1" w:rsidRDefault="009E2B28" w:rsidP="006D71C7">
      <w:pPr>
        <w:shd w:val="clear" w:color="auto" w:fill="FFFFFF"/>
        <w:jc w:val="both"/>
        <w:rPr>
          <w:i/>
        </w:rPr>
      </w:pPr>
      <w:r w:rsidRPr="00BF71C1">
        <w:rPr>
          <w:i/>
        </w:rPr>
        <w:t>Informacja dotycząca kontroli krzyżowych horyzontalnych</w:t>
      </w:r>
    </w:p>
    <w:p w:rsidR="009E2B28" w:rsidRDefault="009E2B28" w:rsidP="006D71C7">
      <w:pPr>
        <w:shd w:val="clear" w:color="auto" w:fill="FFFFFF"/>
        <w:jc w:val="both"/>
      </w:pPr>
      <w:r w:rsidRPr="006D71C7">
        <w:t xml:space="preserve">Dla zapewnienia, że wydatki przedstawione do refundacji w ramach RPO WSL nie zostały wcześniej zrefundowane lub przedstawione do refundacji w ramach Programu Rozwoju Obszarów Wiejskich 2007-2013, Programu Operacyjnego „Zrównoważony rozwój sektora rybołówstwa i nadbrzeżnych obszarów rybackich 2007-2013” lub innych programów w ramach NSRO, czy też programów poprzedniej perspektywy finansowej – kontrolujący, w trakcie kontroli na miejscu sprawdzają, czy na oryginałach faktur (lub dokumentów o równoważnej wartości dowodowej) nie zamieszczono adnotacji innych instytucji zarządzających/wdrażających np. „Przedstawiono do refundacji w ramach Programu Rozwoju Obszarów Wiejskich na lata 2007-2013”. W przypadku stwierdzenia takiej adnotacji, kontrolujący przeprowadzają dodatkowe czynności wyjaśniające, czy wydatek ten został faktycznie zrefundowany w ramach innego programu operacyjnego – czynności te obejmują między innymi weryfikację danych zarejestrowanych </w:t>
      </w:r>
      <w:r w:rsidR="00BF71C1">
        <w:t>w systemach OFSA PROW 2007-13 i </w:t>
      </w:r>
      <w:r w:rsidRPr="006D71C7">
        <w:t xml:space="preserve">RYBY 2007-13 a w sytuacji, gdy dane te są niewystarczające – wystąpienie do właściwej instytucji w ramach PROW 07-13 i PO RYBY 2007-13  z wnioskiem o przekazanie w możliwie najkrótszym terminie kopii wskazanych faktur lub dokumentów o równoważnej wartości dowodowej. Wydatek zrefundowany w ramach innego programu operacyjnego nie może być refundowany w ramach RPO WSL. </w:t>
      </w:r>
    </w:p>
    <w:p w:rsidR="002607D5" w:rsidRDefault="002607D5" w:rsidP="006D71C7">
      <w:pPr>
        <w:shd w:val="clear" w:color="auto" w:fill="FFFFFF"/>
        <w:jc w:val="both"/>
      </w:pPr>
      <w:r>
        <w:t>W okresie sprawozdawczym nie przeprowadzono żadnych kontroli krzyżowych horyzontalnych z PROW i PO RYBY</w:t>
      </w:r>
      <w:r w:rsidRPr="002607D5">
        <w:t xml:space="preserve">. </w:t>
      </w:r>
      <w:r>
        <w:t xml:space="preserve">Jednak </w:t>
      </w:r>
      <w:r w:rsidRPr="002607D5">
        <w:t>w trakcie kontroli na miejscu realizacji projektu</w:t>
      </w:r>
      <w:r>
        <w:t> </w:t>
      </w:r>
      <w:r w:rsidR="009E2B28" w:rsidRPr="006D71C7">
        <w:t>wykryto do tej pory 2 przypadki podwójnego dofinansowania w ramac</w:t>
      </w:r>
      <w:r>
        <w:t>h RPO WSL i </w:t>
      </w:r>
      <w:r w:rsidR="009E2B28" w:rsidRPr="006D71C7">
        <w:t>dotacji pochodzących w całości ze środków krajowych – kwota zakwestionowanych wydatków: 178 855 EUR.</w:t>
      </w:r>
      <w:r w:rsidR="001A3BD4">
        <w:t xml:space="preserve"> </w:t>
      </w:r>
    </w:p>
    <w:p w:rsidR="009E2B28" w:rsidRPr="006D71C7" w:rsidRDefault="009E2B28" w:rsidP="006D71C7">
      <w:pPr>
        <w:shd w:val="clear" w:color="auto" w:fill="FFFFFF"/>
        <w:jc w:val="both"/>
      </w:pPr>
      <w:r w:rsidRPr="006D71C7">
        <w:t xml:space="preserve">Możliwość sfinansowania projektu RPO WSL także z PROW lub PO RYBY stanowi jeden z czynników ryzyka, który jest brany pod uwagę przy ustalaniu próby projektów do kontroli na miejscu realizacji.  </w:t>
      </w:r>
    </w:p>
    <w:p w:rsidR="00BF71C1" w:rsidRDefault="00BF71C1">
      <w:pPr>
        <w:spacing w:after="0" w:line="240" w:lineRule="auto"/>
        <w:rPr>
          <w:i/>
        </w:rPr>
      </w:pPr>
      <w:r>
        <w:rPr>
          <w:i/>
        </w:rPr>
        <w:br w:type="page"/>
      </w:r>
    </w:p>
    <w:p w:rsidR="009E2B28" w:rsidRPr="00BF71C1" w:rsidRDefault="009E2B28" w:rsidP="006D71C7">
      <w:pPr>
        <w:jc w:val="both"/>
        <w:rPr>
          <w:b/>
        </w:rPr>
      </w:pPr>
      <w:r w:rsidRPr="00BF71C1">
        <w:rPr>
          <w:b/>
        </w:rPr>
        <w:t>W 2011 r. w IP2 RPO WSL zostały podjęte następujące działania w ramach kontroli krzyżowych:</w:t>
      </w:r>
    </w:p>
    <w:p w:rsidR="009E2B28" w:rsidRPr="006D71C7" w:rsidRDefault="009E2B28" w:rsidP="006D71C7">
      <w:pPr>
        <w:pStyle w:val="Tekstprzypisudolnego"/>
        <w:spacing w:after="0"/>
        <w:jc w:val="both"/>
        <w:rPr>
          <w:sz w:val="24"/>
          <w:szCs w:val="24"/>
        </w:rPr>
      </w:pPr>
      <w:r w:rsidRPr="006D71C7">
        <w:rPr>
          <w:sz w:val="24"/>
          <w:szCs w:val="24"/>
        </w:rPr>
        <w:t>Kontrole krzyżowe w ramach poddziałań wdrażanych przez IP2 RPO WSL obejmują:</w:t>
      </w:r>
    </w:p>
    <w:p w:rsidR="009E2B28" w:rsidRPr="006D71C7" w:rsidRDefault="009E2B28" w:rsidP="00BA2FE7">
      <w:pPr>
        <w:pStyle w:val="Tekstprzypisudolnego"/>
        <w:numPr>
          <w:ilvl w:val="0"/>
          <w:numId w:val="46"/>
        </w:numPr>
        <w:spacing w:after="0"/>
        <w:ind w:left="709"/>
        <w:jc w:val="both"/>
        <w:rPr>
          <w:sz w:val="24"/>
          <w:szCs w:val="24"/>
        </w:rPr>
      </w:pPr>
      <w:r w:rsidRPr="006D71C7">
        <w:rPr>
          <w:sz w:val="24"/>
          <w:szCs w:val="24"/>
        </w:rPr>
        <w:t>kontrolę krzyżową w ramach RPO WSL dot. beneficjentów poddziałań wdrażanych przez IP2 RPO WSL,</w:t>
      </w:r>
    </w:p>
    <w:p w:rsidR="009E2B28" w:rsidRDefault="009E2B28" w:rsidP="00BA2FE7">
      <w:pPr>
        <w:pStyle w:val="Tekstprzypisudolnego"/>
        <w:numPr>
          <w:ilvl w:val="0"/>
          <w:numId w:val="46"/>
        </w:numPr>
        <w:spacing w:after="0"/>
        <w:ind w:left="709"/>
        <w:jc w:val="both"/>
        <w:rPr>
          <w:sz w:val="24"/>
          <w:szCs w:val="24"/>
        </w:rPr>
      </w:pPr>
      <w:r w:rsidRPr="006D71C7">
        <w:rPr>
          <w:sz w:val="24"/>
          <w:szCs w:val="24"/>
        </w:rPr>
        <w:t>kontrolę krzyżową horyzontalną w ramach poddziałań RPO WSL wdrażanych przez IP2 RPO WSL oraz PROW 07-13 lub PO RYBY 2007-2013.</w:t>
      </w:r>
    </w:p>
    <w:p w:rsidR="00FB14B5" w:rsidRDefault="00FB14B5" w:rsidP="00FB14B5">
      <w:pPr>
        <w:pStyle w:val="Tekstprzypisudolnego"/>
        <w:spacing w:after="0"/>
        <w:ind w:left="709"/>
        <w:jc w:val="both"/>
        <w:rPr>
          <w:sz w:val="24"/>
          <w:szCs w:val="24"/>
        </w:rPr>
      </w:pPr>
    </w:p>
    <w:p w:rsidR="00FB14B5" w:rsidRPr="006D71C7" w:rsidRDefault="00FB14B5" w:rsidP="00FB14B5">
      <w:pPr>
        <w:pStyle w:val="Tekstprzypisudolnego"/>
        <w:spacing w:after="0"/>
        <w:jc w:val="both"/>
        <w:rPr>
          <w:sz w:val="24"/>
          <w:szCs w:val="24"/>
        </w:rPr>
      </w:pPr>
      <w:r>
        <w:rPr>
          <w:sz w:val="24"/>
          <w:szCs w:val="24"/>
        </w:rPr>
        <w:t>W IP2 RPO WSL 34 osoby prowadzi zarówno kontrole krzyżowe w ramach RPO WSL jak i horyzontalne.</w:t>
      </w:r>
    </w:p>
    <w:p w:rsidR="009E2B28" w:rsidRPr="006D71C7" w:rsidRDefault="009E2B28" w:rsidP="006D71C7">
      <w:pPr>
        <w:pStyle w:val="Tekstprzypisudolnego"/>
        <w:spacing w:before="120" w:after="240"/>
        <w:jc w:val="both"/>
        <w:rPr>
          <w:sz w:val="24"/>
          <w:szCs w:val="24"/>
        </w:rPr>
      </w:pPr>
      <w:r w:rsidRPr="006D71C7">
        <w:rPr>
          <w:sz w:val="24"/>
          <w:szCs w:val="24"/>
        </w:rPr>
        <w:t xml:space="preserve">Kontrole krzyżowe są przeprowadzane zgodnie z </w:t>
      </w:r>
      <w:r w:rsidRPr="006D71C7">
        <w:rPr>
          <w:i/>
          <w:sz w:val="24"/>
          <w:szCs w:val="24"/>
        </w:rPr>
        <w:t>Wytycznymi Ministra Rozwoju Regionalnego w zakresie procesu kontroli w ramach obowiązków Instytucji Zarządzającej Programem Operacyjnym</w:t>
      </w:r>
      <w:r w:rsidRPr="006D71C7">
        <w:rPr>
          <w:sz w:val="24"/>
          <w:szCs w:val="24"/>
        </w:rPr>
        <w:t>.</w:t>
      </w:r>
    </w:p>
    <w:p w:rsidR="009E2B28" w:rsidRPr="006D71C7" w:rsidRDefault="009E2B28" w:rsidP="006D71C7">
      <w:pPr>
        <w:pStyle w:val="Tekstprzypisudolnego"/>
        <w:spacing w:before="120" w:after="240"/>
        <w:jc w:val="both"/>
        <w:rPr>
          <w:sz w:val="24"/>
          <w:szCs w:val="24"/>
        </w:rPr>
      </w:pPr>
      <w:r w:rsidRPr="00BF71C1">
        <w:rPr>
          <w:i/>
          <w:sz w:val="24"/>
          <w:szCs w:val="24"/>
        </w:rPr>
        <w:t>Pierwszy etap</w:t>
      </w:r>
      <w:r w:rsidRPr="006D71C7">
        <w:rPr>
          <w:sz w:val="24"/>
          <w:szCs w:val="24"/>
        </w:rPr>
        <w:t xml:space="preserve"> - kontrole krzyżowe przeprowadzane są w trakcie weryfikacji każdego wniosku o płatność na podstawie danych zamieszczonych w WAP oraz na podstawie dokumentów księgowych poświadczających poniesione wydatki załączonych do wniosku o płatność. Identyfikacja Beneficjentów realizujących więcej niż jeden projekt dokonywana jest w oparciu o Numery Identyfikacji Podatkowej (NIP). Wskazany przez Zastępcę Dyrektora/</w:t>
      </w:r>
      <w:r w:rsidR="00BF71C1">
        <w:rPr>
          <w:sz w:val="24"/>
          <w:szCs w:val="24"/>
        </w:rPr>
        <w:t xml:space="preserve"> </w:t>
      </w:r>
      <w:r w:rsidRPr="006D71C7">
        <w:rPr>
          <w:sz w:val="24"/>
          <w:szCs w:val="24"/>
        </w:rPr>
        <w:t>Dyrektora IP2 RPO WSL pracownik, dokonuje eksportu danych z WAP. Kontrola krzyżowa obejmuje również weryfikację występowania na kopiach dokumentów księgowych adnotacji instytucji wdrażających PROW 07-13 lub PO RYBY 2007-2013 oraz inne poddziałania RPO WSL (np. „Przedstawiono do refundacji w ramach Programu Rozwoju Obszarów Wiejskich na lata 2007-2013”).</w:t>
      </w:r>
    </w:p>
    <w:p w:rsidR="009E2B28" w:rsidRPr="00BF71C1" w:rsidRDefault="009E2B28" w:rsidP="006D71C7">
      <w:pPr>
        <w:pStyle w:val="Tekstprzypisudolnego"/>
        <w:spacing w:before="120" w:after="240"/>
        <w:jc w:val="both"/>
        <w:rPr>
          <w:i/>
          <w:sz w:val="24"/>
          <w:szCs w:val="24"/>
        </w:rPr>
      </w:pPr>
      <w:r w:rsidRPr="00BF71C1">
        <w:rPr>
          <w:i/>
          <w:sz w:val="24"/>
          <w:szCs w:val="24"/>
        </w:rPr>
        <w:t>Drugi etap</w:t>
      </w:r>
    </w:p>
    <w:p w:rsidR="009E2B28" w:rsidRPr="006D71C7" w:rsidRDefault="009E2B28" w:rsidP="006D71C7">
      <w:pPr>
        <w:pStyle w:val="Tekstprzypisudolnego"/>
        <w:spacing w:after="0"/>
        <w:jc w:val="both"/>
        <w:rPr>
          <w:sz w:val="24"/>
          <w:szCs w:val="24"/>
        </w:rPr>
      </w:pPr>
      <w:r w:rsidRPr="006D71C7">
        <w:rPr>
          <w:sz w:val="24"/>
          <w:szCs w:val="24"/>
        </w:rPr>
        <w:t>W przypadku gdy:</w:t>
      </w:r>
    </w:p>
    <w:p w:rsidR="009E2B28" w:rsidRPr="006D71C7" w:rsidRDefault="009E2B28" w:rsidP="00BA2FE7">
      <w:pPr>
        <w:pStyle w:val="Tekstprzypisudolnego"/>
        <w:numPr>
          <w:ilvl w:val="0"/>
          <w:numId w:val="47"/>
        </w:numPr>
        <w:spacing w:after="0"/>
        <w:jc w:val="both"/>
        <w:rPr>
          <w:sz w:val="24"/>
          <w:szCs w:val="24"/>
        </w:rPr>
      </w:pPr>
      <w:r w:rsidRPr="006D71C7">
        <w:rPr>
          <w:sz w:val="24"/>
          <w:szCs w:val="24"/>
        </w:rPr>
        <w:t xml:space="preserve">na kopii dokumentu księgowego wystąpią zapisy, że dany wydatek został sfinansowany w ramach innego Poddziałania RPO WSL/PROW 07-13/PO RYBY 2007-2013, </w:t>
      </w:r>
    </w:p>
    <w:p w:rsidR="009E2B28" w:rsidRPr="006D71C7" w:rsidRDefault="009E2B28" w:rsidP="00BA2FE7">
      <w:pPr>
        <w:pStyle w:val="Tekstprzypisudolnego"/>
        <w:numPr>
          <w:ilvl w:val="0"/>
          <w:numId w:val="47"/>
        </w:numPr>
        <w:spacing w:after="0"/>
        <w:jc w:val="both"/>
        <w:rPr>
          <w:sz w:val="24"/>
          <w:szCs w:val="24"/>
        </w:rPr>
      </w:pPr>
      <w:r w:rsidRPr="006D71C7">
        <w:rPr>
          <w:sz w:val="24"/>
          <w:szCs w:val="24"/>
        </w:rPr>
        <w:t>po weryfikacji danych zamieszczonych w WAP stwierdzono ujęcie tego samego dokumentu księgowego w ramach co najmniej dwóch wniosków o płatność i jednocześnie brak wymaganych zapisów na kopiach dokumentów księgowych, które potwierdziłyby ten fakt, przeprowadza się kontrolę oryginałów dokumentów finansowo-księgowych przedkładanych przez Beneficjenta do rozliczenia lub kontrolę projektów na miejscu w trybie doraźnym.</w:t>
      </w:r>
    </w:p>
    <w:p w:rsidR="009E2B28" w:rsidRPr="006D71C7" w:rsidRDefault="009E2B28" w:rsidP="006D71C7">
      <w:pPr>
        <w:pStyle w:val="Tekstprzypisudolnego"/>
        <w:spacing w:before="120" w:after="240"/>
        <w:jc w:val="both"/>
        <w:rPr>
          <w:sz w:val="24"/>
          <w:szCs w:val="24"/>
        </w:rPr>
      </w:pPr>
      <w:r w:rsidRPr="006D71C7">
        <w:rPr>
          <w:sz w:val="24"/>
          <w:szCs w:val="24"/>
        </w:rPr>
        <w:t xml:space="preserve">Kontrola krzyżowa w ramach poddziałań RPO WSL wdrażanych przez IP2 RPO WSL </w:t>
      </w:r>
      <w:r w:rsidRPr="006D71C7">
        <w:rPr>
          <w:sz w:val="24"/>
          <w:szCs w:val="24"/>
        </w:rPr>
        <w:br/>
        <w:t>i PROW 07-13/PO RYBY 2007-2013 w przypadku kontroli na miejscu obejmuje weryfikację występowania na oryginałach faktur lub dokumentów o równoważnej wartości dowodowej adnotacji instytucji wdrażających PROW 07-13/PO RYBY 2007-2013 (np. „Przedstawiono do refundacji w ramach Programu Rozwoju Obszarów Wiejskich na lata 2007-2013”). Powyższa adnotacja potwierdza fakt przedłożenia faktury do refundacji w ramach PROW 07-13/PO RYBY 2007-2013, w związku z czym pracownik IP2 RPO WSL w ramach czynności kontrolnych ustala w ten sposób, czy wydatki zostały zrefundowane. Wydatek zrefundowany w ramach innego programu operacyjnego nie może być refundowany w ramach RPO WSL 2007-2013.</w:t>
      </w:r>
    </w:p>
    <w:p w:rsidR="009E2B28" w:rsidRPr="006D71C7" w:rsidRDefault="009E2B28" w:rsidP="006D71C7">
      <w:pPr>
        <w:pStyle w:val="Tekstprzypisudolnego"/>
        <w:spacing w:after="0"/>
        <w:jc w:val="both"/>
        <w:rPr>
          <w:sz w:val="24"/>
          <w:szCs w:val="24"/>
        </w:rPr>
      </w:pPr>
      <w:r w:rsidRPr="006D71C7">
        <w:rPr>
          <w:sz w:val="24"/>
          <w:szCs w:val="24"/>
        </w:rPr>
        <w:t xml:space="preserve">Przeprowadzone czynności kontrole są dokumentowane w liście sprawdzającej. Informacja </w:t>
      </w:r>
      <w:r w:rsidRPr="006D71C7">
        <w:rPr>
          <w:sz w:val="24"/>
          <w:szCs w:val="24"/>
        </w:rPr>
        <w:br/>
        <w:t>o przeprowadzonej przez IP2 RPO WSL kontroli krzyżowej, zawiera:</w:t>
      </w:r>
    </w:p>
    <w:p w:rsidR="009E2B28" w:rsidRPr="006D71C7" w:rsidRDefault="009E2B28" w:rsidP="00BA2FE7">
      <w:pPr>
        <w:pStyle w:val="Tekstprzypisudolnego"/>
        <w:numPr>
          <w:ilvl w:val="0"/>
          <w:numId w:val="48"/>
        </w:numPr>
        <w:spacing w:after="0"/>
        <w:jc w:val="both"/>
        <w:rPr>
          <w:sz w:val="24"/>
          <w:szCs w:val="24"/>
        </w:rPr>
      </w:pPr>
      <w:r w:rsidRPr="006D71C7">
        <w:rPr>
          <w:sz w:val="24"/>
          <w:szCs w:val="24"/>
        </w:rPr>
        <w:t xml:space="preserve">NIP skontrolowanego beneficjenta, </w:t>
      </w:r>
    </w:p>
    <w:p w:rsidR="009E2B28" w:rsidRPr="006D71C7" w:rsidRDefault="009E2B28" w:rsidP="00BA2FE7">
      <w:pPr>
        <w:pStyle w:val="Tekstprzypisudolnego"/>
        <w:numPr>
          <w:ilvl w:val="0"/>
          <w:numId w:val="48"/>
        </w:numPr>
        <w:spacing w:after="0"/>
        <w:jc w:val="both"/>
        <w:rPr>
          <w:sz w:val="24"/>
          <w:szCs w:val="24"/>
        </w:rPr>
      </w:pPr>
      <w:r w:rsidRPr="006D71C7">
        <w:rPr>
          <w:sz w:val="24"/>
          <w:szCs w:val="24"/>
        </w:rPr>
        <w:t>nr umów, w ramach których przedłożono wnioski o płatność wraz z dokumentami finansowo-księgowymi podlegającymi weryfikacji,</w:t>
      </w:r>
    </w:p>
    <w:p w:rsidR="009E2B28" w:rsidRPr="006D71C7" w:rsidRDefault="009E2B28" w:rsidP="00BA2FE7">
      <w:pPr>
        <w:pStyle w:val="Tekstprzypisudolnego"/>
        <w:numPr>
          <w:ilvl w:val="0"/>
          <w:numId w:val="48"/>
        </w:numPr>
        <w:spacing w:after="0"/>
        <w:jc w:val="both"/>
        <w:rPr>
          <w:sz w:val="24"/>
          <w:szCs w:val="24"/>
        </w:rPr>
      </w:pPr>
      <w:r w:rsidRPr="006D71C7">
        <w:rPr>
          <w:sz w:val="24"/>
          <w:szCs w:val="24"/>
        </w:rPr>
        <w:t>rodzaj przeprowadzonej kontroli krzyżowej,</w:t>
      </w:r>
    </w:p>
    <w:p w:rsidR="009E2B28" w:rsidRPr="006D71C7" w:rsidRDefault="009E2B28" w:rsidP="00BA2FE7">
      <w:pPr>
        <w:pStyle w:val="Tekstprzypisudolnego"/>
        <w:numPr>
          <w:ilvl w:val="0"/>
          <w:numId w:val="48"/>
        </w:numPr>
        <w:spacing w:after="0"/>
        <w:jc w:val="both"/>
        <w:rPr>
          <w:sz w:val="24"/>
          <w:szCs w:val="24"/>
        </w:rPr>
      </w:pPr>
      <w:r w:rsidRPr="006D71C7">
        <w:rPr>
          <w:sz w:val="24"/>
          <w:szCs w:val="24"/>
        </w:rPr>
        <w:t>datę przeprowadzenia kontroli,</w:t>
      </w:r>
    </w:p>
    <w:p w:rsidR="009E2B28" w:rsidRPr="006D71C7" w:rsidRDefault="009E2B28" w:rsidP="00BA2FE7">
      <w:pPr>
        <w:pStyle w:val="Tekstprzypisudolnego"/>
        <w:numPr>
          <w:ilvl w:val="0"/>
          <w:numId w:val="48"/>
        </w:numPr>
        <w:spacing w:after="0"/>
        <w:jc w:val="both"/>
        <w:rPr>
          <w:sz w:val="24"/>
          <w:szCs w:val="24"/>
        </w:rPr>
      </w:pPr>
      <w:r w:rsidRPr="006D71C7">
        <w:rPr>
          <w:sz w:val="24"/>
          <w:szCs w:val="24"/>
        </w:rPr>
        <w:t xml:space="preserve"> nazwę instytucji przeprowadzającej kontrolę oraz </w:t>
      </w:r>
    </w:p>
    <w:p w:rsidR="009E2B28" w:rsidRPr="006D71C7" w:rsidRDefault="009E2B28" w:rsidP="00BA2FE7">
      <w:pPr>
        <w:pStyle w:val="Tekstprzypisudolnego"/>
        <w:numPr>
          <w:ilvl w:val="0"/>
          <w:numId w:val="48"/>
        </w:numPr>
        <w:spacing w:after="0"/>
        <w:jc w:val="both"/>
        <w:rPr>
          <w:sz w:val="24"/>
          <w:szCs w:val="24"/>
        </w:rPr>
      </w:pPr>
      <w:r w:rsidRPr="006D71C7">
        <w:rPr>
          <w:sz w:val="24"/>
          <w:szCs w:val="24"/>
        </w:rPr>
        <w:t>wynik kontroli (w tym informację o środkach następczych w odniesieniu do wykrytych nieprawidłowości).</w:t>
      </w:r>
    </w:p>
    <w:p w:rsidR="009E2B28" w:rsidRPr="006D71C7" w:rsidRDefault="009E2B28" w:rsidP="006D71C7">
      <w:pPr>
        <w:pStyle w:val="Tekstprzypisudolnego"/>
        <w:spacing w:before="120" w:after="240"/>
        <w:jc w:val="both"/>
        <w:rPr>
          <w:sz w:val="24"/>
          <w:szCs w:val="24"/>
        </w:rPr>
      </w:pPr>
      <w:r w:rsidRPr="006D71C7">
        <w:rPr>
          <w:sz w:val="24"/>
          <w:szCs w:val="24"/>
        </w:rPr>
        <w:t>Informację o przeprowadzeniu kontroli zamieszcza się do końca kwartału, w którym przeprowadzana jest kontrola, w KSI (SIMIK 07-13).</w:t>
      </w:r>
    </w:p>
    <w:p w:rsidR="009E2B28" w:rsidRPr="006D71C7" w:rsidRDefault="009E2B28" w:rsidP="006D71C7">
      <w:pPr>
        <w:pStyle w:val="Tekstprzypisudolnego"/>
        <w:spacing w:before="120" w:after="240"/>
        <w:jc w:val="both"/>
        <w:rPr>
          <w:sz w:val="24"/>
          <w:szCs w:val="24"/>
        </w:rPr>
      </w:pPr>
      <w:r w:rsidRPr="006D71C7">
        <w:rPr>
          <w:sz w:val="24"/>
          <w:szCs w:val="24"/>
        </w:rPr>
        <w:t xml:space="preserve">W przypadku wykrycia i stwierdzenia nieprawidłowości w wyniku przeprowadzonej kontroli krzyżowej projektu klasyfikacja, informowanie oraz raportowanie o wykrytej nieprawidłowości, następuje zgodnie z zasadami określonymi w Procedurze informowania KE o nieprawidłowościach w wykorzystaniu funduszy strukturalnych i Funduszu Spójności </w:t>
      </w:r>
      <w:r w:rsidRPr="006D71C7">
        <w:rPr>
          <w:sz w:val="24"/>
          <w:szCs w:val="24"/>
        </w:rPr>
        <w:br/>
        <w:t>w latach 2007-2013 oraz w oparciu o procedury zawarte w rozdziale 12 Podręcznika.</w:t>
      </w:r>
    </w:p>
    <w:p w:rsidR="009E2B28" w:rsidRPr="006D71C7" w:rsidRDefault="009E2B28" w:rsidP="006D71C7">
      <w:pPr>
        <w:pStyle w:val="Tekstprzypisudolnego"/>
        <w:spacing w:before="120" w:after="240"/>
        <w:jc w:val="both"/>
        <w:rPr>
          <w:sz w:val="24"/>
          <w:szCs w:val="24"/>
        </w:rPr>
      </w:pPr>
      <w:r w:rsidRPr="006D71C7">
        <w:rPr>
          <w:sz w:val="24"/>
          <w:szCs w:val="24"/>
        </w:rPr>
        <w:t xml:space="preserve">W wyniku kontroli krzyżowej w ramach RPO WSL dot. beneficjentów poddziałań wdrażanych przez IP2 RPO WSL przeprowadzanej w ramach weryfikacji każdego wniosku </w:t>
      </w:r>
      <w:r w:rsidRPr="006D71C7">
        <w:rPr>
          <w:sz w:val="24"/>
          <w:szCs w:val="24"/>
        </w:rPr>
        <w:br/>
        <w:t>o płatność nie stwierdzono nieprawidłowości polegających na podwójnym finansowaniu wydatku. Nie przeprowadzono żadnej kontroli krzyżowej w miejscu realizacji projektu.</w:t>
      </w:r>
    </w:p>
    <w:p w:rsidR="0005410E" w:rsidRPr="006D71C7" w:rsidRDefault="00E44009" w:rsidP="00BA2FE7">
      <w:pPr>
        <w:pStyle w:val="Nagwek1"/>
        <w:numPr>
          <w:ilvl w:val="1"/>
          <w:numId w:val="36"/>
        </w:numPr>
        <w:tabs>
          <w:tab w:val="left" w:pos="1560"/>
        </w:tabs>
        <w:spacing w:after="120"/>
        <w:jc w:val="both"/>
        <w:rPr>
          <w:bCs w:val="0"/>
          <w:szCs w:val="24"/>
        </w:rPr>
      </w:pPr>
      <w:bookmarkStart w:id="260" w:name="_Toc327259240"/>
      <w:r w:rsidRPr="006D71C7">
        <w:rPr>
          <w:bCs w:val="0"/>
          <w:szCs w:val="24"/>
        </w:rPr>
        <w:t>MONITOROWANIE I OCENA</w:t>
      </w:r>
      <w:bookmarkEnd w:id="258"/>
      <w:bookmarkEnd w:id="259"/>
      <w:bookmarkEnd w:id="260"/>
    </w:p>
    <w:p w:rsidR="0005410E" w:rsidRPr="006D71C7" w:rsidRDefault="0005410E" w:rsidP="006D71C7">
      <w:pPr>
        <w:widowControl w:val="0"/>
        <w:autoSpaceDE w:val="0"/>
        <w:autoSpaceDN w:val="0"/>
        <w:adjustRightInd w:val="0"/>
        <w:spacing w:after="120"/>
        <w:jc w:val="both"/>
        <w:rPr>
          <w:szCs w:val="24"/>
        </w:rPr>
      </w:pPr>
      <w:r w:rsidRPr="006D71C7">
        <w:rPr>
          <w:szCs w:val="24"/>
        </w:rPr>
        <w:t xml:space="preserve">Proces monitorowania jest prowadzony przez wszystkie instytucje uczestniczące we wdrażaniu i zarządzaniu RPO WSL. Na poziomie regionalnym w proces ten włączeni są beneficjenci, IP2 RPO WSL, IZ RPO WSL oraz Komitet Monitorujący RPO WSL. </w:t>
      </w:r>
    </w:p>
    <w:p w:rsidR="0005410E" w:rsidRPr="006D71C7" w:rsidRDefault="00041B94" w:rsidP="006D71C7">
      <w:pPr>
        <w:widowControl w:val="0"/>
        <w:autoSpaceDE w:val="0"/>
        <w:autoSpaceDN w:val="0"/>
        <w:adjustRightInd w:val="0"/>
        <w:spacing w:before="11" w:after="120"/>
        <w:jc w:val="both"/>
        <w:rPr>
          <w:szCs w:val="24"/>
        </w:rPr>
      </w:pPr>
      <w:r w:rsidRPr="006D71C7">
        <w:rPr>
          <w:szCs w:val="24"/>
        </w:rPr>
        <w:t xml:space="preserve">W związku ze zmianą </w:t>
      </w:r>
      <w:r w:rsidRPr="006D71C7">
        <w:rPr>
          <w:i/>
          <w:szCs w:val="24"/>
        </w:rPr>
        <w:t>Wytycznych MRR w zakresie sprawozdawczości</w:t>
      </w:r>
      <w:r w:rsidRPr="006D71C7">
        <w:rPr>
          <w:szCs w:val="24"/>
        </w:rPr>
        <w:t xml:space="preserve"> zmianie uległa częstotliwość i zakres przekazywanych bieżących informacji dot. wdrażania </w:t>
      </w:r>
      <w:r w:rsidRPr="006D71C7">
        <w:rPr>
          <w:i/>
          <w:szCs w:val="24"/>
        </w:rPr>
        <w:t>Programu.</w:t>
      </w:r>
      <w:r w:rsidRPr="006D71C7">
        <w:rPr>
          <w:szCs w:val="24"/>
        </w:rPr>
        <w:t xml:space="preserve"> MRR zrezygnowało z informacji miesięcznej na rzecz informacji kwartalnej. Bez zmian sporządzane </w:t>
      </w:r>
      <w:r w:rsidR="0005410E" w:rsidRPr="006D71C7">
        <w:rPr>
          <w:szCs w:val="24"/>
        </w:rPr>
        <w:t xml:space="preserve">są sprawozdania okresowe (półroczne), roczne oraz na zakończenie realizacji </w:t>
      </w:r>
      <w:r w:rsidR="0005410E" w:rsidRPr="006D71C7">
        <w:rPr>
          <w:i/>
          <w:szCs w:val="24"/>
        </w:rPr>
        <w:t>Programu.</w:t>
      </w:r>
      <w:r w:rsidR="0005410E" w:rsidRPr="006D71C7">
        <w:rPr>
          <w:szCs w:val="24"/>
        </w:rPr>
        <w:t xml:space="preserve"> </w:t>
      </w:r>
    </w:p>
    <w:p w:rsidR="0005410E" w:rsidRPr="006D71C7" w:rsidRDefault="0005410E" w:rsidP="006D71C7">
      <w:pPr>
        <w:widowControl w:val="0"/>
        <w:autoSpaceDE w:val="0"/>
        <w:autoSpaceDN w:val="0"/>
        <w:adjustRightInd w:val="0"/>
        <w:spacing w:after="120"/>
        <w:jc w:val="both"/>
        <w:rPr>
          <w:szCs w:val="24"/>
        </w:rPr>
      </w:pPr>
      <w:r w:rsidRPr="006D71C7">
        <w:rPr>
          <w:szCs w:val="24"/>
        </w:rPr>
        <w:t xml:space="preserve">Beneficjent monitoruje i sprawozdaje realizację projektu od dnia zawarcia umowy o dofinansowanie. Funkcje sprawozdania spełnia wniosek o płatność w części sprawozdawczej dot. postępu finansowego i rzeczowego, który składany jest zgodnie z harmonogramem płatności. </w:t>
      </w:r>
    </w:p>
    <w:p w:rsidR="0005410E" w:rsidRPr="006D71C7" w:rsidRDefault="006134E3" w:rsidP="006D71C7">
      <w:pPr>
        <w:widowControl w:val="0"/>
        <w:autoSpaceDE w:val="0"/>
        <w:autoSpaceDN w:val="0"/>
        <w:adjustRightInd w:val="0"/>
        <w:spacing w:before="11" w:after="120"/>
        <w:jc w:val="both"/>
        <w:rPr>
          <w:szCs w:val="24"/>
        </w:rPr>
      </w:pPr>
      <w:r w:rsidRPr="006D71C7">
        <w:rPr>
          <w:szCs w:val="24"/>
        </w:rPr>
        <w:t>W związku z realizacją w regionie PRS, istnieje oddzielny system sprawozdawczości i </w:t>
      </w:r>
      <w:r w:rsidR="0005410E" w:rsidRPr="006D71C7">
        <w:rPr>
          <w:szCs w:val="24"/>
        </w:rPr>
        <w:t xml:space="preserve">monitoringu </w:t>
      </w:r>
      <w:r w:rsidR="0005410E" w:rsidRPr="006D71C7">
        <w:rPr>
          <w:i/>
          <w:szCs w:val="24"/>
        </w:rPr>
        <w:t>Programów</w:t>
      </w:r>
      <w:r w:rsidRPr="006D71C7">
        <w:rPr>
          <w:szCs w:val="24"/>
        </w:rPr>
        <w:t>, który</w:t>
      </w:r>
      <w:r w:rsidR="0005410E" w:rsidRPr="006D71C7">
        <w:rPr>
          <w:szCs w:val="24"/>
        </w:rPr>
        <w:t xml:space="preserve"> z</w:t>
      </w:r>
      <w:r w:rsidRPr="006D71C7">
        <w:rPr>
          <w:szCs w:val="24"/>
        </w:rPr>
        <w:t>akłada przygotowanie rocznych i </w:t>
      </w:r>
      <w:r w:rsidR="0005410E" w:rsidRPr="006D71C7">
        <w:rPr>
          <w:szCs w:val="24"/>
        </w:rPr>
        <w:t>końco</w:t>
      </w:r>
      <w:r w:rsidRPr="006D71C7">
        <w:rPr>
          <w:szCs w:val="24"/>
        </w:rPr>
        <w:t>wych sprawozdań z </w:t>
      </w:r>
      <w:r w:rsidR="0005410E" w:rsidRPr="006D71C7">
        <w:rPr>
          <w:szCs w:val="24"/>
        </w:rPr>
        <w:t>realizacji projektów realizowanych w ramach poszczególnych PRS.</w:t>
      </w:r>
    </w:p>
    <w:p w:rsidR="0005410E" w:rsidRPr="006D71C7" w:rsidRDefault="0005410E" w:rsidP="006D71C7">
      <w:pPr>
        <w:widowControl w:val="0"/>
        <w:autoSpaceDE w:val="0"/>
        <w:autoSpaceDN w:val="0"/>
        <w:adjustRightInd w:val="0"/>
        <w:spacing w:before="11"/>
        <w:jc w:val="both"/>
        <w:rPr>
          <w:szCs w:val="24"/>
        </w:rPr>
      </w:pPr>
      <w:r w:rsidRPr="006D71C7">
        <w:rPr>
          <w:szCs w:val="24"/>
        </w:rPr>
        <w:t>System monitorowania wspierany jest poprzez KSI (SIMIK 07-13) oraz LSI. Głównym zadaniem LSI jest obsługa cyklu życia projektów</w:t>
      </w:r>
      <w:r w:rsidR="006479AF" w:rsidRPr="006D71C7">
        <w:rPr>
          <w:szCs w:val="24"/>
        </w:rPr>
        <w:t>: od momentu złożenia wniosku o </w:t>
      </w:r>
      <w:r w:rsidRPr="006D71C7">
        <w:rPr>
          <w:szCs w:val="24"/>
        </w:rPr>
        <w:t xml:space="preserve">dofinansowanie przez beneficjenta, aż do zakończenia jego rzeczowej i finansowej realizacji. </w:t>
      </w:r>
    </w:p>
    <w:p w:rsidR="0005410E" w:rsidRPr="006D71C7" w:rsidRDefault="0005410E" w:rsidP="006D71C7">
      <w:pPr>
        <w:widowControl w:val="0"/>
        <w:autoSpaceDE w:val="0"/>
        <w:autoSpaceDN w:val="0"/>
        <w:adjustRightInd w:val="0"/>
        <w:spacing w:after="0"/>
        <w:ind w:right="-20"/>
        <w:jc w:val="both"/>
        <w:rPr>
          <w:szCs w:val="24"/>
        </w:rPr>
      </w:pPr>
      <w:r w:rsidRPr="006D71C7">
        <w:rPr>
          <w:szCs w:val="24"/>
        </w:rPr>
        <w:t xml:space="preserve">W IZ RPO WSL jednostką odpowiedzialną za monitorowanie i sprawozdawczość </w:t>
      </w:r>
      <w:r w:rsidR="00041B94" w:rsidRPr="006D71C7">
        <w:rPr>
          <w:szCs w:val="24"/>
        </w:rPr>
        <w:t xml:space="preserve">z realizacji </w:t>
      </w:r>
      <w:r w:rsidR="00041B94" w:rsidRPr="006D71C7">
        <w:rPr>
          <w:i/>
          <w:szCs w:val="24"/>
        </w:rPr>
        <w:t>Programu</w:t>
      </w:r>
      <w:r w:rsidR="00041B94" w:rsidRPr="006D71C7">
        <w:rPr>
          <w:szCs w:val="24"/>
        </w:rPr>
        <w:t xml:space="preserve"> </w:t>
      </w:r>
      <w:r w:rsidRPr="006D71C7">
        <w:rPr>
          <w:szCs w:val="24"/>
        </w:rPr>
        <w:t>jes</w:t>
      </w:r>
      <w:r w:rsidR="002403ED" w:rsidRPr="006D71C7">
        <w:rPr>
          <w:szCs w:val="24"/>
        </w:rPr>
        <w:t>t Wydział Rozwoju Regionalnego</w:t>
      </w:r>
      <w:r w:rsidR="00041B94" w:rsidRPr="006D71C7">
        <w:rPr>
          <w:szCs w:val="24"/>
        </w:rPr>
        <w:t>,</w:t>
      </w:r>
      <w:r w:rsidR="002403ED" w:rsidRPr="006D71C7">
        <w:rPr>
          <w:szCs w:val="24"/>
        </w:rPr>
        <w:t xml:space="preserve"> R</w:t>
      </w:r>
      <w:r w:rsidRPr="006D71C7">
        <w:rPr>
          <w:szCs w:val="24"/>
        </w:rPr>
        <w:t>eferat ds. monitoringu i kontroli</w:t>
      </w:r>
      <w:r w:rsidR="00CF067A" w:rsidRPr="006D71C7">
        <w:rPr>
          <w:szCs w:val="24"/>
        </w:rPr>
        <w:t xml:space="preserve"> programu</w:t>
      </w:r>
      <w:r w:rsidRPr="006D71C7">
        <w:rPr>
          <w:szCs w:val="24"/>
        </w:rPr>
        <w:t>.</w:t>
      </w:r>
    </w:p>
    <w:p w:rsidR="009A0BE4" w:rsidRPr="006D71C7" w:rsidRDefault="009A0BE4" w:rsidP="006D71C7">
      <w:pPr>
        <w:widowControl w:val="0"/>
        <w:autoSpaceDE w:val="0"/>
        <w:autoSpaceDN w:val="0"/>
        <w:adjustRightInd w:val="0"/>
        <w:spacing w:after="0"/>
        <w:ind w:right="-20"/>
        <w:jc w:val="both"/>
        <w:rPr>
          <w:szCs w:val="24"/>
        </w:rPr>
      </w:pPr>
    </w:p>
    <w:p w:rsidR="00081212" w:rsidRPr="006D71C7" w:rsidRDefault="009A0BE4" w:rsidP="004B131A">
      <w:pPr>
        <w:widowControl w:val="0"/>
        <w:autoSpaceDE w:val="0"/>
        <w:autoSpaceDN w:val="0"/>
        <w:adjustRightInd w:val="0"/>
        <w:spacing w:after="120"/>
        <w:ind w:right="-23"/>
        <w:jc w:val="both"/>
        <w:rPr>
          <w:szCs w:val="24"/>
        </w:rPr>
      </w:pPr>
      <w:r w:rsidRPr="006D71C7">
        <w:rPr>
          <w:szCs w:val="24"/>
        </w:rPr>
        <w:t xml:space="preserve">W okresie sprawozdawczym nie wystąpiły problemy </w:t>
      </w:r>
      <w:r w:rsidR="00E85DEA" w:rsidRPr="006D71C7">
        <w:rPr>
          <w:szCs w:val="24"/>
        </w:rPr>
        <w:t>w zakresie monitorowania i sprawozdawczości.</w:t>
      </w:r>
    </w:p>
    <w:p w:rsidR="00C43B75" w:rsidRDefault="00CD54EB" w:rsidP="00C43B75">
      <w:pPr>
        <w:widowControl w:val="0"/>
        <w:autoSpaceDE w:val="0"/>
        <w:autoSpaceDN w:val="0"/>
        <w:adjustRightInd w:val="0"/>
        <w:spacing w:after="120"/>
        <w:ind w:right="-23"/>
        <w:jc w:val="both"/>
        <w:rPr>
          <w:b/>
          <w:i/>
          <w:szCs w:val="24"/>
        </w:rPr>
      </w:pPr>
      <w:r w:rsidRPr="006D71C7">
        <w:rPr>
          <w:b/>
          <w:i/>
          <w:szCs w:val="24"/>
        </w:rPr>
        <w:t>Komitet Monitorujący</w:t>
      </w:r>
    </w:p>
    <w:p w:rsidR="000A49E4" w:rsidRPr="006D71C7" w:rsidRDefault="000A49E4" w:rsidP="006D71C7">
      <w:pPr>
        <w:widowControl w:val="0"/>
        <w:autoSpaceDE w:val="0"/>
        <w:autoSpaceDN w:val="0"/>
        <w:adjustRightInd w:val="0"/>
        <w:spacing w:before="11" w:after="120"/>
        <w:jc w:val="both"/>
        <w:rPr>
          <w:szCs w:val="24"/>
        </w:rPr>
      </w:pPr>
      <w:r w:rsidRPr="006D71C7">
        <w:rPr>
          <w:i/>
          <w:szCs w:val="24"/>
        </w:rPr>
        <w:t>Komitet Monitorujący Regionalny Program Operacyjny Województwa Śląskiego na lata 2007-2013</w:t>
      </w:r>
      <w:r w:rsidRPr="006D71C7">
        <w:rPr>
          <w:szCs w:val="24"/>
        </w:rPr>
        <w:t xml:space="preserve"> został powołany uchwałą Zarządu Województwa w dniu 10 października 2007 roku zgodnie z art. 63-65 Rozporządzenia Komisji (WE) nr 1083/2006 przy zachowaniu zasady partnerstwa. W okresie sprawozdawczym odbyły się cztery (4)  posiedzenia KM RPO WSL. Szczegółowe informacje dotyczące poszczególnych posiedzeń KM RPO WSL zostały przedstawione w poniższej tabeli.</w:t>
      </w:r>
    </w:p>
    <w:p w:rsidR="001915C3" w:rsidRPr="006D71C7" w:rsidRDefault="007338BD" w:rsidP="006D71C7">
      <w:pPr>
        <w:pStyle w:val="Legenda"/>
        <w:jc w:val="both"/>
        <w:rPr>
          <w:b w:val="0"/>
          <w:i/>
          <w:color w:val="auto"/>
          <w:sz w:val="20"/>
          <w:szCs w:val="20"/>
        </w:rPr>
      </w:pPr>
      <w:bookmarkStart w:id="261" w:name="_Toc324853707"/>
      <w:bookmarkStart w:id="262" w:name="_Toc326046365"/>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13</w:t>
      </w:r>
      <w:r w:rsidR="008F7228" w:rsidRPr="006D71C7">
        <w:rPr>
          <w:color w:val="auto"/>
          <w:sz w:val="20"/>
          <w:szCs w:val="20"/>
        </w:rPr>
        <w:fldChar w:fldCharType="end"/>
      </w:r>
      <w:r w:rsidR="00EA299C" w:rsidRPr="006D71C7">
        <w:rPr>
          <w:color w:val="auto"/>
        </w:rPr>
        <w:t xml:space="preserve"> </w:t>
      </w:r>
      <w:r w:rsidR="000A49E4" w:rsidRPr="006D71C7">
        <w:rPr>
          <w:b w:val="0"/>
          <w:i/>
          <w:color w:val="auto"/>
          <w:sz w:val="20"/>
          <w:szCs w:val="20"/>
        </w:rPr>
        <w:t>Harmonogram posiedzeń Komitetu Monitorującego RPO WSL w 2011r.</w:t>
      </w:r>
      <w:bookmarkEnd w:id="261"/>
      <w:bookmarkEnd w:id="262"/>
    </w:p>
    <w:tbl>
      <w:tblPr>
        <w:tblStyle w:val="redniasiatka3akcent1"/>
        <w:tblW w:w="0" w:type="auto"/>
        <w:jc w:val="center"/>
        <w:tblLook w:val="04A0" w:firstRow="1" w:lastRow="0" w:firstColumn="1" w:lastColumn="0" w:noHBand="0" w:noVBand="1"/>
      </w:tblPr>
      <w:tblGrid>
        <w:gridCol w:w="2093"/>
        <w:gridCol w:w="3342"/>
        <w:gridCol w:w="3851"/>
      </w:tblGrid>
      <w:tr w:rsidR="000A49E4" w:rsidRPr="009A33F9" w:rsidTr="009A33F9">
        <w:trPr>
          <w:cnfStyle w:val="100000000000" w:firstRow="1" w:lastRow="0" w:firstColumn="0" w:lastColumn="0" w:oddVBand="0" w:evenVBand="0" w:oddHBand="0" w:evenHBand="0" w:firstRowFirstColumn="0" w:firstRowLastColumn="0" w:lastRowFirstColumn="0" w:lastRowLastColumn="0"/>
          <w:trHeight w:val="123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F4B29B" w:themeFill="accent1" w:themeFillTint="66"/>
            <w:vAlign w:val="center"/>
          </w:tcPr>
          <w:p w:rsidR="00C43B75" w:rsidRDefault="00C43B75" w:rsidP="00C43B75">
            <w:pPr>
              <w:widowControl w:val="0"/>
              <w:autoSpaceDE w:val="0"/>
              <w:autoSpaceDN w:val="0"/>
              <w:adjustRightInd w:val="0"/>
              <w:jc w:val="center"/>
              <w:rPr>
                <w:color w:val="auto"/>
              </w:rPr>
            </w:pPr>
          </w:p>
          <w:p w:rsidR="00C43B75" w:rsidRPr="00C43B75" w:rsidRDefault="00C43B75" w:rsidP="00C43B75">
            <w:pPr>
              <w:widowControl w:val="0"/>
              <w:autoSpaceDE w:val="0"/>
              <w:autoSpaceDN w:val="0"/>
              <w:adjustRightInd w:val="0"/>
              <w:jc w:val="center"/>
              <w:rPr>
                <w:color w:val="auto"/>
                <w:sz w:val="20"/>
                <w:szCs w:val="20"/>
              </w:rPr>
            </w:pPr>
            <w:r w:rsidRPr="00C43B75">
              <w:rPr>
                <w:color w:val="auto"/>
                <w:sz w:val="20"/>
                <w:szCs w:val="20"/>
              </w:rPr>
              <w:t>Posiedzenie                     KM RPO WSL</w:t>
            </w:r>
          </w:p>
        </w:tc>
        <w:tc>
          <w:tcPr>
            <w:tcW w:w="3342" w:type="dxa"/>
            <w:shd w:val="clear" w:color="auto" w:fill="F4B29B" w:themeFill="accent1" w:themeFillTint="66"/>
            <w:vAlign w:val="center"/>
          </w:tcPr>
          <w:p w:rsidR="00C43B75" w:rsidRPr="00C43B75" w:rsidRDefault="00C43B75" w:rsidP="00C43B75">
            <w:pPr>
              <w:widowControl w:val="0"/>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Zagadnienia / ważne decyzje podjęte przez KM RPO WSL</w:t>
            </w:r>
          </w:p>
        </w:tc>
        <w:tc>
          <w:tcPr>
            <w:tcW w:w="3851" w:type="dxa"/>
            <w:shd w:val="clear" w:color="auto" w:fill="F4B29B" w:themeFill="accent1" w:themeFillTint="66"/>
            <w:vAlign w:val="center"/>
          </w:tcPr>
          <w:p w:rsidR="00C43B75" w:rsidRPr="00C43B75" w:rsidRDefault="00C43B75" w:rsidP="00C43B75">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Uzasadnienie najważniejszych decyzji podjętych przez KM RPO WSL</w:t>
            </w:r>
          </w:p>
        </w:tc>
      </w:tr>
      <w:tr w:rsidR="000A49E4" w:rsidRPr="009A33F9" w:rsidTr="009A3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24" w:space="0" w:color="FFFFFF" w:themeColor="background1"/>
            </w:tcBorders>
            <w:shd w:val="clear" w:color="auto" w:fill="F4B29B" w:themeFill="accent1" w:themeFillTint="66"/>
            <w:vAlign w:val="center"/>
          </w:tcPr>
          <w:p w:rsidR="00C43B75" w:rsidRPr="00C43B75" w:rsidRDefault="00C43B75" w:rsidP="00C43B75">
            <w:pPr>
              <w:widowControl w:val="0"/>
              <w:autoSpaceDE w:val="0"/>
              <w:autoSpaceDN w:val="0"/>
              <w:adjustRightInd w:val="0"/>
              <w:jc w:val="center"/>
              <w:rPr>
                <w:color w:val="auto"/>
                <w:sz w:val="20"/>
                <w:szCs w:val="20"/>
              </w:rPr>
            </w:pPr>
            <w:r w:rsidRPr="00C43B75">
              <w:rPr>
                <w:color w:val="auto"/>
                <w:sz w:val="20"/>
                <w:szCs w:val="20"/>
              </w:rPr>
              <w:t>XIII KM RPO WSL (21 lutego 2011r).</w:t>
            </w:r>
          </w:p>
        </w:tc>
        <w:tc>
          <w:tcPr>
            <w:tcW w:w="3342" w:type="dxa"/>
            <w:tcBorders>
              <w:top w:val="single" w:sz="24" w:space="0" w:color="FFFFFF" w:themeColor="background1"/>
            </w:tcBorders>
            <w:shd w:val="clear" w:color="auto" w:fill="F9D8CD" w:themeFill="accent1" w:themeFillTint="33"/>
            <w:vAlign w:val="center"/>
          </w:tcPr>
          <w:p w:rsidR="008471C7" w:rsidRPr="009A33F9" w:rsidRDefault="00C43B75" w:rsidP="00BA2FE7">
            <w:pPr>
              <w:numPr>
                <w:ilvl w:val="0"/>
                <w:numId w:val="66"/>
              </w:num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Przyjęcie zmian kryteriów wyboru projektów dla konkursów organizowanych przez Śląskie Centrum Przedsiębiorczości.</w:t>
            </w:r>
          </w:p>
          <w:p w:rsidR="000A49E4" w:rsidRPr="009A33F9" w:rsidRDefault="00C43B75" w:rsidP="00BA2FE7">
            <w:pPr>
              <w:numPr>
                <w:ilvl w:val="0"/>
                <w:numId w:val="66"/>
              </w:num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Zapoznanie się członków KM z analizą wsparcia udzielonego mikro, małym i średnim przedsiębiorstwom, z aktualnym stanem wdrażania RPO WSL oraz partnerstwem społeczno-gospodarczym w ramach KM RPO WSL.</w:t>
            </w:r>
          </w:p>
          <w:p w:rsidR="000A49E4" w:rsidRPr="009A33F9" w:rsidRDefault="000A49E4" w:rsidP="006D71C7">
            <w:pPr>
              <w:spacing w:before="100" w:beforeAutospacing="1" w:after="100" w:afterAutospacing="1" w:line="240" w:lineRule="auto"/>
              <w:ind w:left="360"/>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3851" w:type="dxa"/>
            <w:tcBorders>
              <w:top w:val="single" w:sz="24" w:space="0" w:color="FFFFFF" w:themeColor="background1"/>
            </w:tcBorders>
            <w:shd w:val="clear" w:color="auto" w:fill="F9D8CD" w:themeFill="accent1" w:themeFillTint="33"/>
            <w:vAlign w:val="center"/>
          </w:tcPr>
          <w:p w:rsidR="000A49E4" w:rsidRPr="009A33F9" w:rsidRDefault="00C43B75" w:rsidP="006D71C7">
            <w:pPr>
              <w:pStyle w:val="Tekstpodstawowy"/>
              <w:spacing w:before="120"/>
              <w:ind w:left="96"/>
              <w:jc w:val="both"/>
              <w:cnfStyle w:val="000000100000" w:firstRow="0" w:lastRow="0" w:firstColumn="0" w:lastColumn="0" w:oddVBand="0" w:evenVBand="0" w:oddHBand="1" w:evenHBand="0" w:firstRowFirstColumn="0" w:firstRowLastColumn="0" w:lastRowFirstColumn="0" w:lastRowLastColumn="0"/>
            </w:pPr>
            <w:r w:rsidRPr="00C43B75">
              <w:t>Kryteria wyboru projektów zostały  zmienione w wyniku aktualizacji przepisów prawnych (Rozporządzenia MRR w sprawie udzielania regionalnej pomocy inwestycyjnej w ramach regionalnych programów operacyjnych, Rozporządzenia MRR w sprawie  udzielania pomocy na usługi doradcze dla mikroprzedsiębiorców oraz małych i średnich przedsiębiorców w ramach  regionalnych programów operacyjnych oraz Rozporządzenia MRR w sprawie udzielania pomocy de minimis w ramach regionalnych programów operacyjnych).</w:t>
            </w:r>
            <w:r w:rsidRPr="00C43B75">
              <w:rPr>
                <w:rFonts w:ascii="Verdana" w:hAnsi="Verdana"/>
              </w:rPr>
              <w:t xml:space="preserve"> </w:t>
            </w:r>
          </w:p>
        </w:tc>
      </w:tr>
      <w:tr w:rsidR="000A49E4" w:rsidRPr="009A33F9" w:rsidTr="009A33F9">
        <w:trPr>
          <w:trHeight w:val="5651"/>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F4B29B" w:themeFill="accent1" w:themeFillTint="66"/>
            <w:vAlign w:val="center"/>
          </w:tcPr>
          <w:p w:rsidR="00C43B75" w:rsidRPr="00C43B75" w:rsidRDefault="00C43B75" w:rsidP="00C43B75">
            <w:pPr>
              <w:widowControl w:val="0"/>
              <w:autoSpaceDE w:val="0"/>
              <w:autoSpaceDN w:val="0"/>
              <w:adjustRightInd w:val="0"/>
              <w:spacing w:before="11"/>
              <w:jc w:val="center"/>
              <w:rPr>
                <w:color w:val="auto"/>
                <w:sz w:val="20"/>
                <w:szCs w:val="20"/>
              </w:rPr>
            </w:pPr>
            <w:r w:rsidRPr="00C43B75">
              <w:rPr>
                <w:color w:val="auto"/>
                <w:sz w:val="20"/>
                <w:szCs w:val="20"/>
              </w:rPr>
              <w:t>XIV KM RPO WSL (13 maja 2011 r.)</w:t>
            </w:r>
          </w:p>
        </w:tc>
        <w:tc>
          <w:tcPr>
            <w:tcW w:w="3342" w:type="dxa"/>
            <w:tcBorders>
              <w:top w:val="single" w:sz="8" w:space="0" w:color="FFFFFF" w:themeColor="background1"/>
              <w:bottom w:val="single" w:sz="8" w:space="0" w:color="FFFFFF" w:themeColor="background1"/>
            </w:tcBorders>
            <w:shd w:val="clear" w:color="auto" w:fill="F9D8CD" w:themeFill="accent1" w:themeFillTint="33"/>
            <w:vAlign w:val="center"/>
          </w:tcPr>
          <w:p w:rsidR="000A49E4" w:rsidRPr="009A33F9" w:rsidRDefault="00C43B75" w:rsidP="00BA2FE7">
            <w:pPr>
              <w:numPr>
                <w:ilvl w:val="0"/>
                <w:numId w:val="68"/>
              </w:numPr>
              <w:spacing w:before="120" w:after="0" w:line="240"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 xml:space="preserve">Zatwierdzenie zmian RPO WSL: </w:t>
            </w:r>
          </w:p>
          <w:p w:rsidR="000A49E4" w:rsidRPr="009A33F9" w:rsidRDefault="00C43B75" w:rsidP="00BA2FE7">
            <w:pPr>
              <w:numPr>
                <w:ilvl w:val="0"/>
                <w:numId w:val="67"/>
              </w:numPr>
              <w:spacing w:after="0" w:line="240" w:lineRule="auto"/>
              <w:ind w:left="601" w:hanging="185"/>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powiększenie alokacji RPO WSL o środki pochodzące z KRW i z dostosowania technicznego,</w:t>
            </w:r>
          </w:p>
          <w:p w:rsidR="000A49E4" w:rsidRPr="009A33F9" w:rsidRDefault="00C43B75" w:rsidP="00BA2FE7">
            <w:pPr>
              <w:numPr>
                <w:ilvl w:val="0"/>
                <w:numId w:val="67"/>
              </w:numPr>
              <w:spacing w:after="0" w:line="240" w:lineRule="auto"/>
              <w:ind w:left="601" w:hanging="185"/>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modyfikację wskaźników,</w:t>
            </w:r>
          </w:p>
          <w:p w:rsidR="000A49E4" w:rsidRPr="009A33F9" w:rsidRDefault="00C43B75" w:rsidP="00BA2FE7">
            <w:pPr>
              <w:numPr>
                <w:ilvl w:val="0"/>
                <w:numId w:val="67"/>
              </w:numPr>
              <w:spacing w:after="0" w:line="240" w:lineRule="auto"/>
              <w:ind w:left="601" w:hanging="185"/>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bieżącą aktualizację,</w:t>
            </w:r>
          </w:p>
          <w:p w:rsidR="000A49E4" w:rsidRPr="009A33F9" w:rsidRDefault="00C43B75" w:rsidP="00BA2FE7">
            <w:pPr>
              <w:numPr>
                <w:ilvl w:val="0"/>
                <w:numId w:val="67"/>
              </w:numPr>
              <w:spacing w:after="120" w:line="240" w:lineRule="auto"/>
              <w:ind w:left="601" w:hanging="187"/>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rozszerzenie katalogu beneficjentów.</w:t>
            </w:r>
          </w:p>
          <w:p w:rsidR="000A49E4" w:rsidRPr="009A33F9" w:rsidRDefault="00C43B75" w:rsidP="00BA2FE7">
            <w:pPr>
              <w:numPr>
                <w:ilvl w:val="0"/>
                <w:numId w:val="68"/>
              </w:numPr>
              <w:spacing w:after="120" w:line="240"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Zapoznanie członków Komitetu Monitorującego z aktualnym stanem wdrażania RPO WSL, analizą wsparcia udzielonego mikro, małym i średnim przedsiębiorstwom w podziale na klasyfikację PKD, wynikami ankiety dot. powołania grupy roboczej ds. partnerstwa społeczno-gospodarczego oraz założeniami Okresowego Planu Ewaluacji Regionalnego Programu Operacyjnego Województwa Śląskiego na lata 2007-2013 na rok 2011.</w:t>
            </w:r>
          </w:p>
        </w:tc>
        <w:tc>
          <w:tcPr>
            <w:tcW w:w="3851" w:type="dxa"/>
            <w:tcBorders>
              <w:top w:val="single" w:sz="8" w:space="0" w:color="FFFFFF" w:themeColor="background1"/>
              <w:bottom w:val="single" w:sz="8" w:space="0" w:color="FFFFFF" w:themeColor="background1"/>
            </w:tcBorders>
            <w:shd w:val="clear" w:color="auto" w:fill="F9D8CD" w:themeFill="accent1" w:themeFillTint="33"/>
            <w:vAlign w:val="center"/>
          </w:tcPr>
          <w:p w:rsidR="000A49E4" w:rsidRPr="009A33F9" w:rsidRDefault="00C43B75" w:rsidP="006D71C7">
            <w:pPr>
              <w:tabs>
                <w:tab w:val="left" w:pos="377"/>
              </w:tabs>
              <w:spacing w:before="120" w:after="120" w:line="240" w:lineRule="auto"/>
              <w:ind w:left="96"/>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 xml:space="preserve">Zmiany RPO WSL wynikały m.in. z otrzymania dodatkowych środków  pochodzących z Krajowej Rezerwy Wykonania i tzw. dostosowania technicznego, które w całości (nie licząc Pomocy technicznej) zostały przekazane na wsparcie Priorytetu VII Transport. Zaktualizowano wskaźniki na podstawie rekomendacji z analizy </w:t>
            </w:r>
            <w:r w:rsidRPr="00C43B75">
              <w:rPr>
                <w:i/>
                <w:sz w:val="20"/>
                <w:szCs w:val="20"/>
              </w:rPr>
              <w:t>Ocena postępu realizacji Regionalnego Programu Operacyjnego Województwa Śląskiego na lata 2007-2013</w:t>
            </w:r>
            <w:r w:rsidRPr="00C43B75">
              <w:rPr>
                <w:sz w:val="20"/>
                <w:szCs w:val="20"/>
              </w:rPr>
              <w:t xml:space="preserve"> przeprowadzonej przez ewaluatora zewnętrznego. Zostały  także zaktualizowane wartości wkładu RPO przeznaczone na realizację celów Strategii Lizbońskiej związane z przesunięciami środków pomiędzy działaniami/ poddziałaniami w ramach poszczególnych Priorytetów.</w:t>
            </w:r>
          </w:p>
          <w:p w:rsidR="000A49E4" w:rsidRPr="009A33F9" w:rsidRDefault="000A49E4" w:rsidP="006D71C7">
            <w:pPr>
              <w:pStyle w:val="Akapitzlist"/>
              <w:tabs>
                <w:tab w:val="left" w:pos="360"/>
              </w:tabs>
              <w:spacing w:after="0"/>
              <w:ind w:left="360"/>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0A49E4" w:rsidRPr="009A33F9" w:rsidTr="009A3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F4B29B" w:themeFill="accent1" w:themeFillTint="66"/>
            <w:vAlign w:val="center"/>
          </w:tcPr>
          <w:p w:rsidR="00C43B75" w:rsidRPr="00C43B75" w:rsidRDefault="00C43B75" w:rsidP="00C43B75">
            <w:pPr>
              <w:widowControl w:val="0"/>
              <w:autoSpaceDE w:val="0"/>
              <w:autoSpaceDN w:val="0"/>
              <w:adjustRightInd w:val="0"/>
              <w:spacing w:before="11"/>
              <w:jc w:val="center"/>
              <w:rPr>
                <w:color w:val="auto"/>
                <w:sz w:val="20"/>
                <w:szCs w:val="20"/>
              </w:rPr>
            </w:pPr>
            <w:r w:rsidRPr="00C43B75">
              <w:rPr>
                <w:color w:val="auto"/>
                <w:sz w:val="20"/>
                <w:szCs w:val="20"/>
              </w:rPr>
              <w:t>XV KM RPO WSL (29 czerwca 2011r.)</w:t>
            </w:r>
          </w:p>
        </w:tc>
        <w:tc>
          <w:tcPr>
            <w:tcW w:w="3342" w:type="dxa"/>
            <w:shd w:val="clear" w:color="auto" w:fill="F9D8CD" w:themeFill="accent1" w:themeFillTint="33"/>
            <w:vAlign w:val="center"/>
          </w:tcPr>
          <w:p w:rsidR="000A49E4" w:rsidRPr="009A33F9" w:rsidRDefault="00C43B75" w:rsidP="00BA2FE7">
            <w:pPr>
              <w:widowControl w:val="0"/>
              <w:numPr>
                <w:ilvl w:val="0"/>
                <w:numId w:val="63"/>
              </w:numPr>
              <w:autoSpaceDE w:val="0"/>
              <w:autoSpaceDN w:val="0"/>
              <w:adjustRightInd w:val="0"/>
              <w:spacing w:before="120"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Style w:val="Uwydatnienie"/>
                <w:i w:val="0"/>
                <w:iCs w:val="0"/>
                <w:sz w:val="20"/>
                <w:szCs w:val="20"/>
              </w:rPr>
            </w:pPr>
            <w:r w:rsidRPr="00C43B75">
              <w:rPr>
                <w:sz w:val="20"/>
                <w:szCs w:val="20"/>
              </w:rPr>
              <w:t xml:space="preserve">Zatwierdzenie </w:t>
            </w:r>
            <w:r w:rsidR="00D20EE2">
              <w:rPr>
                <w:rStyle w:val="Uwydatnienie"/>
                <w:sz w:val="20"/>
                <w:szCs w:val="20"/>
              </w:rPr>
              <w:t>Sprawozdania rocznego z realizacji RPO WSL w 2010 roku.</w:t>
            </w:r>
          </w:p>
          <w:p w:rsidR="000A49E4" w:rsidRPr="009A33F9" w:rsidRDefault="00C43B75" w:rsidP="00BA2FE7">
            <w:pPr>
              <w:widowControl w:val="0"/>
              <w:numPr>
                <w:ilvl w:val="0"/>
                <w:numId w:val="63"/>
              </w:numPr>
              <w:autoSpaceDE w:val="0"/>
              <w:autoSpaceDN w:val="0"/>
              <w:adjustRightInd w:val="0"/>
              <w:spacing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Przedstawienie aktualnego stanu wdrażania RPO WSL.</w:t>
            </w:r>
          </w:p>
          <w:p w:rsidR="000A49E4" w:rsidRPr="009A33F9" w:rsidRDefault="00C43B75" w:rsidP="00BA2FE7">
            <w:pPr>
              <w:widowControl w:val="0"/>
              <w:numPr>
                <w:ilvl w:val="0"/>
                <w:numId w:val="63"/>
              </w:numPr>
              <w:autoSpaceDE w:val="0"/>
              <w:autoSpaceDN w:val="0"/>
              <w:adjustRightInd w:val="0"/>
              <w:spacing w:after="120" w:line="240" w:lineRule="auto"/>
              <w:ind w:left="357"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Zaprezentowanie wyników badań ewaluacyjnych</w:t>
            </w:r>
          </w:p>
        </w:tc>
        <w:tc>
          <w:tcPr>
            <w:tcW w:w="3851" w:type="dxa"/>
            <w:shd w:val="clear" w:color="auto" w:fill="F9D8CD" w:themeFill="accent1" w:themeFillTint="33"/>
            <w:vAlign w:val="center"/>
          </w:tcPr>
          <w:p w:rsidR="000A49E4" w:rsidRPr="009A33F9" w:rsidRDefault="000A49E4" w:rsidP="006D71C7">
            <w:pPr>
              <w:widowControl w:val="0"/>
              <w:autoSpaceDE w:val="0"/>
              <w:autoSpaceDN w:val="0"/>
              <w:adjustRightInd w:val="0"/>
              <w:spacing w:before="11"/>
              <w:ind w:left="360"/>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0A49E4" w:rsidRPr="009A33F9" w:rsidTr="009A33F9">
        <w:trPr>
          <w:jc w:val="center"/>
        </w:trPr>
        <w:tc>
          <w:tcPr>
            <w:cnfStyle w:val="001000000000" w:firstRow="0" w:lastRow="0" w:firstColumn="1" w:lastColumn="0" w:oddVBand="0" w:evenVBand="0" w:oddHBand="0" w:evenHBand="0" w:firstRowFirstColumn="0" w:firstRowLastColumn="0" w:lastRowFirstColumn="0" w:lastRowLastColumn="0"/>
            <w:tcW w:w="2093" w:type="dxa"/>
            <w:tcBorders>
              <w:bottom w:val="single" w:sz="8" w:space="0" w:color="FFFFFF" w:themeColor="background1"/>
            </w:tcBorders>
            <w:shd w:val="clear" w:color="auto" w:fill="F4B29B" w:themeFill="accent1" w:themeFillTint="66"/>
            <w:vAlign w:val="center"/>
          </w:tcPr>
          <w:p w:rsidR="00C43B75" w:rsidRPr="00C43B75" w:rsidRDefault="00C43B75" w:rsidP="00C43B75">
            <w:pPr>
              <w:widowControl w:val="0"/>
              <w:autoSpaceDE w:val="0"/>
              <w:autoSpaceDN w:val="0"/>
              <w:adjustRightInd w:val="0"/>
              <w:spacing w:before="11"/>
              <w:jc w:val="center"/>
              <w:rPr>
                <w:color w:val="auto"/>
                <w:sz w:val="20"/>
                <w:szCs w:val="20"/>
              </w:rPr>
            </w:pPr>
            <w:r w:rsidRPr="00C43B75">
              <w:rPr>
                <w:color w:val="auto"/>
                <w:sz w:val="20"/>
                <w:szCs w:val="20"/>
              </w:rPr>
              <w:t>XVI KM RPO WSL (5 września 2011r.)</w:t>
            </w:r>
          </w:p>
        </w:tc>
        <w:tc>
          <w:tcPr>
            <w:tcW w:w="3342" w:type="dxa"/>
            <w:tcBorders>
              <w:top w:val="single" w:sz="8" w:space="0" w:color="FFFFFF" w:themeColor="background1"/>
              <w:bottom w:val="single" w:sz="8" w:space="0" w:color="FFFFFF" w:themeColor="background1"/>
            </w:tcBorders>
            <w:shd w:val="clear" w:color="auto" w:fill="F9D8CD" w:themeFill="accent1" w:themeFillTint="33"/>
            <w:vAlign w:val="center"/>
          </w:tcPr>
          <w:p w:rsidR="000A49E4" w:rsidRPr="009A33F9" w:rsidRDefault="00C43B75" w:rsidP="00BA2FE7">
            <w:pPr>
              <w:numPr>
                <w:ilvl w:val="0"/>
                <w:numId w:val="69"/>
              </w:numPr>
              <w:spacing w:before="120" w:after="0" w:line="240"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 xml:space="preserve">Zatwierdzenie zmian kryteriów wyboru projektów w części dotyczącej poddziałania 1.2.4 </w:t>
            </w:r>
            <w:r w:rsidR="00D20EE2">
              <w:rPr>
                <w:i/>
                <w:iCs/>
                <w:sz w:val="20"/>
                <w:szCs w:val="20"/>
              </w:rPr>
              <w:t>Mikro, małe i średnie przedsiębiorstwa.</w:t>
            </w:r>
            <w:r w:rsidRPr="00C43B75">
              <w:rPr>
                <w:sz w:val="20"/>
                <w:szCs w:val="20"/>
              </w:rPr>
              <w:t xml:space="preserve"> </w:t>
            </w:r>
          </w:p>
          <w:p w:rsidR="000A49E4" w:rsidRPr="009A33F9" w:rsidRDefault="00C43B75" w:rsidP="00BA2FE7">
            <w:pPr>
              <w:numPr>
                <w:ilvl w:val="0"/>
                <w:numId w:val="69"/>
              </w:numPr>
              <w:spacing w:after="120" w:line="240" w:lineRule="auto"/>
              <w:ind w:left="357"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Przedstawienie aktualnego stanu wdrażania RPO WSL.</w:t>
            </w:r>
          </w:p>
        </w:tc>
        <w:tc>
          <w:tcPr>
            <w:tcW w:w="3851" w:type="dxa"/>
            <w:tcBorders>
              <w:top w:val="single" w:sz="8" w:space="0" w:color="FFFFFF" w:themeColor="background1"/>
              <w:bottom w:val="single" w:sz="8" w:space="0" w:color="FFFFFF" w:themeColor="background1"/>
            </w:tcBorders>
            <w:shd w:val="clear" w:color="auto" w:fill="F9D8CD" w:themeFill="accent1" w:themeFillTint="33"/>
            <w:vAlign w:val="center"/>
          </w:tcPr>
          <w:p w:rsidR="000A49E4" w:rsidRPr="009A33F9" w:rsidRDefault="00C43B75" w:rsidP="006D71C7">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Doprecyzowanie zapisów kryteriów, zgodnie z decyzją IZ RPO WSL. Ze względu na chęć wspierania projektów zlokalizowanych na terenach o zwiększonym bezrobociu podwyższono wagę tego kryterium.</w:t>
            </w:r>
          </w:p>
        </w:tc>
      </w:tr>
    </w:tbl>
    <w:p w:rsidR="003D6B77" w:rsidRPr="006D71C7" w:rsidRDefault="003D6B77" w:rsidP="006D71C7">
      <w:pPr>
        <w:pStyle w:val="Tekstpodstawowy21"/>
        <w:spacing w:line="276" w:lineRule="auto"/>
        <w:jc w:val="both"/>
        <w:rPr>
          <w:sz w:val="24"/>
          <w:szCs w:val="24"/>
        </w:rPr>
      </w:pPr>
    </w:p>
    <w:p w:rsidR="000A49E4" w:rsidRPr="006D71C7" w:rsidRDefault="000A49E4" w:rsidP="006D71C7">
      <w:pPr>
        <w:pStyle w:val="Tekstpodstawowy21"/>
        <w:spacing w:line="276" w:lineRule="auto"/>
        <w:jc w:val="both"/>
        <w:rPr>
          <w:iCs/>
          <w:sz w:val="24"/>
          <w:szCs w:val="24"/>
        </w:rPr>
      </w:pPr>
      <w:r w:rsidRPr="006D71C7">
        <w:rPr>
          <w:iCs/>
          <w:sz w:val="24"/>
          <w:szCs w:val="24"/>
        </w:rPr>
        <w:t xml:space="preserve">Zasada równości szans w ramach funkcjonowania </w:t>
      </w:r>
      <w:r w:rsidRPr="006D71C7">
        <w:rPr>
          <w:i/>
          <w:iCs/>
          <w:sz w:val="24"/>
          <w:szCs w:val="24"/>
        </w:rPr>
        <w:t>Komitetu Monitorujące RPO WSL</w:t>
      </w:r>
      <w:r w:rsidRPr="006D71C7">
        <w:rPr>
          <w:iCs/>
          <w:sz w:val="24"/>
          <w:szCs w:val="24"/>
        </w:rPr>
        <w:t xml:space="preserve"> realizowana jest m. in. poprzez:</w:t>
      </w:r>
    </w:p>
    <w:p w:rsidR="000A49E4" w:rsidRPr="006D71C7" w:rsidRDefault="004A359E" w:rsidP="00BA2FE7">
      <w:pPr>
        <w:numPr>
          <w:ilvl w:val="0"/>
          <w:numId w:val="64"/>
        </w:numPr>
        <w:spacing w:after="0"/>
        <w:jc w:val="both"/>
        <w:rPr>
          <w:szCs w:val="24"/>
        </w:rPr>
      </w:pPr>
      <w:r w:rsidRPr="006D71C7">
        <w:rPr>
          <w:szCs w:val="24"/>
        </w:rPr>
        <w:t>Procedurę wyboru członków KM RPO WSL - c</w:t>
      </w:r>
      <w:r w:rsidR="000A49E4" w:rsidRPr="006D71C7">
        <w:rPr>
          <w:szCs w:val="24"/>
        </w:rPr>
        <w:t xml:space="preserve">złonkowie do </w:t>
      </w:r>
      <w:r w:rsidRPr="006D71C7">
        <w:rPr>
          <w:szCs w:val="24"/>
        </w:rPr>
        <w:t>KM</w:t>
      </w:r>
      <w:r w:rsidR="000A49E4" w:rsidRPr="006D71C7">
        <w:rPr>
          <w:szCs w:val="24"/>
        </w:rPr>
        <w:t xml:space="preserve"> RPO WSL</w:t>
      </w:r>
      <w:r w:rsidRPr="006D71C7">
        <w:rPr>
          <w:szCs w:val="24"/>
        </w:rPr>
        <w:t xml:space="preserve"> zgłoszeni zostali przez różne i</w:t>
      </w:r>
      <w:r w:rsidR="000A49E4" w:rsidRPr="006D71C7">
        <w:rPr>
          <w:szCs w:val="24"/>
        </w:rPr>
        <w:t xml:space="preserve">nstytucje, m. in.: Ministerstwo Gospodarki, jako Instytucji Koordynującej proces lizboński w Polsce, Ministerstwo Rozwoju Regionalnego jako Instytucji Koordynującej </w:t>
      </w:r>
      <w:r w:rsidRPr="006D71C7">
        <w:rPr>
          <w:szCs w:val="24"/>
        </w:rPr>
        <w:t>RPO</w:t>
      </w:r>
      <w:r w:rsidR="000A49E4" w:rsidRPr="006D71C7">
        <w:rPr>
          <w:szCs w:val="24"/>
        </w:rPr>
        <w:t xml:space="preserve">, Instytucji Koordynującej </w:t>
      </w:r>
      <w:r w:rsidRPr="006D71C7">
        <w:rPr>
          <w:szCs w:val="24"/>
        </w:rPr>
        <w:t>NSRO</w:t>
      </w:r>
      <w:r w:rsidR="000A49E4" w:rsidRPr="006D71C7">
        <w:rPr>
          <w:szCs w:val="24"/>
        </w:rPr>
        <w:t>, oraz Instytucji Certyfikującej, Śląski Związek Gmin i Powiatów, Śląską Radę Jednostek Badawczo-Rozwojowych, Regionalną Konferencję Rektorów Uczelni Akademickich, Konferencję Episkopatu Polski, Śląski Oddział Polskiej Rady Ekumenicznej, Wojewódzką Komisję Dialogu Społecznego, Radę Działalności Pożytku Publicznego.</w:t>
      </w:r>
    </w:p>
    <w:p w:rsidR="000A49E4" w:rsidRPr="006D71C7" w:rsidRDefault="000A49E4" w:rsidP="00BA2FE7">
      <w:pPr>
        <w:pStyle w:val="Tekstpodstawowy21"/>
        <w:numPr>
          <w:ilvl w:val="0"/>
          <w:numId w:val="64"/>
        </w:numPr>
        <w:spacing w:line="276" w:lineRule="auto"/>
        <w:jc w:val="both"/>
        <w:rPr>
          <w:iCs/>
          <w:sz w:val="24"/>
          <w:szCs w:val="24"/>
        </w:rPr>
      </w:pPr>
      <w:r w:rsidRPr="006D71C7">
        <w:rPr>
          <w:iCs/>
          <w:sz w:val="24"/>
          <w:szCs w:val="24"/>
        </w:rPr>
        <w:t xml:space="preserve">Uczestnictwo w posiedzeniach </w:t>
      </w:r>
      <w:r w:rsidRPr="006D71C7">
        <w:rPr>
          <w:i/>
          <w:iCs/>
          <w:sz w:val="24"/>
          <w:szCs w:val="24"/>
        </w:rPr>
        <w:t>Komitetu Monitorującego RPO WSL</w:t>
      </w:r>
      <w:r w:rsidRPr="006D71C7">
        <w:rPr>
          <w:iCs/>
          <w:sz w:val="24"/>
          <w:szCs w:val="24"/>
        </w:rPr>
        <w:t xml:space="preserve"> przedstawicieli różnych środowisk: strony rządowej, samorządowej, partnerów społecznych i gospodarczych oraz obserwatorów.</w:t>
      </w:r>
    </w:p>
    <w:p w:rsidR="000A49E4" w:rsidRPr="006D71C7" w:rsidRDefault="000A49E4" w:rsidP="00BA2FE7">
      <w:pPr>
        <w:pStyle w:val="Tekstpodstawowy21"/>
        <w:numPr>
          <w:ilvl w:val="0"/>
          <w:numId w:val="64"/>
        </w:numPr>
        <w:spacing w:line="276" w:lineRule="auto"/>
        <w:jc w:val="both"/>
        <w:rPr>
          <w:iCs/>
          <w:sz w:val="24"/>
          <w:szCs w:val="24"/>
        </w:rPr>
      </w:pPr>
      <w:r w:rsidRPr="006D71C7">
        <w:rPr>
          <w:iCs/>
          <w:sz w:val="24"/>
          <w:szCs w:val="24"/>
        </w:rPr>
        <w:t xml:space="preserve">Możliwość zgłaszania przez wszystkich członków </w:t>
      </w:r>
      <w:r w:rsidRPr="006D71C7">
        <w:rPr>
          <w:i/>
          <w:iCs/>
          <w:sz w:val="24"/>
          <w:szCs w:val="24"/>
        </w:rPr>
        <w:t>Komitetu Monitorującego RPO WSL</w:t>
      </w:r>
      <w:r w:rsidRPr="006D71C7">
        <w:rPr>
          <w:iCs/>
          <w:sz w:val="24"/>
          <w:szCs w:val="24"/>
        </w:rPr>
        <w:t xml:space="preserve"> uwag oraz propozycji:</w:t>
      </w:r>
    </w:p>
    <w:p w:rsidR="000A49E4" w:rsidRPr="006D71C7" w:rsidRDefault="000A49E4" w:rsidP="00BA2FE7">
      <w:pPr>
        <w:numPr>
          <w:ilvl w:val="0"/>
          <w:numId w:val="65"/>
        </w:numPr>
        <w:autoSpaceDE w:val="0"/>
        <w:autoSpaceDN w:val="0"/>
        <w:adjustRightInd w:val="0"/>
        <w:spacing w:after="0"/>
        <w:ind w:left="993" w:hanging="284"/>
        <w:jc w:val="both"/>
        <w:rPr>
          <w:szCs w:val="24"/>
        </w:rPr>
      </w:pPr>
      <w:r w:rsidRPr="006D71C7">
        <w:rPr>
          <w:szCs w:val="24"/>
        </w:rPr>
        <w:t xml:space="preserve">członkowie KM RPO WSL mają prawo zgłaszać uwagi do dokumentów, które są przedmiotem obrad, </w:t>
      </w:r>
    </w:p>
    <w:p w:rsidR="000A49E4" w:rsidRPr="006D71C7" w:rsidRDefault="000A49E4" w:rsidP="00BA2FE7">
      <w:pPr>
        <w:numPr>
          <w:ilvl w:val="0"/>
          <w:numId w:val="65"/>
        </w:numPr>
        <w:autoSpaceDE w:val="0"/>
        <w:autoSpaceDN w:val="0"/>
        <w:adjustRightInd w:val="0"/>
        <w:spacing w:after="0"/>
        <w:ind w:left="993" w:hanging="284"/>
        <w:jc w:val="both"/>
        <w:rPr>
          <w:szCs w:val="24"/>
        </w:rPr>
      </w:pPr>
      <w:r w:rsidRPr="006D71C7">
        <w:rPr>
          <w:szCs w:val="24"/>
        </w:rPr>
        <w:t>każdy członek Komitetu może zgłosić dodatkowy punkt do porządku obrad najpóźniej na 3 dni przed datą posiedzenia,</w:t>
      </w:r>
    </w:p>
    <w:p w:rsidR="000A49E4" w:rsidRPr="006D71C7" w:rsidRDefault="000A49E4" w:rsidP="00BA2FE7">
      <w:pPr>
        <w:numPr>
          <w:ilvl w:val="0"/>
          <w:numId w:val="65"/>
        </w:numPr>
        <w:autoSpaceDE w:val="0"/>
        <w:autoSpaceDN w:val="0"/>
        <w:adjustRightInd w:val="0"/>
        <w:spacing w:after="240"/>
        <w:ind w:left="993" w:hanging="284"/>
        <w:jc w:val="both"/>
        <w:rPr>
          <w:szCs w:val="24"/>
        </w:rPr>
      </w:pPr>
      <w:r w:rsidRPr="006D71C7">
        <w:rPr>
          <w:szCs w:val="24"/>
        </w:rPr>
        <w:t>podczas debaty członkowie Komitetu mogą zgłaszać poprawki do projektów uchwał, które są przedmiotem głosowania.</w:t>
      </w:r>
    </w:p>
    <w:p w:rsidR="004A359E" w:rsidRPr="006D71C7" w:rsidRDefault="004A359E" w:rsidP="006D71C7">
      <w:pPr>
        <w:jc w:val="both"/>
        <w:rPr>
          <w:szCs w:val="24"/>
        </w:rPr>
      </w:pPr>
      <w:r w:rsidRPr="006D71C7">
        <w:rPr>
          <w:szCs w:val="24"/>
        </w:rPr>
        <w:t xml:space="preserve">W związku z zaawansowanym stanem wdrażania </w:t>
      </w:r>
      <w:r w:rsidRPr="006D71C7">
        <w:rPr>
          <w:i/>
          <w:szCs w:val="24"/>
        </w:rPr>
        <w:t>Regionalnego Programu Operacyjnego Województwa Śląskiego na lata 2007-2013</w:t>
      </w:r>
      <w:r w:rsidRPr="006D71C7">
        <w:rPr>
          <w:szCs w:val="24"/>
        </w:rPr>
        <w:t xml:space="preserve"> (RPO WSL) oraz ze względu na zbliżającą się nową perspektywę finansową 2014-2020, Instytucja Zarządzająca RPO WSL podjęła działania na rzecz dalszego rozwoju partnerstwa w województwie śląskim. W celu zaktywizowania i wzmocnienia partnerskiej współpracy na rzecz rozwoju regionu IZ RPO WSL powołała 20 lipca 2011 r. </w:t>
      </w:r>
      <w:r w:rsidRPr="006D71C7">
        <w:rPr>
          <w:b/>
          <w:szCs w:val="24"/>
        </w:rPr>
        <w:t>grupę roboczą do spraw partnerstwa społeczno -gospodarczego</w:t>
      </w:r>
      <w:r w:rsidRPr="006D71C7">
        <w:rPr>
          <w:szCs w:val="24"/>
        </w:rPr>
        <w:t xml:space="preserve"> w ramach </w:t>
      </w:r>
      <w:r w:rsidRPr="006D71C7">
        <w:rPr>
          <w:i/>
          <w:szCs w:val="24"/>
        </w:rPr>
        <w:t>Komitetu Monitorującego Regionalny Program Operacyjny Województwa Śląskiego na lata 2007-2013</w:t>
      </w:r>
      <w:r w:rsidR="00EC2C3E" w:rsidRPr="006D71C7">
        <w:rPr>
          <w:szCs w:val="24"/>
        </w:rPr>
        <w:t>.</w:t>
      </w:r>
    </w:p>
    <w:p w:rsidR="004A359E" w:rsidRPr="006D71C7" w:rsidRDefault="004A359E" w:rsidP="006D71C7">
      <w:pPr>
        <w:spacing w:after="120"/>
        <w:jc w:val="both"/>
      </w:pPr>
      <w:r w:rsidRPr="006D71C7">
        <w:rPr>
          <w:szCs w:val="24"/>
        </w:rPr>
        <w:t>W celu zidentyfikowania oczekiwań i doświadczeń na temat  partnerstwa w kwietniu i marcu 2011 r. przeprowadzono wśród członków KM RPO WSL badanie ankietowe. Na podstawie ankiet określono zakres tematyczny działania ww. grupy, który w pierwszej kolejności koncentrować się będzie na obszarach związanych ze stosowaniem modelu partnerstwa w obecnej perspektywie 2007-2013, w drugiej zaś posłuży wypracowaniu rozwiązań na przyszłość. Stąd tematy prac grupy będą obejmować zagadnienia takie, jak:</w:t>
      </w:r>
    </w:p>
    <w:p w:rsidR="004A359E" w:rsidRPr="006D71C7" w:rsidRDefault="004A359E" w:rsidP="00BA2FE7">
      <w:pPr>
        <w:numPr>
          <w:ilvl w:val="0"/>
          <w:numId w:val="70"/>
        </w:numPr>
        <w:spacing w:after="0"/>
        <w:jc w:val="both"/>
        <w:rPr>
          <w:szCs w:val="24"/>
        </w:rPr>
      </w:pPr>
      <w:r w:rsidRPr="006D71C7">
        <w:rPr>
          <w:szCs w:val="24"/>
        </w:rPr>
        <w:t>analiza modelów współpracy władz publicznych z sektorem pozarządowym i przedsiębiorcami w celu wspólnej realizacji zadań publiczno - prywatnych w ramach różnych regionów UE, w tym identyfikacja dobrych praktyk (przykładów projektów partnerskich),</w:t>
      </w:r>
    </w:p>
    <w:p w:rsidR="004A359E" w:rsidRPr="006D71C7" w:rsidRDefault="004A359E" w:rsidP="00BA2FE7">
      <w:pPr>
        <w:numPr>
          <w:ilvl w:val="0"/>
          <w:numId w:val="70"/>
        </w:numPr>
        <w:spacing w:after="0"/>
        <w:ind w:left="1077" w:hanging="357"/>
        <w:jc w:val="both"/>
        <w:rPr>
          <w:szCs w:val="24"/>
        </w:rPr>
      </w:pPr>
      <w:r w:rsidRPr="006D71C7">
        <w:rPr>
          <w:szCs w:val="24"/>
        </w:rPr>
        <w:t>wypracowanie modelu współpracy samorządu terytorialnego z sektorem pozarządowym i przedsiębiorcami w celu wspólnej realizacji zadań publiczno- prywatnych,</w:t>
      </w:r>
    </w:p>
    <w:p w:rsidR="004A359E" w:rsidRPr="006D71C7" w:rsidRDefault="004A359E" w:rsidP="00BA2FE7">
      <w:pPr>
        <w:numPr>
          <w:ilvl w:val="0"/>
          <w:numId w:val="70"/>
        </w:numPr>
        <w:spacing w:after="120"/>
        <w:ind w:left="1077" w:hanging="357"/>
        <w:jc w:val="both"/>
        <w:rPr>
          <w:szCs w:val="24"/>
        </w:rPr>
      </w:pPr>
      <w:r w:rsidRPr="006D71C7">
        <w:rPr>
          <w:szCs w:val="24"/>
        </w:rPr>
        <w:t>promocja projektów partnerskich o charakterze regionalnym.</w:t>
      </w:r>
    </w:p>
    <w:p w:rsidR="004A359E" w:rsidRPr="006D71C7" w:rsidRDefault="004A359E" w:rsidP="006D71C7">
      <w:pPr>
        <w:jc w:val="both"/>
      </w:pPr>
      <w:r w:rsidRPr="006D71C7">
        <w:t xml:space="preserve">Pierwsze inauguracyjne posiedzenie grupy roboczej odbyło się </w:t>
      </w:r>
      <w:r w:rsidRPr="006D71C7">
        <w:rPr>
          <w:bCs/>
        </w:rPr>
        <w:t>5 września 2011r</w:t>
      </w:r>
      <w:r w:rsidRPr="006D71C7">
        <w:rPr>
          <w:b/>
          <w:bCs/>
        </w:rPr>
        <w:t xml:space="preserve">. </w:t>
      </w:r>
      <w:r w:rsidRPr="006D71C7">
        <w:t xml:space="preserve">Prelegentem był Pan Jan Olbrycht, poseł do Parlamentu Europejskiego, który omówił unijne podejście do zasady partnerstwa jako narzędzia wzmocnienia efektywności polityk unijnych. Pan Poseł przedstawił m. in. rozwiązania związane z zasadą partnerstwa z jakimi spotkał się w czasie wizyt studyjnych w Wielkiej Brytanii. Odnosząc się do kształtu jaki zasada partnerstwa może przybrać w nadchodzącej perspektywie finansowania na lata 2014-2020, Pan Poseł przybliżył koncepcję kontraktu regionalnego, która polega na tym, że istniejące wewnątrz regionu jednostki miałyby wspólnie ustalać planowane w regionie działania, które stałyby się przedmiotem umowy zawieranej między nimi. </w:t>
      </w:r>
      <w:r w:rsidRPr="006D71C7">
        <w:rPr>
          <w:szCs w:val="24"/>
        </w:rPr>
        <w:t>Drugie spotkanie grupy roboczej ds. partnerstwa społeczno - gospodarczego odbyło się 30 marca 2012 roku</w:t>
      </w:r>
      <w:r w:rsidRPr="006D71C7">
        <w:t>.</w:t>
      </w:r>
      <w:r w:rsidRPr="006D71C7">
        <w:rPr>
          <w:szCs w:val="24"/>
        </w:rPr>
        <w:t xml:space="preserve"> Przedmiotem spotkania było </w:t>
      </w:r>
      <w:r w:rsidRPr="006D71C7">
        <w:t>omówienie założeń Programów Rozwoju Subregionów jako partnerskiego sposobu rozdysponowywania środków europejskich oraz przedstawienie doświadczeń związanych z wdrażaniem projektów w ramach PRS na przykładzie subregionu zachodniego i południowego.</w:t>
      </w:r>
    </w:p>
    <w:p w:rsidR="00BA0E0D" w:rsidRPr="006D71C7" w:rsidRDefault="00BA0E0D" w:rsidP="006D71C7">
      <w:pPr>
        <w:autoSpaceDE w:val="0"/>
        <w:autoSpaceDN w:val="0"/>
        <w:adjustRightInd w:val="0"/>
        <w:spacing w:after="120"/>
        <w:jc w:val="both"/>
        <w:rPr>
          <w:b/>
          <w:i/>
          <w:szCs w:val="24"/>
        </w:rPr>
      </w:pPr>
      <w:r w:rsidRPr="006D71C7">
        <w:rPr>
          <w:b/>
          <w:i/>
          <w:szCs w:val="24"/>
        </w:rPr>
        <w:t>Ewaluacja</w:t>
      </w:r>
    </w:p>
    <w:p w:rsidR="00944DDF" w:rsidRPr="006D71C7" w:rsidRDefault="00944DDF" w:rsidP="006D71C7">
      <w:pPr>
        <w:spacing w:after="0"/>
        <w:jc w:val="both"/>
      </w:pPr>
      <w:r w:rsidRPr="006D71C7">
        <w:t xml:space="preserve">Zgodnie z </w:t>
      </w:r>
      <w:r w:rsidRPr="006D71C7">
        <w:rPr>
          <w:i/>
        </w:rPr>
        <w:t>Okresowym planem ewaluacji Regionalnego Programu Operacyjnego Województwa Śląskiego na lata 2007-2013 na rok 2011</w:t>
      </w:r>
      <w:r w:rsidRPr="006D71C7">
        <w:t xml:space="preserve"> przewidziano do realizacji następujące badania:</w:t>
      </w:r>
    </w:p>
    <w:p w:rsidR="00944DDF" w:rsidRPr="006D71C7" w:rsidRDefault="00944DDF" w:rsidP="00BA2FE7">
      <w:pPr>
        <w:pStyle w:val="Akapitzlist"/>
        <w:numPr>
          <w:ilvl w:val="0"/>
          <w:numId w:val="54"/>
        </w:numPr>
        <w:spacing w:after="0"/>
        <w:jc w:val="both"/>
      </w:pPr>
      <w:r w:rsidRPr="006D71C7">
        <w:rPr>
          <w:rFonts w:eastAsia="Calibri"/>
        </w:rPr>
        <w:t xml:space="preserve">Ocena wsparcia udzielanego przedsiębiorcom w ramach RPO WSL. </w:t>
      </w:r>
    </w:p>
    <w:p w:rsidR="00944DDF" w:rsidRPr="006D71C7" w:rsidRDefault="00944DDF" w:rsidP="00BA2FE7">
      <w:pPr>
        <w:pStyle w:val="Akapitzlist"/>
        <w:numPr>
          <w:ilvl w:val="0"/>
          <w:numId w:val="54"/>
        </w:numPr>
        <w:spacing w:after="0"/>
        <w:jc w:val="both"/>
      </w:pPr>
      <w:r w:rsidRPr="006D71C7">
        <w:rPr>
          <w:rFonts w:eastAsia="Calibri"/>
        </w:rPr>
        <w:t>Ocena stopnia realizacji wskaźników Regionalnego Programu Operacyjnego  Województwa Śląskiego na lata 2007-2013.</w:t>
      </w:r>
    </w:p>
    <w:p w:rsidR="00944DDF" w:rsidRPr="006D71C7" w:rsidRDefault="00944DDF" w:rsidP="00BA2FE7">
      <w:pPr>
        <w:pStyle w:val="Akapitzlist"/>
        <w:numPr>
          <w:ilvl w:val="0"/>
          <w:numId w:val="54"/>
        </w:numPr>
        <w:spacing w:after="0"/>
        <w:jc w:val="both"/>
      </w:pPr>
      <w:r w:rsidRPr="006D71C7">
        <w:rPr>
          <w:rFonts w:eastAsia="Calibri"/>
        </w:rPr>
        <w:t>Innowacyjność projektów realizowanych w ramach Regionalnego Programy Operacyjnego Województwa Śląskiego na lata 2007-2013.</w:t>
      </w:r>
    </w:p>
    <w:p w:rsidR="00944DDF" w:rsidRPr="006D71C7" w:rsidRDefault="00944DDF" w:rsidP="00BA2FE7">
      <w:pPr>
        <w:pStyle w:val="Akapitzlist"/>
        <w:numPr>
          <w:ilvl w:val="0"/>
          <w:numId w:val="54"/>
        </w:numPr>
        <w:spacing w:after="0"/>
        <w:jc w:val="both"/>
      </w:pPr>
      <w:r w:rsidRPr="006D71C7">
        <w:rPr>
          <w:rFonts w:eastAsia="Calibri"/>
        </w:rPr>
        <w:t>Zwiększenie dostępności e-usług w wyniku realizacji projektów w ramach Regionalnego Programu Operacyjnego Województwa Śląskiego.</w:t>
      </w:r>
    </w:p>
    <w:p w:rsidR="00944DDF" w:rsidRPr="006D71C7" w:rsidRDefault="00944DDF" w:rsidP="00BA2FE7">
      <w:pPr>
        <w:pStyle w:val="Akapitzlist"/>
        <w:numPr>
          <w:ilvl w:val="0"/>
          <w:numId w:val="54"/>
        </w:numPr>
        <w:spacing w:after="0"/>
        <w:jc w:val="both"/>
      </w:pPr>
      <w:r w:rsidRPr="006D71C7">
        <w:rPr>
          <w:rFonts w:eastAsia="Calibri"/>
        </w:rPr>
        <w:t>Badanie ad hoc.</w:t>
      </w:r>
    </w:p>
    <w:p w:rsidR="00944DDF" w:rsidRPr="006D71C7" w:rsidRDefault="00944DDF" w:rsidP="006D71C7">
      <w:pPr>
        <w:jc w:val="both"/>
      </w:pPr>
      <w:r w:rsidRPr="006D71C7">
        <w:t xml:space="preserve">W trakcie roku sprawozdawczego prowadzono prace nad nowymi kryteriami wyboru Wykonawcy badań ewaluacyjnych. Ze względu na prowadzone prace wstrzymane zostało zlecanie badań ewaluacyjnych. Ostatecznie w 2011 roku zrealizowano dwa badania ewaluacyjne, jedno z zaplanowanych badań zostało przesunięte do realizacji w 2012 roku. </w:t>
      </w:r>
    </w:p>
    <w:p w:rsidR="00944DDF" w:rsidRPr="006D71C7" w:rsidRDefault="00944DDF" w:rsidP="006D71C7">
      <w:pPr>
        <w:jc w:val="both"/>
      </w:pPr>
      <w:r w:rsidRPr="006D71C7">
        <w:t xml:space="preserve">Badanie </w:t>
      </w:r>
      <w:r w:rsidRPr="006D71C7">
        <w:rPr>
          <w:i/>
        </w:rPr>
        <w:t>Ocena wsparcia udzielanego przedsiębiorcom w ramach Regionalnego Programu Operacyjnego Województwa Śląskiego na lata 2007-2013</w:t>
      </w:r>
      <w:r w:rsidRPr="006D71C7">
        <w:t xml:space="preserve"> miało na celu sprawdzenie, czy zakres wsparcia udzielanego przedsiębiorcom w ramach RPO WSL sprzyja realizacji celów Programu. W ramach badania dokonano analizy obecnie funkcjonującej w województwie śląskim formy wsparcia sektora małych i średnich przedsiębiorstw. Badanie zostało zrealizowane pomiędzy 30 czerwca 2011 a 2 grudnia 2011. Uzyskano następujące rekomendacje (w nawiasie podano status rekomendacji):</w:t>
      </w:r>
    </w:p>
    <w:p w:rsidR="00944DDF" w:rsidRPr="006D71C7" w:rsidRDefault="00944DDF" w:rsidP="00BA2FE7">
      <w:pPr>
        <w:pStyle w:val="Akapitzlist"/>
        <w:numPr>
          <w:ilvl w:val="0"/>
          <w:numId w:val="55"/>
        </w:numPr>
        <w:jc w:val="both"/>
      </w:pPr>
      <w:r w:rsidRPr="006D71C7">
        <w:t xml:space="preserve">W przyszłym okresie programowania należy rozszerzyć instrumenty wsparcia o te, o charakterze zwrotnym. Dotacje powinny dominować w typach projektów o charakterze nieinwestycyjnym, w których ocena oczekiwanego okresu zwrotu jest utrudniona, a jednocześnie nie ma oferty rynkowej w zakresie długoterminowego finansowania tego typu przedsięwzięć. Dotacje w większym stopniu powinny zatem dotyczyć następujących rodzajów przedsięwzięć: doradcze, promocyjne oraz częściowo informatyczne. Dla pozostałych instrumentów wsparcia rekomendowane jest stosowanie instrumentów zwrotnych. Poziom wsparcia instrumentów zwrotnych oraz dotacji powinien być tożsamy w przeliczeniu na ekwiwalent dotacji netto. Adresat rekomendacji: IZ RPO WSL </w:t>
      </w:r>
      <w:r w:rsidRPr="006D71C7">
        <w:rPr>
          <w:i/>
        </w:rPr>
        <w:t>(rekomendacja w części do wdrożenia)</w:t>
      </w:r>
      <w:r w:rsidRPr="006D71C7">
        <w:t>.</w:t>
      </w:r>
    </w:p>
    <w:p w:rsidR="00A62B29" w:rsidRPr="006D71C7" w:rsidRDefault="00944DDF" w:rsidP="00BA2FE7">
      <w:pPr>
        <w:pStyle w:val="Akapitzlist"/>
        <w:numPr>
          <w:ilvl w:val="0"/>
          <w:numId w:val="55"/>
        </w:numPr>
        <w:jc w:val="both"/>
      </w:pPr>
      <w:r w:rsidRPr="006D71C7">
        <w:t xml:space="preserve">W kryterium wpływu realizacji projektu na rozwój przedsiębiorstwa należy uwzględnić stopień skrócenia okresu zwrotu z inwestycji jako efekt minimalizacji czynników innych niż rodzaj branży i żywotność ekonomiczna nabywanego majątku trwałego. Adresat rekomendacji: IZ RPO WSL </w:t>
      </w:r>
      <w:r w:rsidRPr="006D71C7">
        <w:rPr>
          <w:i/>
        </w:rPr>
        <w:t>(rekomendacja odrzucona)</w:t>
      </w:r>
      <w:r w:rsidRPr="006D71C7">
        <w:t>.</w:t>
      </w:r>
    </w:p>
    <w:p w:rsidR="00A62B29" w:rsidRPr="006D71C7" w:rsidRDefault="00944DDF" w:rsidP="00BA2FE7">
      <w:pPr>
        <w:pStyle w:val="Akapitzlist"/>
        <w:numPr>
          <w:ilvl w:val="0"/>
          <w:numId w:val="55"/>
        </w:numPr>
        <w:jc w:val="both"/>
      </w:pPr>
      <w:r w:rsidRPr="006D71C7">
        <w:t xml:space="preserve">Rekomendowane jest tworzenie mechanizmów hybrydowych, łączących finansowanie zwrotne z dotacją. Adresat rekomendacji: IZ RPO WSL </w:t>
      </w:r>
      <w:r w:rsidRPr="006D71C7">
        <w:rPr>
          <w:i/>
        </w:rPr>
        <w:t>(rekomendacja w</w:t>
      </w:r>
      <w:r w:rsidR="00A62B29" w:rsidRPr="006D71C7">
        <w:rPr>
          <w:i/>
        </w:rPr>
        <w:t xml:space="preserve"> części do </w:t>
      </w:r>
      <w:r w:rsidRPr="006D71C7">
        <w:rPr>
          <w:i/>
        </w:rPr>
        <w:t>wdrożenia)</w:t>
      </w:r>
      <w:r w:rsidRPr="006D71C7">
        <w:t>.</w:t>
      </w:r>
    </w:p>
    <w:p w:rsidR="00A62B29" w:rsidRPr="006D71C7" w:rsidRDefault="00944DDF" w:rsidP="00BA2FE7">
      <w:pPr>
        <w:pStyle w:val="Akapitzlist"/>
        <w:numPr>
          <w:ilvl w:val="0"/>
          <w:numId w:val="55"/>
        </w:numPr>
        <w:jc w:val="both"/>
      </w:pPr>
      <w:r w:rsidRPr="006D71C7">
        <w:t xml:space="preserve">Rekomendowane jest podwyższenie maksymalnych kwot dofinansowania do limitów wskazanych w Linii demarkacyjnej następnego okresu programowania. Rekomendacja ta musi być rozpatrywana łącznie z rekomendacją wprowadzenia instrumentów zwrotnych. Adresat rekomendacji: IZ RPO WSL </w:t>
      </w:r>
      <w:r w:rsidRPr="006D71C7">
        <w:rPr>
          <w:i/>
        </w:rPr>
        <w:t>(</w:t>
      </w:r>
      <w:r w:rsidR="00A62B29" w:rsidRPr="006D71C7">
        <w:rPr>
          <w:i/>
        </w:rPr>
        <w:t>rekomendacja do </w:t>
      </w:r>
      <w:r w:rsidRPr="006D71C7">
        <w:rPr>
          <w:i/>
        </w:rPr>
        <w:t>wdrożenia w całości)</w:t>
      </w:r>
      <w:r w:rsidRPr="006D71C7">
        <w:t>.</w:t>
      </w:r>
    </w:p>
    <w:p w:rsidR="00A62B29" w:rsidRPr="006D71C7" w:rsidRDefault="00944DDF" w:rsidP="00BA2FE7">
      <w:pPr>
        <w:pStyle w:val="Akapitzlist"/>
        <w:numPr>
          <w:ilvl w:val="0"/>
          <w:numId w:val="55"/>
        </w:numPr>
        <w:jc w:val="both"/>
      </w:pPr>
      <w:r w:rsidRPr="006D71C7">
        <w:t>Poziom wsparcia projektów w przyszłym okresie finansowania oprócz uwzględnienia wielkości firmy powinien dotyczyć również zróżnicowania na typy przedsięwzięć: najwyższe wsparcie dla projektów informatycznych i innowacyjnych, nieco niższe dla inwestycyjnych ogólnych, a najniższe dla przedsięw</w:t>
      </w:r>
      <w:r w:rsidR="00A62B29" w:rsidRPr="006D71C7">
        <w:t>zięć doradczych, promocyjnych i </w:t>
      </w:r>
      <w:r w:rsidRPr="006D71C7">
        <w:t xml:space="preserve">inwestycyjnych turystycznych. Adresat rekomendacji: IZ RPO WSL </w:t>
      </w:r>
      <w:r w:rsidRPr="006D71C7">
        <w:rPr>
          <w:i/>
        </w:rPr>
        <w:t>(rekomendacja w części do wdrożenia)</w:t>
      </w:r>
      <w:r w:rsidRPr="006D71C7">
        <w:t>.</w:t>
      </w:r>
    </w:p>
    <w:p w:rsidR="00A62B29" w:rsidRPr="006D71C7" w:rsidRDefault="00944DDF" w:rsidP="00BA2FE7">
      <w:pPr>
        <w:pStyle w:val="Akapitzlist"/>
        <w:numPr>
          <w:ilvl w:val="0"/>
          <w:numId w:val="55"/>
        </w:numPr>
        <w:jc w:val="both"/>
      </w:pPr>
      <w:r w:rsidRPr="006D71C7">
        <w:t>Wszystkie typy przedsięwzięć dotychc</w:t>
      </w:r>
      <w:r w:rsidR="00A62B29" w:rsidRPr="006D71C7">
        <w:t>zas uwzględnione w RPO WSL, tj. </w:t>
      </w:r>
      <w:r w:rsidRPr="006D71C7">
        <w:t>inwestycyjne ogólne, inwestycyjne turystyczne, doradcze, informatyczne, innowacyjne i promocyjne powinny nadal być wspierane z regionalnego programu operacyjnego w przyszłej perspektywie programowania.</w:t>
      </w:r>
      <w:r w:rsidR="00A62B29" w:rsidRPr="006D71C7">
        <w:t xml:space="preserve"> Adresat rekomendacji: IZ </w:t>
      </w:r>
      <w:r w:rsidRPr="006D71C7">
        <w:t xml:space="preserve">RPO WSL </w:t>
      </w:r>
      <w:r w:rsidRPr="006D71C7">
        <w:rPr>
          <w:i/>
        </w:rPr>
        <w:t>(rekomendacja do wdrożenia w całości)</w:t>
      </w:r>
      <w:r w:rsidRPr="006D71C7">
        <w:t>.</w:t>
      </w:r>
    </w:p>
    <w:p w:rsidR="00A62B29" w:rsidRPr="006D71C7" w:rsidRDefault="00944DDF" w:rsidP="00BA2FE7">
      <w:pPr>
        <w:pStyle w:val="Akapitzlist"/>
        <w:numPr>
          <w:ilvl w:val="0"/>
          <w:numId w:val="55"/>
        </w:numPr>
        <w:jc w:val="both"/>
      </w:pPr>
      <w:r w:rsidRPr="006D71C7">
        <w:t>W przyszłym okresie programowania należy uk</w:t>
      </w:r>
      <w:r w:rsidR="00A62B29" w:rsidRPr="006D71C7">
        <w:t>ierunkować wsparcie w oparciu o </w:t>
      </w:r>
      <w:r w:rsidRPr="006D71C7">
        <w:t xml:space="preserve">wskaźniki oraz cele polityki strategicznej regionu. Kryteria oceny projektów należy powiązać ze wskaźnikami zdefiniowanymi dla programu, a w procesie oceny projektów zwiększyć wagę wskaźników projektu spójnych ze wskaźnikami programu. Adresat rekomendacji: IZ RPO WSL </w:t>
      </w:r>
      <w:r w:rsidRPr="006D71C7">
        <w:rPr>
          <w:i/>
        </w:rPr>
        <w:t>(rekomendacja do wdrożenia w całości)</w:t>
      </w:r>
      <w:r w:rsidRPr="006D71C7">
        <w:t>.</w:t>
      </w:r>
    </w:p>
    <w:p w:rsidR="00A62B29" w:rsidRPr="006D71C7" w:rsidRDefault="00944DDF" w:rsidP="00BA2FE7">
      <w:pPr>
        <w:pStyle w:val="Akapitzlist"/>
        <w:numPr>
          <w:ilvl w:val="0"/>
          <w:numId w:val="55"/>
        </w:numPr>
        <w:jc w:val="both"/>
      </w:pPr>
      <w:r w:rsidRPr="006D71C7">
        <w:t xml:space="preserve">Należy uwzględnić obszary finansowane z EFS w projektach inwestycyjnych. Rekomendowane jest dołączenie do listy wydatków kwalifikowanych również kosztów związanych z organizacją i przeprowadzeniem specjalistycznych szkoleń ściśle związanych z przedmiotem projektu w ramach cross-financing’u dla projektów inwestycyjnych, w tym w szczególności dla projektów innowacyjnych. W następnym planowanym na luty 2012 konkursie w </w:t>
      </w:r>
      <w:r w:rsidR="007338BD" w:rsidRPr="006D71C7">
        <w:rPr>
          <w:i/>
        </w:rPr>
        <w:t>poddziałaniu 1.2.3</w:t>
      </w:r>
      <w:r w:rsidRPr="006D71C7">
        <w:t xml:space="preserve"> należy umożliwić korzystanie z cross-financingu w przypadku szkoleń niezbędnych przy realizacji projektów innowacyjnych. Adresat rekomendacji: IZ RPO WSL </w:t>
      </w:r>
      <w:r w:rsidRPr="006D71C7">
        <w:rPr>
          <w:i/>
        </w:rPr>
        <w:t>(rekomendacja odrzucona)</w:t>
      </w:r>
      <w:r w:rsidRPr="006D71C7">
        <w:t>.</w:t>
      </w:r>
    </w:p>
    <w:p w:rsidR="00A62B29" w:rsidRPr="006D71C7" w:rsidRDefault="00944DDF" w:rsidP="00BA2FE7">
      <w:pPr>
        <w:pStyle w:val="Akapitzlist"/>
        <w:numPr>
          <w:ilvl w:val="0"/>
          <w:numId w:val="55"/>
        </w:numPr>
        <w:jc w:val="both"/>
      </w:pPr>
      <w:r w:rsidRPr="006D71C7">
        <w:t>Należy uwzględnić obszary finansowane z EFS w projektach inwestycyjnych. Rekomendujemy dołączenie do listy wydatków kwalifikowanych również kosztów związanych z organizacją i przeprowadzeniem specjalistycznych szkoleń ściśle związanych z przedmiotem projektu w ramach cross</w:t>
      </w:r>
      <w:r w:rsidR="004B131A">
        <w:t xml:space="preserve"> </w:t>
      </w:r>
      <w:r w:rsidRPr="006D71C7">
        <w:t>-</w:t>
      </w:r>
      <w:r w:rsidR="004B131A">
        <w:t xml:space="preserve"> </w:t>
      </w:r>
      <w:r w:rsidRPr="006D71C7">
        <w:t xml:space="preserve">financing’u dla projektów inwestycyjnych, w tym w szczególności dla projektów innowacyjnych. W przyszłej perspektywie finansowania należy umożliwić beneficjentom finansowanie kosztów organizacji i przeprowadzenia specjalistycznych szkoleń powiązanych z przedmiotem projektu w ramach projektów inwestycyjnych (w tym inwestycyjnych ogólnych, turystycznych oraz innowacyjnych) w regionalnym programie operacyjnym na zasadzie cross-financingu. Adresat rekomendacji: IZ RPO WSL </w:t>
      </w:r>
      <w:r w:rsidRPr="006D71C7">
        <w:rPr>
          <w:i/>
        </w:rPr>
        <w:t>(rekomendacja w części do wdrożenia).</w:t>
      </w:r>
    </w:p>
    <w:p w:rsidR="00A62B29" w:rsidRPr="006D71C7" w:rsidRDefault="00944DDF" w:rsidP="00BA2FE7">
      <w:pPr>
        <w:pStyle w:val="Akapitzlist"/>
        <w:numPr>
          <w:ilvl w:val="0"/>
          <w:numId w:val="55"/>
        </w:numPr>
        <w:jc w:val="both"/>
      </w:pPr>
      <w:r w:rsidRPr="006D71C7">
        <w:t>Rekomendowane jest dołączenie do możliwych typów projektów badań przemysłowych i rozwojowych. Rekomendacja ta</w:t>
      </w:r>
      <w:r w:rsidR="00A62B29" w:rsidRPr="006D71C7">
        <w:t xml:space="preserve"> dotyczy zarówno obecnego jak i </w:t>
      </w:r>
      <w:r w:rsidRPr="006D71C7">
        <w:t xml:space="preserve">przyszłego okresu programowania. Adresat rekomendacji: IZ RPO WSL </w:t>
      </w:r>
      <w:r w:rsidRPr="006D71C7">
        <w:rPr>
          <w:i/>
        </w:rPr>
        <w:t>(rekomendacja odrzucona)</w:t>
      </w:r>
      <w:r w:rsidRPr="006D71C7">
        <w:t>.</w:t>
      </w:r>
    </w:p>
    <w:p w:rsidR="00A62B29" w:rsidRPr="006D71C7" w:rsidRDefault="00944DDF" w:rsidP="00BA2FE7">
      <w:pPr>
        <w:pStyle w:val="Akapitzlist"/>
        <w:numPr>
          <w:ilvl w:val="0"/>
          <w:numId w:val="55"/>
        </w:numPr>
        <w:jc w:val="both"/>
      </w:pPr>
      <w:r w:rsidRPr="006D71C7">
        <w:t xml:space="preserve">Rekomendowane jest w przyszłym okresie programowania, aby projekty promocyjne typu dofinansowanie do wyjazdów na targi, misje gospodarcze realizować w ramach projektu własnego Instytucji Zarządzającej lub Instytucji Pośredniczącej 2 stopnia. Rekomendowane jest wprowadzenie zasad podobnych jak zrobiła to Instytucja Zarządzająca RPO woj. kujawsko-pomorskiego. Adresat rekomendacji: IZ RPO WSL, IP2 RPO WSL </w:t>
      </w:r>
      <w:r w:rsidRPr="006D71C7">
        <w:rPr>
          <w:i/>
        </w:rPr>
        <w:t>(rekomendacja w części do wdrożenia)</w:t>
      </w:r>
      <w:r w:rsidRPr="006D71C7">
        <w:t>.</w:t>
      </w:r>
    </w:p>
    <w:p w:rsidR="00A62B29" w:rsidRPr="006D71C7" w:rsidRDefault="00944DDF" w:rsidP="00BA2FE7">
      <w:pPr>
        <w:pStyle w:val="Akapitzlist"/>
        <w:numPr>
          <w:ilvl w:val="0"/>
          <w:numId w:val="55"/>
        </w:numPr>
        <w:jc w:val="both"/>
      </w:pPr>
      <w:r w:rsidRPr="006D71C7">
        <w:t xml:space="preserve">Rekomendowane jest dołączenie do możliwych typów projekty dla start-upów, w tym spółek kapitałowych. Adresat rekomendacji: IZ RPO WSL </w:t>
      </w:r>
      <w:r w:rsidRPr="006D71C7">
        <w:rPr>
          <w:i/>
        </w:rPr>
        <w:t>(</w:t>
      </w:r>
      <w:r w:rsidR="00A62B29" w:rsidRPr="006D71C7">
        <w:rPr>
          <w:i/>
        </w:rPr>
        <w:t>rekomendacja do </w:t>
      </w:r>
      <w:r w:rsidRPr="006D71C7">
        <w:rPr>
          <w:i/>
        </w:rPr>
        <w:t>wdrożenia w całości)</w:t>
      </w:r>
      <w:r w:rsidRPr="006D71C7">
        <w:t>.</w:t>
      </w:r>
    </w:p>
    <w:p w:rsidR="00A62B29" w:rsidRPr="006D71C7" w:rsidRDefault="00944DDF" w:rsidP="00BA2FE7">
      <w:pPr>
        <w:pStyle w:val="Akapitzlist"/>
        <w:numPr>
          <w:ilvl w:val="0"/>
          <w:numId w:val="55"/>
        </w:numPr>
        <w:jc w:val="both"/>
      </w:pPr>
      <w:r w:rsidRPr="006D71C7">
        <w:t xml:space="preserve">Rekomendowane jest dołączenie do listy kryteriów – kryterium wkładu własnego jako kryterium merytoryczne ogólne o wadze 0,5. Adresat rekomendacji: IZ RPO WSL </w:t>
      </w:r>
      <w:r w:rsidRPr="006D71C7">
        <w:rPr>
          <w:i/>
        </w:rPr>
        <w:t>(rekomendacja odrzucona)</w:t>
      </w:r>
      <w:r w:rsidRPr="006D71C7">
        <w:t>.</w:t>
      </w:r>
    </w:p>
    <w:p w:rsidR="00A62B29" w:rsidRPr="006D71C7" w:rsidRDefault="00944DDF" w:rsidP="00BA2FE7">
      <w:pPr>
        <w:pStyle w:val="Akapitzlist"/>
        <w:numPr>
          <w:ilvl w:val="0"/>
          <w:numId w:val="55"/>
        </w:numPr>
        <w:jc w:val="both"/>
      </w:pPr>
      <w:r w:rsidRPr="006D71C7">
        <w:t>Rekomendowane jest w przyszłym okresie finansowania rozszerzenie katalogu wydatków dla projektów promocyjnych o usługi doradcze w zakresie: promocji podczas zagranicznych targów i wystaw, określenia potencjalnych partnerów handlowych, przygotowania ofert współpracy, negocjacji handlowych. Adresat rekomendacji: IZ RPO WSL (</w:t>
      </w:r>
      <w:r w:rsidRPr="006D71C7">
        <w:rPr>
          <w:i/>
        </w:rPr>
        <w:t>rekomendacja do wdrożenia w całości)</w:t>
      </w:r>
      <w:r w:rsidRPr="006D71C7">
        <w:t>.</w:t>
      </w:r>
    </w:p>
    <w:p w:rsidR="00944DDF" w:rsidRPr="006D71C7" w:rsidRDefault="00944DDF" w:rsidP="00BA2FE7">
      <w:pPr>
        <w:pStyle w:val="Akapitzlist"/>
        <w:numPr>
          <w:ilvl w:val="0"/>
          <w:numId w:val="55"/>
        </w:numPr>
        <w:jc w:val="both"/>
      </w:pPr>
      <w:r w:rsidRPr="006D71C7">
        <w:t xml:space="preserve">Rekomendowane jest wprowadzenie skutecznego mechanizmu weryfikacji stanu wdrażania projektów na podstawie bieżących informacji od projektodawców. Adresat rekomendacji: IZ RPO WSL </w:t>
      </w:r>
      <w:r w:rsidRPr="006D71C7">
        <w:rPr>
          <w:i/>
        </w:rPr>
        <w:t>(rekomendacja w części wdrożona)</w:t>
      </w:r>
      <w:r w:rsidRPr="006D71C7">
        <w:t>.</w:t>
      </w:r>
    </w:p>
    <w:p w:rsidR="00245F70" w:rsidRPr="006D71C7" w:rsidRDefault="00A62B29" w:rsidP="006D71C7">
      <w:pPr>
        <w:spacing w:after="0"/>
        <w:jc w:val="both"/>
      </w:pPr>
      <w:r w:rsidRPr="006D71C7">
        <w:t xml:space="preserve">Badanie </w:t>
      </w:r>
      <w:r w:rsidR="00944DDF" w:rsidRPr="006D71C7">
        <w:rPr>
          <w:i/>
        </w:rPr>
        <w:t>Ocena wsparcia działalności innowacyjnej w ramach Regionalnego Programu Operacyjnego Województwa Śląskiego na lata 2007-2013</w:t>
      </w:r>
      <w:r w:rsidR="00944DDF" w:rsidRPr="006D71C7">
        <w:t xml:space="preserve"> </w:t>
      </w:r>
      <w:r w:rsidRPr="006D71C7">
        <w:t>zostało przeprowadzone w </w:t>
      </w:r>
      <w:r w:rsidR="00944DDF" w:rsidRPr="006D71C7">
        <w:t xml:space="preserve">terminie: </w:t>
      </w:r>
      <w:r w:rsidRPr="006D71C7">
        <w:t xml:space="preserve">12 sierpnia 2011 – 22 grudnia </w:t>
      </w:r>
      <w:r w:rsidR="00944DDF" w:rsidRPr="006D71C7">
        <w:t>2011. Ewaluacja miała za zadanie wskazać pożądane kierunki działań w obszarze innowacji oraz transferu technologii w województwie śląskim. Wyniki badania były podstawą wskazania następujących rekomendacji (w nawiasie podano status rekomendacji):</w:t>
      </w:r>
    </w:p>
    <w:p w:rsidR="00245F70" w:rsidRPr="006D71C7" w:rsidRDefault="00EA299C" w:rsidP="00BA2FE7">
      <w:pPr>
        <w:pStyle w:val="Akapitzlist"/>
        <w:numPr>
          <w:ilvl w:val="0"/>
          <w:numId w:val="56"/>
        </w:numPr>
        <w:spacing w:after="0"/>
        <w:jc w:val="both"/>
      </w:pPr>
      <w:r w:rsidRPr="006D71C7">
        <w:t>w</w:t>
      </w:r>
      <w:r w:rsidR="00944DDF" w:rsidRPr="006D71C7">
        <w:t xml:space="preserve"> planowaniu nowego okresu programowania należy uwzględnić w dużym stopniu zwrotne instrumenty wsparcia. Adresat rekomendacji: IZ RPO WSL </w:t>
      </w:r>
      <w:r w:rsidR="00944DDF" w:rsidRPr="006D71C7">
        <w:rPr>
          <w:i/>
        </w:rPr>
        <w:t>(</w:t>
      </w:r>
      <w:r w:rsidR="00A62B29" w:rsidRPr="006D71C7">
        <w:rPr>
          <w:i/>
        </w:rPr>
        <w:t>rekomendacja w </w:t>
      </w:r>
      <w:r w:rsidR="00944DDF" w:rsidRPr="006D71C7">
        <w:rPr>
          <w:i/>
        </w:rPr>
        <w:t>części do wdrożenia)</w:t>
      </w:r>
      <w:r w:rsidR="00944DDF" w:rsidRPr="006D71C7">
        <w:t>.</w:t>
      </w:r>
    </w:p>
    <w:p w:rsidR="00A62B29" w:rsidRPr="006D71C7" w:rsidRDefault="00EA299C" w:rsidP="00BA2FE7">
      <w:pPr>
        <w:pStyle w:val="Akapitzlist"/>
        <w:numPr>
          <w:ilvl w:val="0"/>
          <w:numId w:val="56"/>
        </w:numPr>
        <w:jc w:val="both"/>
      </w:pPr>
      <w:r w:rsidRPr="006D71C7">
        <w:t>p</w:t>
      </w:r>
      <w:r w:rsidR="00944DDF" w:rsidRPr="006D71C7">
        <w:t xml:space="preserve">rzy programowaniu nowego okresu wsparcia należy zachować równowagę między wsparciem przedsiębiorstw wysokiej techniki a przedsiębiorstw innych sektorów, które wdrażają projekty o wysokim stopniu zaawansowania technologicznego (projekty innowacyjne). Wspierane projekty powinny dotyczyć transferu technologii przede wszystkim w dziedzinach zgodnych z RSI WSL. Adresat rekomendacji: </w:t>
      </w:r>
      <w:r w:rsidR="00A62B29" w:rsidRPr="006D71C7">
        <w:t>IZ </w:t>
      </w:r>
      <w:r w:rsidR="00944DDF" w:rsidRPr="006D71C7">
        <w:t xml:space="preserve">RPO WSL </w:t>
      </w:r>
      <w:r w:rsidR="00944DDF" w:rsidRPr="006D71C7">
        <w:rPr>
          <w:i/>
        </w:rPr>
        <w:t>(rekomendacja w części do wdrożenia)</w:t>
      </w:r>
      <w:r w:rsidR="00944DDF" w:rsidRPr="006D71C7">
        <w:t>.</w:t>
      </w:r>
    </w:p>
    <w:p w:rsidR="00A62B29" w:rsidRPr="006D71C7" w:rsidRDefault="00EA299C" w:rsidP="00BA2FE7">
      <w:pPr>
        <w:pStyle w:val="Akapitzlist"/>
        <w:numPr>
          <w:ilvl w:val="0"/>
          <w:numId w:val="56"/>
        </w:numPr>
        <w:jc w:val="both"/>
      </w:pPr>
      <w:r w:rsidRPr="006D71C7">
        <w:t>n</w:t>
      </w:r>
      <w:r w:rsidR="00944DDF" w:rsidRPr="006D71C7">
        <w:t>ależy uwzględnić zainteresowanie (badani</w:t>
      </w:r>
      <w:r w:rsidR="00A62B29" w:rsidRPr="006D71C7">
        <w:t>e popytu) usługami doradczymi w </w:t>
      </w:r>
      <w:r w:rsidR="00944DDF" w:rsidRPr="006D71C7">
        <w:t xml:space="preserve">planowaniu nowego okresu programowania oraz należy włączyć w działania doradcze Instytucje Otoczenia Biznesu. Należy także rozważyć możliwość połączenia działań inwestycyjnych z działaniami doradczymi. Adresat rekomendacji: IZ RPO WSL </w:t>
      </w:r>
      <w:r w:rsidR="00944DDF" w:rsidRPr="006D71C7">
        <w:rPr>
          <w:i/>
        </w:rPr>
        <w:t>(rekomendacja w części do wdrożenia)</w:t>
      </w:r>
      <w:r w:rsidR="00944DDF" w:rsidRPr="006D71C7">
        <w:t>.</w:t>
      </w:r>
    </w:p>
    <w:p w:rsidR="00A62B29" w:rsidRPr="006D71C7" w:rsidRDefault="00EA299C" w:rsidP="00BA2FE7">
      <w:pPr>
        <w:pStyle w:val="Akapitzlist"/>
        <w:numPr>
          <w:ilvl w:val="0"/>
          <w:numId w:val="56"/>
        </w:numPr>
        <w:jc w:val="both"/>
      </w:pPr>
      <w:r w:rsidRPr="006D71C7">
        <w:t>n</w:t>
      </w:r>
      <w:r w:rsidR="00944DDF" w:rsidRPr="006D71C7">
        <w:t xml:space="preserve">ależy podejmować działania związane z propagowaniem wiedzy na temat zarządzania własnością intelektualną przez przedsiębiorstwa oraz na temat szeroko rozumianej ochrony własności intelektualnej. Adresat rekomendacji: IP2 RPO WSL </w:t>
      </w:r>
      <w:r w:rsidR="00944DDF" w:rsidRPr="006D71C7">
        <w:rPr>
          <w:i/>
        </w:rPr>
        <w:t>(rekomendacja w części do wdrożenia)</w:t>
      </w:r>
      <w:r w:rsidR="00944DDF" w:rsidRPr="006D71C7">
        <w:t>.</w:t>
      </w:r>
    </w:p>
    <w:p w:rsidR="00A62B29" w:rsidRPr="006D71C7" w:rsidRDefault="00EA299C" w:rsidP="00BA2FE7">
      <w:pPr>
        <w:pStyle w:val="Akapitzlist"/>
        <w:numPr>
          <w:ilvl w:val="0"/>
          <w:numId w:val="56"/>
        </w:numPr>
        <w:jc w:val="both"/>
      </w:pPr>
      <w:r w:rsidRPr="006D71C7">
        <w:t>r</w:t>
      </w:r>
      <w:r w:rsidR="00944DDF" w:rsidRPr="006D71C7">
        <w:t>ekomenduje się dopuszczenie możliwości łąc</w:t>
      </w:r>
      <w:r w:rsidR="0035210A" w:rsidRPr="006D71C7">
        <w:t>zenia różnych typów projektów w </w:t>
      </w:r>
      <w:r w:rsidR="00944DDF" w:rsidRPr="006D71C7">
        <w:t xml:space="preserve">odpowiedniku </w:t>
      </w:r>
      <w:r w:rsidR="007338BD" w:rsidRPr="006D71C7">
        <w:rPr>
          <w:i/>
        </w:rPr>
        <w:t>działania 1.3</w:t>
      </w:r>
      <w:r w:rsidR="00944DDF" w:rsidRPr="006D71C7">
        <w:t xml:space="preserve"> RPO WSL w nowym programie operacyjnym. Adresat rekomendacji: IZ RPO WSL </w:t>
      </w:r>
      <w:r w:rsidR="00944DDF" w:rsidRPr="006D71C7">
        <w:rPr>
          <w:i/>
        </w:rPr>
        <w:t>(rekomendacja do wdrożenia w całości)</w:t>
      </w:r>
      <w:r w:rsidR="00944DDF" w:rsidRPr="006D71C7">
        <w:t>.</w:t>
      </w:r>
    </w:p>
    <w:p w:rsidR="00A62B29" w:rsidRPr="006D71C7" w:rsidRDefault="00EA299C" w:rsidP="00BA2FE7">
      <w:pPr>
        <w:pStyle w:val="Akapitzlist"/>
        <w:numPr>
          <w:ilvl w:val="0"/>
          <w:numId w:val="56"/>
        </w:numPr>
        <w:jc w:val="both"/>
      </w:pPr>
      <w:r w:rsidRPr="006D71C7">
        <w:t>n</w:t>
      </w:r>
      <w:r w:rsidR="00944DDF" w:rsidRPr="006D71C7">
        <w:t xml:space="preserve">ależy uporządkować system finansowania działalności innowacyjnej. Projekty realizowane w ramach </w:t>
      </w:r>
      <w:r w:rsidR="007338BD" w:rsidRPr="006D71C7">
        <w:rPr>
          <w:i/>
        </w:rPr>
        <w:t>działania 1.3</w:t>
      </w:r>
      <w:r w:rsidR="00944DDF" w:rsidRPr="006D71C7">
        <w:t xml:space="preserve"> RPO WSL (w odpowiedniku lub odpowiednikach tego działania w nowym okresie programowania) należy podzielić inte</w:t>
      </w:r>
      <w:r w:rsidR="0035210A" w:rsidRPr="006D71C7">
        <w:t>rwencję na </w:t>
      </w:r>
      <w:r w:rsidR="00944DDF" w:rsidRPr="006D71C7">
        <w:t xml:space="preserve">działania/ poddziałania infrastrukturalne oraz doradcze, sieciowe i klastrowe, tak by móc zachować większą przejrzystość finansowania. W odniesieniu do wsparcia na rzecz klastrów powinno się w większym stopniu uwzględniać ich specyfikę sektorową, a także stopień zaawansowania (dojrzałości) klastra. Wsparcie jest obecnie kierowane przede wszystkim na tworzenie klastra, natomiast brakuje instrumentu wspierającego jego rozwój. Adresat rekomendacji: IZ RPO WSL </w:t>
      </w:r>
      <w:r w:rsidR="00944DDF" w:rsidRPr="006D71C7">
        <w:rPr>
          <w:i/>
        </w:rPr>
        <w:t>(</w:t>
      </w:r>
      <w:r w:rsidR="0035210A" w:rsidRPr="006D71C7">
        <w:rPr>
          <w:i/>
        </w:rPr>
        <w:t>rekomendacja w </w:t>
      </w:r>
      <w:r w:rsidR="00944DDF" w:rsidRPr="006D71C7">
        <w:rPr>
          <w:i/>
        </w:rPr>
        <w:t>części do wdrożenia)</w:t>
      </w:r>
      <w:r w:rsidR="00944DDF" w:rsidRPr="006D71C7">
        <w:t>.</w:t>
      </w:r>
    </w:p>
    <w:p w:rsidR="00A62B29" w:rsidRPr="006D71C7" w:rsidRDefault="00EA299C" w:rsidP="00BA2FE7">
      <w:pPr>
        <w:pStyle w:val="Akapitzlist"/>
        <w:numPr>
          <w:ilvl w:val="0"/>
          <w:numId w:val="56"/>
        </w:numPr>
        <w:jc w:val="both"/>
      </w:pPr>
      <w:r w:rsidRPr="006D71C7">
        <w:t>r</w:t>
      </w:r>
      <w:r w:rsidR="00944DDF" w:rsidRPr="006D71C7">
        <w:t xml:space="preserve">ekomenduje się przeprowadzenie działań informujących instytucje otoczenia biznesu jako beneficjentów (oraz potencjalnych beneficjentów przyszłego okresu programowania) na temat pomocy publicznej. Adresat rekomendacji: IZ RPO WSL </w:t>
      </w:r>
      <w:r w:rsidR="00944DDF" w:rsidRPr="006D71C7">
        <w:rPr>
          <w:i/>
        </w:rPr>
        <w:t>(rekomendacja w części wdrożona)</w:t>
      </w:r>
      <w:r w:rsidR="00944DDF" w:rsidRPr="006D71C7">
        <w:t>.</w:t>
      </w:r>
    </w:p>
    <w:p w:rsidR="00944DDF" w:rsidRPr="006D71C7" w:rsidRDefault="00EA299C" w:rsidP="00BA2FE7">
      <w:pPr>
        <w:pStyle w:val="Akapitzlist"/>
        <w:numPr>
          <w:ilvl w:val="0"/>
          <w:numId w:val="56"/>
        </w:numPr>
        <w:jc w:val="both"/>
      </w:pPr>
      <w:r w:rsidRPr="006D71C7">
        <w:t>r</w:t>
      </w:r>
      <w:r w:rsidR="00944DDF" w:rsidRPr="006D71C7">
        <w:t xml:space="preserve">ekomenduje się ujednolicenie terminologii stosowanej w dokumentach programowych, w szczególności w zakresie rozumienia terminu wysokiej techniki (zamiast wysokiej technologii) i dostosowanie jego zakresu do obowiązujących obecnie systemów klasyfikacji. Adresat rekomendacji: IZ RPO WSL </w:t>
      </w:r>
      <w:r w:rsidR="00944DDF" w:rsidRPr="006D71C7">
        <w:rPr>
          <w:i/>
        </w:rPr>
        <w:t>(rekomendacja do wdrożenia w całości)</w:t>
      </w:r>
      <w:r w:rsidR="00944DDF" w:rsidRPr="006D71C7">
        <w:t>.</w:t>
      </w:r>
    </w:p>
    <w:p w:rsidR="00D72267" w:rsidRPr="006D71C7" w:rsidRDefault="00D72267" w:rsidP="006D71C7">
      <w:pPr>
        <w:spacing w:after="120"/>
        <w:jc w:val="both"/>
      </w:pPr>
      <w:r w:rsidRPr="006D71C7">
        <w:t xml:space="preserve">W 2011 roku zaplanowane zostało przeprowadzenie wewnętrznej analizy wskaźnikowej </w:t>
      </w:r>
      <w:r w:rsidR="004D21EE" w:rsidRPr="006D71C7">
        <w:t>w </w:t>
      </w:r>
      <w:r w:rsidRPr="006D71C7">
        <w:t xml:space="preserve">zakresie stanu realizacji oraz prognoz osiągnięcia wartości docelowych wskaźników określonych </w:t>
      </w:r>
      <w:r w:rsidRPr="006D71C7">
        <w:rPr>
          <w:i/>
        </w:rPr>
        <w:t>w Programie</w:t>
      </w:r>
      <w:r w:rsidRPr="006D71C7">
        <w:t>.</w:t>
      </w:r>
    </w:p>
    <w:p w:rsidR="00D72267" w:rsidRPr="006D71C7" w:rsidRDefault="00D72267" w:rsidP="006D71C7">
      <w:pPr>
        <w:spacing w:after="0"/>
        <w:ind w:left="360"/>
        <w:jc w:val="both"/>
      </w:pPr>
      <w:r w:rsidRPr="006D71C7">
        <w:t>Założenia analizy są następujące:</w:t>
      </w:r>
    </w:p>
    <w:p w:rsidR="00D72267" w:rsidRPr="006D71C7" w:rsidRDefault="00D72267" w:rsidP="00BA2FE7">
      <w:pPr>
        <w:pStyle w:val="Akapitzlist"/>
        <w:numPr>
          <w:ilvl w:val="0"/>
          <w:numId w:val="56"/>
        </w:numPr>
        <w:spacing w:after="0"/>
        <w:jc w:val="both"/>
      </w:pPr>
      <w:r w:rsidRPr="006D71C7">
        <w:t>sprawdzenie w ramach jednego priorytetu, czy pewne wskaźniki są realizowane mimo tego, że nie zostały wybrane i nie są sprawozdawane przez beneficjenta,</w:t>
      </w:r>
    </w:p>
    <w:p w:rsidR="00D72267" w:rsidRPr="006D71C7" w:rsidRDefault="00D72267" w:rsidP="00BA2FE7">
      <w:pPr>
        <w:pStyle w:val="Akapitzlist"/>
        <w:numPr>
          <w:ilvl w:val="0"/>
          <w:numId w:val="56"/>
        </w:numPr>
        <w:spacing w:after="0"/>
        <w:jc w:val="both"/>
      </w:pPr>
      <w:r w:rsidRPr="006D71C7">
        <w:t>sprawdzenie w ramach innych priorytetów, czy istnieją wskaźniki które mogą „zasilać” wskaźniki zidentyfikowane jako problemowe,</w:t>
      </w:r>
    </w:p>
    <w:p w:rsidR="00D72267" w:rsidRPr="006D71C7" w:rsidRDefault="00D72267" w:rsidP="00BA2FE7">
      <w:pPr>
        <w:pStyle w:val="Akapitzlist"/>
        <w:numPr>
          <w:ilvl w:val="0"/>
          <w:numId w:val="56"/>
        </w:numPr>
        <w:spacing w:after="120"/>
        <w:ind w:left="714" w:hanging="357"/>
        <w:jc w:val="both"/>
      </w:pPr>
      <w:r w:rsidRPr="006D71C7">
        <w:t>przedstawienie całościowego postępu wskaźników z danego zakresu, uwzględniającego wskaźniki realizowane w ramach danego priorytetu oraz  pojawiające się w innych priorytetach.</w:t>
      </w:r>
    </w:p>
    <w:p w:rsidR="00D72267" w:rsidRPr="006D71C7" w:rsidRDefault="00D72267" w:rsidP="006D71C7">
      <w:pPr>
        <w:spacing w:after="0"/>
        <w:jc w:val="both"/>
      </w:pPr>
      <w:r w:rsidRPr="006D71C7">
        <w:t>Analiza obejmować będzie wskaźniki z RPO WSL dla których poziom szacowanej realizacji na dzień 30 września 2011 r., był mniejszy bądź równy 50%</w:t>
      </w:r>
      <w:r w:rsidR="008025DC" w:rsidRPr="006D71C7">
        <w:t xml:space="preserve"> wartości docelowej</w:t>
      </w:r>
      <w:r w:rsidRPr="006D71C7">
        <w:t>. W wyniku analizy powstanie tabela zawierająca zestawienie wskaźników problemowych i ich wielkości w 3 ujęciach:</w:t>
      </w:r>
    </w:p>
    <w:p w:rsidR="00D72267" w:rsidRPr="006D71C7" w:rsidRDefault="00D72267" w:rsidP="00BA2FE7">
      <w:pPr>
        <w:pStyle w:val="Akapitzlist"/>
        <w:widowControl w:val="0"/>
        <w:numPr>
          <w:ilvl w:val="0"/>
          <w:numId w:val="94"/>
        </w:numPr>
        <w:suppressAutoHyphens/>
        <w:spacing w:after="0"/>
        <w:ind w:left="709"/>
        <w:jc w:val="both"/>
      </w:pPr>
      <w:r w:rsidRPr="006D71C7">
        <w:t>wynikających z wniosków o płatność końcową przekładanych przez beneficjentów</w:t>
      </w:r>
      <w:r w:rsidR="008025DC" w:rsidRPr="006D71C7">
        <w:t xml:space="preserve"> </w:t>
      </w:r>
      <w:r w:rsidRPr="006D71C7">
        <w:t>(kolumna 1),</w:t>
      </w:r>
    </w:p>
    <w:p w:rsidR="00D72267" w:rsidRPr="006D71C7" w:rsidRDefault="00D72267" w:rsidP="00BA2FE7">
      <w:pPr>
        <w:pStyle w:val="Akapitzlist"/>
        <w:widowControl w:val="0"/>
        <w:numPr>
          <w:ilvl w:val="0"/>
          <w:numId w:val="94"/>
        </w:numPr>
        <w:suppressAutoHyphens/>
        <w:spacing w:after="0"/>
        <w:ind w:left="709"/>
        <w:jc w:val="both"/>
      </w:pPr>
      <w:r w:rsidRPr="006D71C7">
        <w:t>kolumna 1 powiększona o wskaźniki realizowane w ramach danego priorytetu, ale nie sprawozdawane przez beneficjentów lub nie ujęte w ramach systemu „mapowania wskaźników” (kolumna 2),</w:t>
      </w:r>
    </w:p>
    <w:p w:rsidR="00D72267" w:rsidRPr="006D71C7" w:rsidRDefault="00D72267" w:rsidP="00BA2FE7">
      <w:pPr>
        <w:pStyle w:val="Akapitzlist"/>
        <w:widowControl w:val="0"/>
        <w:numPr>
          <w:ilvl w:val="0"/>
          <w:numId w:val="94"/>
        </w:numPr>
        <w:suppressAutoHyphens/>
        <w:spacing w:after="120"/>
        <w:ind w:left="709" w:hanging="357"/>
        <w:jc w:val="both"/>
      </w:pPr>
      <w:r w:rsidRPr="006D71C7">
        <w:t>kolumna 2 powiększona o wskaźniki realizowane w ramach innych priorytetów, a mogące „zasilić” wskaźniki problemowe (kolumna 3).</w:t>
      </w:r>
    </w:p>
    <w:p w:rsidR="00D72267" w:rsidRPr="006D71C7" w:rsidRDefault="00D72267" w:rsidP="006D71C7">
      <w:pPr>
        <w:spacing w:after="0"/>
        <w:jc w:val="both"/>
      </w:pPr>
      <w:r w:rsidRPr="006D71C7">
        <w:t>Wyniki przeprowadzonej analizy wewnętrznej będą znane dopiero w roku 2012 i zostaną przestawione w kolejny</w:t>
      </w:r>
      <w:r w:rsidR="00E062FC" w:rsidRPr="006D71C7">
        <w:t>m</w:t>
      </w:r>
      <w:r w:rsidRPr="006D71C7">
        <w:t xml:space="preserve"> sprawozdaniu.</w:t>
      </w:r>
    </w:p>
    <w:p w:rsidR="00D72267" w:rsidRPr="006D71C7" w:rsidRDefault="00D72267" w:rsidP="006D71C7">
      <w:pPr>
        <w:spacing w:after="0"/>
        <w:jc w:val="both"/>
      </w:pPr>
    </w:p>
    <w:p w:rsidR="00944DDF" w:rsidRPr="006D71C7" w:rsidRDefault="00944DDF" w:rsidP="006D71C7">
      <w:pPr>
        <w:spacing w:after="0"/>
        <w:jc w:val="both"/>
      </w:pPr>
      <w:r w:rsidRPr="006D71C7">
        <w:t xml:space="preserve">Zgodnie z </w:t>
      </w:r>
      <w:r w:rsidRPr="006D71C7">
        <w:rPr>
          <w:i/>
        </w:rPr>
        <w:t>Okresowym planem ewaluacji RPO WSL na rok 2012</w:t>
      </w:r>
      <w:r w:rsidRPr="006D71C7">
        <w:t xml:space="preserve"> zaplanowano następujące badania: </w:t>
      </w:r>
    </w:p>
    <w:p w:rsidR="00944DDF" w:rsidRPr="006D71C7" w:rsidRDefault="00944DDF" w:rsidP="00BA2FE7">
      <w:pPr>
        <w:pStyle w:val="Akapitzlist"/>
        <w:numPr>
          <w:ilvl w:val="6"/>
          <w:numId w:val="57"/>
        </w:numPr>
        <w:spacing w:after="0"/>
        <w:ind w:left="709"/>
        <w:jc w:val="both"/>
      </w:pPr>
      <w:r w:rsidRPr="006D71C7">
        <w:t>Wpływ Regionalnego Programu Operacyjnego Województwa Śląskiego na lata 2007-2013 na wzrost dostępności e-usług oraz wykorzystania rozwiązań z zakresu technologii informacyjnych w instytucjach publicznych</w:t>
      </w:r>
      <w:r w:rsidR="0035210A" w:rsidRPr="006D71C7">
        <w:t xml:space="preserve"> – badanie niezrealizowane w </w:t>
      </w:r>
      <w:r w:rsidRPr="006D71C7">
        <w:t xml:space="preserve">2011 roku. </w:t>
      </w:r>
    </w:p>
    <w:p w:rsidR="00944DDF" w:rsidRPr="006D71C7" w:rsidRDefault="00944DDF" w:rsidP="00BA2FE7">
      <w:pPr>
        <w:pStyle w:val="Akapitzlist"/>
        <w:numPr>
          <w:ilvl w:val="6"/>
          <w:numId w:val="57"/>
        </w:numPr>
        <w:ind w:left="709"/>
        <w:jc w:val="both"/>
      </w:pPr>
      <w:r w:rsidRPr="006D71C7">
        <w:t>Wstępna ocena realizacji i efektów Regionalnego Programu Operacyjnego Województwa Śląskiego na lata 2007-2013.</w:t>
      </w:r>
    </w:p>
    <w:p w:rsidR="00944DDF" w:rsidRPr="006D71C7" w:rsidRDefault="00944DDF" w:rsidP="00BA2FE7">
      <w:pPr>
        <w:pStyle w:val="Akapitzlist"/>
        <w:numPr>
          <w:ilvl w:val="6"/>
          <w:numId w:val="57"/>
        </w:numPr>
        <w:ind w:left="709"/>
        <w:jc w:val="both"/>
      </w:pPr>
      <w:r w:rsidRPr="006D71C7">
        <w:t>Realizacja celów Strategii lizbońskiej oraz Strategii Europa 2020 w ramach Regionalnego Programu Operacyjnego Województwa Śląskiego na lata 2007-2013.</w:t>
      </w:r>
    </w:p>
    <w:p w:rsidR="00944DDF" w:rsidRPr="006D71C7" w:rsidRDefault="00944DDF" w:rsidP="00BA2FE7">
      <w:pPr>
        <w:pStyle w:val="Akapitzlist"/>
        <w:numPr>
          <w:ilvl w:val="6"/>
          <w:numId w:val="57"/>
        </w:numPr>
        <w:ind w:left="709"/>
        <w:jc w:val="both"/>
      </w:pPr>
      <w:r w:rsidRPr="006D71C7">
        <w:t>Badanie ad hoc – badanie wynikające z bieżących potrzeb.</w:t>
      </w:r>
    </w:p>
    <w:p w:rsidR="00830C45" w:rsidRPr="006D71C7" w:rsidRDefault="00830C45" w:rsidP="00BA2FE7">
      <w:pPr>
        <w:pStyle w:val="Akapitzlist"/>
        <w:numPr>
          <w:ilvl w:val="6"/>
          <w:numId w:val="57"/>
        </w:numPr>
        <w:ind w:left="709"/>
        <w:jc w:val="both"/>
      </w:pPr>
      <w:r w:rsidRPr="006D71C7">
        <w:t>Badanie ad hoc – badanie wynikające z bieżących potrzeb.</w:t>
      </w:r>
    </w:p>
    <w:p w:rsidR="0005410E" w:rsidRPr="006D71C7" w:rsidRDefault="00E44009" w:rsidP="00BA2FE7">
      <w:pPr>
        <w:pStyle w:val="Nagwek1"/>
        <w:numPr>
          <w:ilvl w:val="1"/>
          <w:numId w:val="36"/>
        </w:numPr>
        <w:tabs>
          <w:tab w:val="left" w:pos="1560"/>
        </w:tabs>
        <w:spacing w:after="120"/>
        <w:jc w:val="both"/>
        <w:rPr>
          <w:bCs w:val="0"/>
          <w:spacing w:val="-2"/>
          <w:szCs w:val="24"/>
        </w:rPr>
      </w:pPr>
      <w:bookmarkStart w:id="263" w:name="_Toc292789270"/>
      <w:bookmarkStart w:id="264" w:name="_Toc292793562"/>
      <w:bookmarkStart w:id="265" w:name="_Toc327259241"/>
      <w:r w:rsidRPr="006D71C7">
        <w:rPr>
          <w:bCs w:val="0"/>
          <w:spacing w:val="-2"/>
          <w:szCs w:val="24"/>
        </w:rPr>
        <w:t>KRAJOWA REZERWA WYKONANIA POMOCY</w:t>
      </w:r>
      <w:bookmarkEnd w:id="263"/>
      <w:bookmarkEnd w:id="264"/>
      <w:bookmarkEnd w:id="265"/>
    </w:p>
    <w:p w:rsidR="007F5651" w:rsidRPr="006D71C7" w:rsidRDefault="007F5651" w:rsidP="006D71C7">
      <w:pPr>
        <w:spacing w:after="0"/>
        <w:jc w:val="both"/>
      </w:pPr>
      <w:r w:rsidRPr="006D71C7">
        <w:t xml:space="preserve">Przekazana w maju 2011 r. do Komisji Europejskiej propozycja zmian w </w:t>
      </w:r>
      <w:r w:rsidRPr="006D71C7">
        <w:rPr>
          <w:i/>
        </w:rPr>
        <w:t>Programie</w:t>
      </w:r>
      <w:r w:rsidRPr="006D71C7">
        <w:t>, została przyjęta 2 grudnia 2011 r.</w:t>
      </w:r>
    </w:p>
    <w:p w:rsidR="007F5651" w:rsidRPr="006D71C7" w:rsidRDefault="007F5651" w:rsidP="006D71C7">
      <w:pPr>
        <w:spacing w:after="0"/>
        <w:jc w:val="both"/>
      </w:pPr>
      <w:r w:rsidRPr="006D71C7">
        <w:t xml:space="preserve"> </w:t>
      </w:r>
    </w:p>
    <w:p w:rsidR="007F5651" w:rsidRPr="006D71C7" w:rsidRDefault="007F5651" w:rsidP="006D71C7">
      <w:pPr>
        <w:spacing w:after="0"/>
        <w:jc w:val="both"/>
      </w:pPr>
      <w:r w:rsidRPr="006D71C7">
        <w:t xml:space="preserve">Przyczyny aktualizacji Programu: </w:t>
      </w:r>
    </w:p>
    <w:p w:rsidR="00C868FB" w:rsidRPr="006D71C7" w:rsidRDefault="005763E7" w:rsidP="00BA2FE7">
      <w:pPr>
        <w:numPr>
          <w:ilvl w:val="0"/>
          <w:numId w:val="58"/>
        </w:numPr>
        <w:spacing w:after="0"/>
        <w:ind w:left="714" w:hanging="357"/>
        <w:jc w:val="both"/>
      </w:pPr>
      <w:r w:rsidRPr="006D71C7">
        <w:t xml:space="preserve">Konieczności przeprowadzenia przeglądu śródokresowego </w:t>
      </w:r>
      <w:r w:rsidRPr="006D71C7">
        <w:rPr>
          <w:i/>
          <w:iCs/>
        </w:rPr>
        <w:t>Programu</w:t>
      </w:r>
      <w:r w:rsidRPr="006D71C7">
        <w:t xml:space="preserve">, </w:t>
      </w:r>
    </w:p>
    <w:p w:rsidR="00C868FB" w:rsidRPr="006D71C7" w:rsidRDefault="005763E7" w:rsidP="00BA2FE7">
      <w:pPr>
        <w:numPr>
          <w:ilvl w:val="0"/>
          <w:numId w:val="58"/>
        </w:numPr>
        <w:spacing w:after="0"/>
        <w:ind w:left="714" w:hanging="357"/>
        <w:jc w:val="both"/>
      </w:pPr>
      <w:r w:rsidRPr="006D71C7">
        <w:t xml:space="preserve">Zwiększenie alokacji RPO WSL o środki z Krajowej Rezerwy Wykonania oraz Dostosowania Technicznego w łącznej kwocie: 34 124 204 </w:t>
      </w:r>
      <w:r w:rsidR="007F5651" w:rsidRPr="006D71C7">
        <w:t>EUR.</w:t>
      </w:r>
    </w:p>
    <w:p w:rsidR="007F5651" w:rsidRPr="006D71C7" w:rsidRDefault="007F5651" w:rsidP="006D71C7">
      <w:pPr>
        <w:spacing w:after="0"/>
        <w:jc w:val="both"/>
      </w:pPr>
    </w:p>
    <w:p w:rsidR="007F5651" w:rsidRPr="006D71C7" w:rsidRDefault="007F5651" w:rsidP="006D71C7">
      <w:pPr>
        <w:spacing w:after="0"/>
        <w:jc w:val="both"/>
      </w:pPr>
      <w:r w:rsidRPr="006D71C7">
        <w:t xml:space="preserve">Zmiany RPO WSL obowiązują od 5 grudnia 2010 r., kiedy strona polska otrzymała notyfikację. Wprowadzone do </w:t>
      </w:r>
      <w:r w:rsidRPr="006D71C7">
        <w:rPr>
          <w:i/>
          <w:iCs/>
        </w:rPr>
        <w:t xml:space="preserve">Programu </w:t>
      </w:r>
      <w:r w:rsidRPr="006D71C7">
        <w:t>zmiany dotyczyły:</w:t>
      </w:r>
    </w:p>
    <w:p w:rsidR="00C868FB" w:rsidRPr="006D71C7" w:rsidRDefault="005763E7" w:rsidP="00BA2FE7">
      <w:pPr>
        <w:numPr>
          <w:ilvl w:val="0"/>
          <w:numId w:val="59"/>
        </w:numPr>
        <w:spacing w:after="0"/>
        <w:jc w:val="both"/>
      </w:pPr>
      <w:r w:rsidRPr="006D71C7">
        <w:t>zmiany alokacji (tabele finansowe, kategorie interwencji – zachowanie dotychczasowej alokacji na kategorie pro</w:t>
      </w:r>
      <w:r w:rsidR="008025DC" w:rsidRPr="006D71C7">
        <w:t>-</w:t>
      </w:r>
      <w:r w:rsidRPr="006D71C7">
        <w:t>lizbońskie)</w:t>
      </w:r>
      <w:r w:rsidR="008025DC" w:rsidRPr="006D71C7">
        <w:t>,</w:t>
      </w:r>
    </w:p>
    <w:p w:rsidR="00C868FB" w:rsidRPr="006D71C7" w:rsidRDefault="005763E7" w:rsidP="00BA2FE7">
      <w:pPr>
        <w:numPr>
          <w:ilvl w:val="0"/>
          <w:numId w:val="59"/>
        </w:numPr>
        <w:spacing w:after="0"/>
        <w:jc w:val="both"/>
      </w:pPr>
      <w:r w:rsidRPr="006D71C7">
        <w:t>modyfikacje systemu wskaźników</w:t>
      </w:r>
      <w:r w:rsidR="00F1646E" w:rsidRPr="006D71C7">
        <w:t>:</w:t>
      </w:r>
      <w:r w:rsidR="00887080" w:rsidRPr="006D71C7">
        <w:t xml:space="preserve"> zakresu</w:t>
      </w:r>
      <w:r w:rsidRPr="006D71C7">
        <w:t>,</w:t>
      </w:r>
      <w:r w:rsidR="00B640C7" w:rsidRPr="006D71C7">
        <w:t xml:space="preserve"> wartości do</w:t>
      </w:r>
      <w:r w:rsidR="00887080" w:rsidRPr="006D71C7">
        <w:t>celowych oraz sposobu agregacji (szczegółowe informacje zostały przedstawione przy analizie wskaźnikowej priorytetów</w:t>
      </w:r>
      <w:r w:rsidR="00147BCD" w:rsidRPr="006D71C7">
        <w:t xml:space="preserve"> w pkt. 3 niniejszego </w:t>
      </w:r>
      <w:r w:rsidR="00147BCD" w:rsidRPr="006D71C7">
        <w:rPr>
          <w:i/>
        </w:rPr>
        <w:t>Sprawozdania</w:t>
      </w:r>
      <w:r w:rsidR="00887080" w:rsidRPr="006D71C7">
        <w:t>),</w:t>
      </w:r>
    </w:p>
    <w:p w:rsidR="00C868FB" w:rsidRPr="006D71C7" w:rsidRDefault="005763E7" w:rsidP="00BA2FE7">
      <w:pPr>
        <w:numPr>
          <w:ilvl w:val="0"/>
          <w:numId w:val="59"/>
        </w:numPr>
        <w:spacing w:after="0"/>
        <w:jc w:val="both"/>
      </w:pPr>
      <w:r w:rsidRPr="006D71C7">
        <w:t xml:space="preserve"> rozszerzenie katalogu beneficjentów</w:t>
      </w:r>
      <w:r w:rsidR="004375A8" w:rsidRPr="006D71C7">
        <w:t>:</w:t>
      </w:r>
      <w:r w:rsidRPr="006D71C7">
        <w:t xml:space="preserve"> </w:t>
      </w:r>
      <w:r w:rsidR="004375A8" w:rsidRPr="006D71C7">
        <w:rPr>
          <w:i/>
        </w:rPr>
        <w:t>Priorytet II Społeczeństw informacyjne</w:t>
      </w:r>
      <w:r w:rsidR="004375A8" w:rsidRPr="006D71C7">
        <w:t xml:space="preserve"> - dodanie do katalogu beneficjentów przedsiębiorców telekomunikacyjnych, </w:t>
      </w:r>
      <w:r w:rsidR="004375A8" w:rsidRPr="006D71C7">
        <w:rPr>
          <w:i/>
        </w:rPr>
        <w:t>Priorytet V Środowisko</w:t>
      </w:r>
      <w:r w:rsidR="004375A8" w:rsidRPr="006D71C7">
        <w:t xml:space="preserve"> - dodanie do katalogu beneficjentów dużych przedsiębiorstw, </w:t>
      </w:r>
      <w:r w:rsidR="004375A8" w:rsidRPr="006D71C7">
        <w:rPr>
          <w:i/>
        </w:rPr>
        <w:t>Priorytet VI Zrównoważony rozwój miast</w:t>
      </w:r>
      <w:r w:rsidR="004375A8" w:rsidRPr="006D71C7">
        <w:t xml:space="preserve"> - dodanie do katalogu beneficjentów trzech nowych typów: przedsiębiorców, TBS-ów i administracji rządowej,</w:t>
      </w:r>
      <w:r w:rsidRPr="006D71C7">
        <w:t xml:space="preserve"> </w:t>
      </w:r>
    </w:p>
    <w:p w:rsidR="007F5651" w:rsidRPr="006D71C7" w:rsidRDefault="005763E7" w:rsidP="00BA2FE7">
      <w:pPr>
        <w:numPr>
          <w:ilvl w:val="0"/>
          <w:numId w:val="59"/>
        </w:numPr>
        <w:spacing w:after="0"/>
        <w:jc w:val="both"/>
      </w:pPr>
      <w:r w:rsidRPr="006D71C7">
        <w:t xml:space="preserve"> zmiany o charakterze technicznym</w:t>
      </w:r>
      <w:r w:rsidR="002706B9" w:rsidRPr="006D71C7">
        <w:t>.</w:t>
      </w:r>
    </w:p>
    <w:p w:rsidR="002706B9" w:rsidRPr="006D71C7" w:rsidRDefault="002706B9" w:rsidP="006D71C7">
      <w:pPr>
        <w:spacing w:after="0"/>
        <w:ind w:left="720"/>
        <w:jc w:val="both"/>
      </w:pPr>
    </w:p>
    <w:p w:rsidR="00614F17" w:rsidRPr="006D71C7" w:rsidRDefault="002706B9" w:rsidP="006D71C7">
      <w:pPr>
        <w:jc w:val="both"/>
      </w:pPr>
      <w:r w:rsidRPr="006D71C7">
        <w:t xml:space="preserve">Alokacja RPO WSL w 2011 roku została zwiększona o dodatkowe środki w ramach </w:t>
      </w:r>
      <w:r w:rsidRPr="006D71C7">
        <w:rPr>
          <w:rStyle w:val="Pogrubienie"/>
          <w:b w:val="0"/>
        </w:rPr>
        <w:t>Krajowej Rezerwy Wykonania</w:t>
      </w:r>
      <w:r w:rsidRPr="006D71C7">
        <w:rPr>
          <w:rStyle w:val="Pogrubienie"/>
        </w:rPr>
        <w:t xml:space="preserve"> </w:t>
      </w:r>
      <w:r w:rsidRPr="006D71C7">
        <w:t xml:space="preserve">(9 846 717 EUR) oraz instrumentu </w:t>
      </w:r>
      <w:r w:rsidRPr="006D71C7">
        <w:rPr>
          <w:rStyle w:val="Pogrubienie"/>
          <w:b w:val="0"/>
        </w:rPr>
        <w:t>Dostosowanie Techniczne</w:t>
      </w:r>
      <w:r w:rsidRPr="006D71C7">
        <w:rPr>
          <w:rStyle w:val="Pogrubienie"/>
        </w:rPr>
        <w:t xml:space="preserve"> </w:t>
      </w:r>
      <w:r w:rsidRPr="006D71C7">
        <w:t xml:space="preserve">(24 277 487 EUR). Oba źródła powiększyły alokację RPO WSL o kwotę ponad </w:t>
      </w:r>
      <w:r w:rsidRPr="006D71C7">
        <w:rPr>
          <w:rStyle w:val="Pogrubienie"/>
          <w:b w:val="0"/>
        </w:rPr>
        <w:t>34 mln EUR</w:t>
      </w:r>
      <w:r w:rsidRPr="006D71C7">
        <w:t xml:space="preserve">, czyli do poziomu </w:t>
      </w:r>
      <w:r w:rsidRPr="006D71C7">
        <w:rPr>
          <w:rStyle w:val="Pogrubienie"/>
          <w:b w:val="0"/>
        </w:rPr>
        <w:t>1 747 104 507 EUR</w:t>
      </w:r>
      <w:r w:rsidRPr="006D71C7">
        <w:t>.</w:t>
      </w:r>
      <w:r w:rsidR="00B640C7" w:rsidRPr="006D71C7">
        <w:t xml:space="preserve"> </w:t>
      </w:r>
      <w:r w:rsidR="00BD7870">
        <w:t xml:space="preserve">IZ RPO WSL określiła obszary wsparcia na które zostały przeznaczone środki z KRW </w:t>
      </w:r>
      <w:r w:rsidR="00614F17">
        <w:t xml:space="preserve">i dostosowania technicznego </w:t>
      </w:r>
      <w:r w:rsidR="00BD7870">
        <w:t xml:space="preserve">zgodnie z dokumentem </w:t>
      </w:r>
      <w:r w:rsidR="00BD7870" w:rsidRPr="00BD7870">
        <w:rPr>
          <w:i/>
        </w:rPr>
        <w:t>Ukierunkowanie środków wspólnotowych w ramach krajowych i regionalnych programów operacyjnych</w:t>
      </w:r>
      <w:r w:rsidR="00BD7870">
        <w:t xml:space="preserve">. Z uwagi na ukierunkowanie wsparcia na obszary najbardziej istotne strategicznie z punktu widzenia priorytetów w województwie </w:t>
      </w:r>
      <w:r w:rsidR="004B131A">
        <w:t>środki z KRW jak </w:t>
      </w:r>
      <w:r w:rsidR="00614F17">
        <w:t xml:space="preserve">i dostosowania technicznego, IZ RPO WSL przeznaczyła na infrastrukturę drogową o charakterze regionalnym. </w:t>
      </w:r>
    </w:p>
    <w:p w:rsidR="00B640C7" w:rsidRPr="00614F17" w:rsidRDefault="009E7F58" w:rsidP="00BA2FE7">
      <w:pPr>
        <w:pStyle w:val="Akapitzlist"/>
        <w:numPr>
          <w:ilvl w:val="0"/>
          <w:numId w:val="108"/>
        </w:numPr>
        <w:jc w:val="both"/>
        <w:rPr>
          <w:rFonts w:eastAsia="Calibri"/>
          <w:b/>
          <w:szCs w:val="24"/>
        </w:rPr>
      </w:pPr>
      <w:r w:rsidRPr="00614F17">
        <w:rPr>
          <w:rFonts w:eastAsia="Calibri"/>
          <w:b/>
          <w:szCs w:val="24"/>
        </w:rPr>
        <w:t>W</w:t>
      </w:r>
      <w:r w:rsidR="00B640C7" w:rsidRPr="00614F17">
        <w:rPr>
          <w:rFonts w:eastAsia="Calibri"/>
          <w:b/>
          <w:szCs w:val="24"/>
        </w:rPr>
        <w:t xml:space="preserve"> ramach KRW: </w:t>
      </w:r>
    </w:p>
    <w:p w:rsidR="00B640C7" w:rsidRPr="006D71C7" w:rsidRDefault="00B640C7" w:rsidP="00BA2FE7">
      <w:pPr>
        <w:pStyle w:val="Akapitzlist"/>
        <w:numPr>
          <w:ilvl w:val="7"/>
          <w:numId w:val="38"/>
        </w:numPr>
        <w:autoSpaceDE w:val="0"/>
        <w:autoSpaceDN w:val="0"/>
        <w:adjustRightInd w:val="0"/>
        <w:spacing w:after="27"/>
        <w:ind w:left="851"/>
        <w:jc w:val="both"/>
        <w:rPr>
          <w:rFonts w:eastAsia="Calibri"/>
          <w:szCs w:val="24"/>
        </w:rPr>
      </w:pPr>
      <w:r w:rsidRPr="006D71C7">
        <w:rPr>
          <w:rFonts w:eastAsia="Calibri"/>
          <w:szCs w:val="24"/>
        </w:rPr>
        <w:t xml:space="preserve">Poddziałania 7.1.1. </w:t>
      </w:r>
      <w:r w:rsidRPr="006D71C7">
        <w:rPr>
          <w:rFonts w:eastAsia="Calibri"/>
          <w:i/>
          <w:iCs/>
          <w:szCs w:val="24"/>
        </w:rPr>
        <w:t xml:space="preserve">Modernizacja i rozbudowa kluczowych elementów sieci drogowej, </w:t>
      </w:r>
      <w:r w:rsidRPr="006D71C7">
        <w:rPr>
          <w:rFonts w:eastAsia="Calibri"/>
          <w:szCs w:val="24"/>
        </w:rPr>
        <w:t xml:space="preserve">w wysokości 9 649 783 EUR; </w:t>
      </w:r>
    </w:p>
    <w:p w:rsidR="00B640C7" w:rsidRPr="006D71C7" w:rsidRDefault="00B640C7" w:rsidP="00BA2FE7">
      <w:pPr>
        <w:pStyle w:val="Akapitzlist"/>
        <w:numPr>
          <w:ilvl w:val="7"/>
          <w:numId w:val="38"/>
        </w:numPr>
        <w:autoSpaceDE w:val="0"/>
        <w:autoSpaceDN w:val="0"/>
        <w:adjustRightInd w:val="0"/>
        <w:spacing w:after="0"/>
        <w:ind w:left="851"/>
        <w:jc w:val="both"/>
        <w:rPr>
          <w:rFonts w:eastAsia="Calibri"/>
          <w:szCs w:val="24"/>
        </w:rPr>
      </w:pPr>
      <w:r w:rsidRPr="006D71C7">
        <w:rPr>
          <w:rFonts w:eastAsia="Calibri"/>
          <w:szCs w:val="24"/>
        </w:rPr>
        <w:t xml:space="preserve">Priorytetu X </w:t>
      </w:r>
      <w:r w:rsidRPr="006D71C7">
        <w:rPr>
          <w:rFonts w:eastAsia="Calibri"/>
          <w:i/>
          <w:iCs/>
          <w:szCs w:val="24"/>
        </w:rPr>
        <w:t xml:space="preserve">Pomoc Techniczna, </w:t>
      </w:r>
      <w:r w:rsidRPr="006D71C7">
        <w:rPr>
          <w:rFonts w:eastAsia="Calibri"/>
          <w:szCs w:val="24"/>
        </w:rPr>
        <w:t xml:space="preserve">w wysokości 196 934 EUR. </w:t>
      </w:r>
    </w:p>
    <w:p w:rsidR="00B640C7" w:rsidRPr="006D71C7" w:rsidRDefault="00B640C7" w:rsidP="006D71C7">
      <w:pPr>
        <w:pStyle w:val="Akapitzlist"/>
        <w:autoSpaceDE w:val="0"/>
        <w:autoSpaceDN w:val="0"/>
        <w:adjustRightInd w:val="0"/>
        <w:spacing w:after="0"/>
        <w:ind w:left="851"/>
        <w:jc w:val="both"/>
        <w:rPr>
          <w:rFonts w:eastAsia="Calibri"/>
          <w:szCs w:val="24"/>
        </w:rPr>
      </w:pPr>
    </w:p>
    <w:p w:rsidR="00B640C7" w:rsidRPr="006D71C7" w:rsidRDefault="009E7F58" w:rsidP="00BA2FE7">
      <w:pPr>
        <w:pStyle w:val="Akapitzlist"/>
        <w:numPr>
          <w:ilvl w:val="0"/>
          <w:numId w:val="108"/>
        </w:numPr>
        <w:autoSpaceDE w:val="0"/>
        <w:autoSpaceDN w:val="0"/>
        <w:adjustRightInd w:val="0"/>
        <w:spacing w:after="120"/>
        <w:jc w:val="both"/>
        <w:rPr>
          <w:rFonts w:eastAsia="Calibri"/>
          <w:b/>
          <w:szCs w:val="24"/>
        </w:rPr>
      </w:pPr>
      <w:r w:rsidRPr="006D71C7">
        <w:rPr>
          <w:rFonts w:eastAsia="Calibri"/>
          <w:b/>
          <w:szCs w:val="24"/>
        </w:rPr>
        <w:t>W</w:t>
      </w:r>
      <w:r w:rsidR="00B640C7" w:rsidRPr="006D71C7">
        <w:rPr>
          <w:rFonts w:eastAsia="Calibri"/>
          <w:b/>
          <w:szCs w:val="24"/>
        </w:rPr>
        <w:t xml:space="preserve"> ramach dostosowania technicznego: </w:t>
      </w:r>
    </w:p>
    <w:p w:rsidR="00B640C7" w:rsidRPr="006D71C7" w:rsidRDefault="00B640C7" w:rsidP="00BA2FE7">
      <w:pPr>
        <w:pStyle w:val="Akapitzlist"/>
        <w:numPr>
          <w:ilvl w:val="0"/>
          <w:numId w:val="60"/>
        </w:numPr>
        <w:autoSpaceDE w:val="0"/>
        <w:autoSpaceDN w:val="0"/>
        <w:adjustRightInd w:val="0"/>
        <w:spacing w:after="27"/>
        <w:jc w:val="both"/>
        <w:rPr>
          <w:rFonts w:eastAsia="Calibri"/>
          <w:szCs w:val="24"/>
        </w:rPr>
      </w:pPr>
      <w:r w:rsidRPr="006D71C7">
        <w:rPr>
          <w:rFonts w:eastAsia="Calibri"/>
          <w:szCs w:val="24"/>
        </w:rPr>
        <w:t xml:space="preserve">Poddziałania 7.1.1 </w:t>
      </w:r>
      <w:r w:rsidRPr="006D71C7">
        <w:rPr>
          <w:rFonts w:eastAsia="Calibri"/>
          <w:i/>
          <w:iCs/>
          <w:szCs w:val="24"/>
        </w:rPr>
        <w:t xml:space="preserve">Modernizacja i rozbudowa kluczowych elementów sieci drogowej, </w:t>
      </w:r>
      <w:r w:rsidRPr="006D71C7">
        <w:rPr>
          <w:rFonts w:eastAsia="Calibri"/>
          <w:szCs w:val="24"/>
        </w:rPr>
        <w:t xml:space="preserve">w wysokości 15 520 236 EUR – z puli środków przeznaczonych na regionalne programy operacyjne; </w:t>
      </w:r>
    </w:p>
    <w:p w:rsidR="00B640C7" w:rsidRPr="006D71C7" w:rsidRDefault="00B640C7" w:rsidP="00BA2FE7">
      <w:pPr>
        <w:pStyle w:val="Akapitzlist"/>
        <w:numPr>
          <w:ilvl w:val="0"/>
          <w:numId w:val="60"/>
        </w:numPr>
        <w:autoSpaceDE w:val="0"/>
        <w:autoSpaceDN w:val="0"/>
        <w:adjustRightInd w:val="0"/>
        <w:spacing w:after="120"/>
        <w:ind w:left="714" w:hanging="357"/>
        <w:jc w:val="both"/>
        <w:rPr>
          <w:rFonts w:eastAsia="Calibri"/>
          <w:szCs w:val="24"/>
        </w:rPr>
      </w:pPr>
      <w:r w:rsidRPr="006D71C7">
        <w:rPr>
          <w:rFonts w:eastAsia="Calibri"/>
          <w:szCs w:val="24"/>
        </w:rPr>
        <w:t xml:space="preserve">Poddziałania 7.1.2. </w:t>
      </w:r>
      <w:r w:rsidRPr="006D71C7">
        <w:rPr>
          <w:rFonts w:eastAsia="Calibri"/>
          <w:i/>
          <w:iCs/>
          <w:szCs w:val="24"/>
        </w:rPr>
        <w:t xml:space="preserve">Modernizacja i rozbudowa infrastruktury uzupełniającej kluczową sieć drogową, w wysokości </w:t>
      </w:r>
      <w:r w:rsidRPr="006D71C7">
        <w:rPr>
          <w:rFonts w:eastAsia="Calibri"/>
          <w:szCs w:val="24"/>
        </w:rPr>
        <w:t>8 757 251 EUR – z</w:t>
      </w:r>
      <w:r w:rsidR="005B64B0" w:rsidRPr="006D71C7">
        <w:rPr>
          <w:rFonts w:eastAsia="Calibri"/>
          <w:szCs w:val="24"/>
        </w:rPr>
        <w:t xml:space="preserve"> puli środków przeznaczonych na </w:t>
      </w:r>
      <w:r w:rsidRPr="006D71C7">
        <w:rPr>
          <w:rFonts w:eastAsia="Calibri"/>
          <w:szCs w:val="24"/>
        </w:rPr>
        <w:t xml:space="preserve">usuwanie skutków powodzi. </w:t>
      </w:r>
    </w:p>
    <w:p w:rsidR="00B640C7" w:rsidRPr="006D71C7" w:rsidRDefault="00B640C7" w:rsidP="006D71C7">
      <w:pPr>
        <w:jc w:val="both"/>
        <w:rPr>
          <w:szCs w:val="24"/>
        </w:rPr>
      </w:pPr>
      <w:r w:rsidRPr="006D71C7">
        <w:rPr>
          <w:rFonts w:eastAsia="Calibri"/>
          <w:szCs w:val="24"/>
        </w:rPr>
        <w:t>W wyniku przeglądu nie dokonano realokacji środków pomiędzy priorytetami RPO WSL.</w:t>
      </w:r>
    </w:p>
    <w:p w:rsidR="0082404C" w:rsidRPr="006D71C7" w:rsidRDefault="0082404C" w:rsidP="006D71C7">
      <w:pPr>
        <w:jc w:val="both"/>
        <w:rPr>
          <w:bCs/>
          <w:i/>
        </w:rPr>
      </w:pPr>
      <w:r w:rsidRPr="006D71C7">
        <w:rPr>
          <w:bCs/>
        </w:rPr>
        <w:t xml:space="preserve">Środki pochodzące z KRW i dostosowania technicznego, przekazane zostały na wsparcie kategorii </w:t>
      </w:r>
      <w:r w:rsidR="00BB74E3">
        <w:rPr>
          <w:bCs/>
        </w:rPr>
        <w:t xml:space="preserve">interwencji </w:t>
      </w:r>
      <w:r w:rsidRPr="006D71C7">
        <w:rPr>
          <w:bCs/>
        </w:rPr>
        <w:t>23 w ramach</w:t>
      </w:r>
      <w:r w:rsidRPr="006D71C7">
        <w:rPr>
          <w:bCs/>
          <w:i/>
        </w:rPr>
        <w:t xml:space="preserve"> poddziałania</w:t>
      </w:r>
      <w:r w:rsidRPr="006D71C7">
        <w:rPr>
          <w:bCs/>
        </w:rPr>
        <w:t xml:space="preserve"> </w:t>
      </w:r>
      <w:r w:rsidR="004375A8" w:rsidRPr="006D71C7">
        <w:rPr>
          <w:bCs/>
          <w:i/>
          <w:szCs w:val="24"/>
        </w:rPr>
        <w:t>7.1.1. Modernizacja i rozbudowa kluczowych elementów sieci drogowej</w:t>
      </w:r>
      <w:r w:rsidR="004375A8" w:rsidRPr="006D71C7">
        <w:rPr>
          <w:bCs/>
        </w:rPr>
        <w:t xml:space="preserve"> </w:t>
      </w:r>
      <w:r w:rsidR="00064F84" w:rsidRPr="006D71C7">
        <w:rPr>
          <w:bCs/>
        </w:rPr>
        <w:t>oraz</w:t>
      </w:r>
      <w:r w:rsidRPr="006D71C7">
        <w:rPr>
          <w:bCs/>
        </w:rPr>
        <w:t xml:space="preserve"> w ramach poddziałania 7.1.2 na usuwanie </w:t>
      </w:r>
      <w:r w:rsidR="00064F84" w:rsidRPr="006D71C7">
        <w:rPr>
          <w:bCs/>
        </w:rPr>
        <w:t>skutków powodzi.</w:t>
      </w:r>
    </w:p>
    <w:p w:rsidR="004375A8" w:rsidRPr="006D71C7" w:rsidRDefault="004375A8" w:rsidP="006D71C7">
      <w:pPr>
        <w:spacing w:before="100" w:beforeAutospacing="1" w:after="100" w:afterAutospacing="1"/>
        <w:jc w:val="both"/>
        <w:rPr>
          <w:szCs w:val="24"/>
        </w:rPr>
      </w:pPr>
      <w:r w:rsidRPr="006D71C7">
        <w:rPr>
          <w:szCs w:val="24"/>
        </w:rPr>
        <w:t xml:space="preserve">Pozyskane środki przeznaczone zostały na </w:t>
      </w:r>
      <w:r w:rsidRPr="006D71C7">
        <w:rPr>
          <w:bCs/>
          <w:szCs w:val="24"/>
        </w:rPr>
        <w:t>nowy konkurs w ramach poddziałania</w:t>
      </w:r>
      <w:r w:rsidRPr="006D71C7">
        <w:rPr>
          <w:b/>
          <w:bCs/>
          <w:szCs w:val="24"/>
        </w:rPr>
        <w:t xml:space="preserve"> </w:t>
      </w:r>
      <w:r w:rsidRPr="006D71C7">
        <w:rPr>
          <w:bCs/>
          <w:i/>
          <w:szCs w:val="24"/>
        </w:rPr>
        <w:t>7.1.1. Modernizacja i rozbudowa kluczowych elementów sieci drogowej</w:t>
      </w:r>
      <w:r w:rsidRPr="006D71C7">
        <w:rPr>
          <w:szCs w:val="24"/>
        </w:rPr>
        <w:t xml:space="preserve">. Zgodnie z ustaleniami Komitetu Koordynującego NSRO, szanse na dofinansowanie z tych funduszy miały projekty z zakresu infrastruktury transportowo-drogowej o znaczeniu regionalnym. Konkurs miał charakter zamknięty - wnioski przyjmowane w terminie </w:t>
      </w:r>
      <w:r w:rsidR="00064F84" w:rsidRPr="006D71C7">
        <w:rPr>
          <w:bCs/>
          <w:szCs w:val="24"/>
        </w:rPr>
        <w:t>od 19 grudnia 2011 roku do </w:t>
      </w:r>
      <w:r w:rsidRPr="006D71C7">
        <w:rPr>
          <w:bCs/>
          <w:szCs w:val="24"/>
        </w:rPr>
        <w:t>31 stycznia 2012 roku</w:t>
      </w:r>
      <w:r w:rsidRPr="006D71C7">
        <w:rPr>
          <w:szCs w:val="24"/>
        </w:rPr>
        <w:t>. Środki przyznane na usuwanie skutków powodzi zostały już rozdysponowa</w:t>
      </w:r>
      <w:r w:rsidR="00064F84" w:rsidRPr="006D71C7">
        <w:rPr>
          <w:szCs w:val="24"/>
        </w:rPr>
        <w:t>ne na zamkniętą listę projektów,</w:t>
      </w:r>
      <w:r w:rsidR="00064F84" w:rsidRPr="006D71C7">
        <w:t xml:space="preserve"> stanowiącą załącznik nr 8 do URPO WSL: </w:t>
      </w:r>
      <w:r w:rsidR="00064F84" w:rsidRPr="006D71C7">
        <w:rPr>
          <w:i/>
          <w:iCs/>
        </w:rPr>
        <w:t>Wykaz projektów mniejszych. Lista projektów realizowanych w celu odbudowy infrastruktury zniszczonej na skutek powodzi.</w:t>
      </w:r>
    </w:p>
    <w:p w:rsidR="0005410E" w:rsidRPr="006D71C7" w:rsidRDefault="00613F08" w:rsidP="00BA2FE7">
      <w:pPr>
        <w:pStyle w:val="Nagwek1"/>
        <w:numPr>
          <w:ilvl w:val="0"/>
          <w:numId w:val="34"/>
        </w:numPr>
        <w:tabs>
          <w:tab w:val="left" w:pos="1560"/>
        </w:tabs>
        <w:spacing w:after="120"/>
        <w:jc w:val="both"/>
        <w:rPr>
          <w:bCs w:val="0"/>
          <w:szCs w:val="24"/>
        </w:rPr>
      </w:pPr>
      <w:bookmarkStart w:id="266" w:name="_Toc292789271"/>
      <w:bookmarkStart w:id="267" w:name="_Toc292793563"/>
      <w:bookmarkStart w:id="268" w:name="_Toc327259242"/>
      <w:r w:rsidRPr="006D71C7">
        <w:rPr>
          <w:bCs w:val="0"/>
          <w:spacing w:val="-3"/>
          <w:szCs w:val="24"/>
        </w:rPr>
        <w:t>REALIZACJA W PODZIALE NA PRIORYTETY, POSTĘP WDRAŻANIA PROGRAMU WG PRIORYTETÓW/OSI</w:t>
      </w:r>
      <w:bookmarkEnd w:id="266"/>
      <w:bookmarkEnd w:id="267"/>
      <w:bookmarkEnd w:id="268"/>
    </w:p>
    <w:p w:rsidR="0005410E" w:rsidRPr="006D71C7" w:rsidRDefault="0005410E" w:rsidP="006D71C7">
      <w:pPr>
        <w:spacing w:after="120"/>
        <w:jc w:val="both"/>
      </w:pPr>
      <w:r w:rsidRPr="006D71C7">
        <w:t xml:space="preserve">Poniżej został przedstawiony postęp wdrażania RPO WSL w podziale na </w:t>
      </w:r>
      <w:r w:rsidR="003515EE" w:rsidRPr="006D71C7">
        <w:t>osie priorytetowe</w:t>
      </w:r>
      <w:r w:rsidRPr="006D71C7">
        <w:t xml:space="preserve">. </w:t>
      </w:r>
      <w:r w:rsidRPr="006D71C7">
        <w:rPr>
          <w:szCs w:val="24"/>
        </w:rPr>
        <w:t xml:space="preserve">Wszystkie dane finansowe przedstawione poniżej zostały zaprezentowane w </w:t>
      </w:r>
      <w:r w:rsidR="009F7E89" w:rsidRPr="006D71C7">
        <w:rPr>
          <w:szCs w:val="24"/>
        </w:rPr>
        <w:t>EUR</w:t>
      </w:r>
      <w:r w:rsidRPr="006D71C7">
        <w:rPr>
          <w:szCs w:val="24"/>
        </w:rPr>
        <w:t xml:space="preserve"> (</w:t>
      </w:r>
      <w:r w:rsidRPr="006D71C7">
        <w:t xml:space="preserve">1 </w:t>
      </w:r>
      <w:r w:rsidR="00EA299C" w:rsidRPr="006D71C7">
        <w:t xml:space="preserve">EUR </w:t>
      </w:r>
      <w:r w:rsidRPr="006D71C7">
        <w:t xml:space="preserve">= </w:t>
      </w:r>
      <w:r w:rsidR="003515EE" w:rsidRPr="006D71C7">
        <w:t>4,5270</w:t>
      </w:r>
      <w:r w:rsidR="009F7E89" w:rsidRPr="006D71C7">
        <w:t xml:space="preserve"> PLN</w:t>
      </w:r>
      <w:r w:rsidRPr="006D71C7">
        <w:t>).</w:t>
      </w:r>
    </w:p>
    <w:p w:rsidR="0005410E" w:rsidRPr="006D71C7" w:rsidRDefault="0005410E" w:rsidP="006D71C7">
      <w:pPr>
        <w:spacing w:after="120"/>
        <w:jc w:val="both"/>
      </w:pPr>
      <w:r w:rsidRPr="006D71C7">
        <w:t>Zaprezentowane dane dotyczą postępów rzeczowych</w:t>
      </w:r>
      <w:r w:rsidR="003515EE" w:rsidRPr="006D71C7">
        <w:t xml:space="preserve"> i finansowych w ramach każdej osi priorytetowej </w:t>
      </w:r>
      <w:r w:rsidRPr="006D71C7">
        <w:t xml:space="preserve">w okresie sprawozdawczym i od uruchomienia </w:t>
      </w:r>
      <w:r w:rsidRPr="006D71C7">
        <w:rPr>
          <w:i/>
        </w:rPr>
        <w:t>Programu</w:t>
      </w:r>
      <w:r w:rsidRPr="006D71C7">
        <w:t xml:space="preserve">. </w:t>
      </w:r>
    </w:p>
    <w:p w:rsidR="003515EE" w:rsidRPr="006D71C7" w:rsidRDefault="006166C8" w:rsidP="006D71C7">
      <w:pPr>
        <w:autoSpaceDE w:val="0"/>
        <w:autoSpaceDN w:val="0"/>
        <w:adjustRightInd w:val="0"/>
        <w:spacing w:after="0"/>
        <w:jc w:val="both"/>
        <w:rPr>
          <w:rFonts w:eastAsia="CenturyGothic"/>
          <w:szCs w:val="24"/>
        </w:rPr>
      </w:pPr>
      <w:r w:rsidRPr="006D71C7">
        <w:rPr>
          <w:szCs w:val="24"/>
        </w:rPr>
        <w:t>W poniższej analizie „wartość dofinansowania”</w:t>
      </w:r>
      <w:r w:rsidR="003515EE" w:rsidRPr="006D71C7">
        <w:rPr>
          <w:rFonts w:eastAsia="CenturyGothic"/>
          <w:szCs w:val="24"/>
        </w:rPr>
        <w:t xml:space="preserve"> dotyczy dofinansowania ogółem (środki UE +dofinansowanie z budżetu państwa dla projektów w ramach pomocy publicznej). </w:t>
      </w:r>
    </w:p>
    <w:p w:rsidR="008F1FC2" w:rsidRPr="006D71C7" w:rsidRDefault="008F1FC2" w:rsidP="006D71C7">
      <w:pPr>
        <w:widowControl w:val="0"/>
        <w:autoSpaceDE w:val="0"/>
        <w:autoSpaceDN w:val="0"/>
        <w:adjustRightInd w:val="0"/>
        <w:spacing w:before="1" w:after="240"/>
        <w:jc w:val="both"/>
        <w:rPr>
          <w:szCs w:val="24"/>
        </w:rPr>
      </w:pPr>
      <w:r w:rsidRPr="006D71C7">
        <w:rPr>
          <w:szCs w:val="24"/>
        </w:rPr>
        <w:t xml:space="preserve">Informacje dotyczące postępu rzeczowego </w:t>
      </w:r>
      <w:r w:rsidRPr="006D71C7">
        <w:rPr>
          <w:i/>
          <w:szCs w:val="24"/>
        </w:rPr>
        <w:t>Priorytetów</w:t>
      </w:r>
      <w:r w:rsidRPr="006D71C7">
        <w:rPr>
          <w:szCs w:val="24"/>
        </w:rPr>
        <w:t xml:space="preserve"> czyli wskaźniki programowe w podziale na działania i poddziałania zostały przedstawione w  załączniku I do niniejszego </w:t>
      </w:r>
      <w:r w:rsidRPr="006D71C7">
        <w:rPr>
          <w:i/>
          <w:szCs w:val="24"/>
        </w:rPr>
        <w:t>Sprawozdania</w:t>
      </w:r>
      <w:r w:rsidRPr="006D71C7">
        <w:rPr>
          <w:szCs w:val="24"/>
        </w:rPr>
        <w:t>. W treści opracowania została przedstawiona analiza wskaźnikowa.</w:t>
      </w:r>
    </w:p>
    <w:p w:rsidR="00682C29" w:rsidRPr="006D71C7" w:rsidRDefault="00682C29" w:rsidP="006D71C7">
      <w:pPr>
        <w:pStyle w:val="Akapitzlist"/>
        <w:ind w:left="0"/>
        <w:jc w:val="both"/>
        <w:rPr>
          <w:szCs w:val="24"/>
          <w:lang w:eastAsia="ar-SA"/>
        </w:rPr>
      </w:pPr>
      <w:r w:rsidRPr="006D71C7">
        <w:rPr>
          <w:szCs w:val="24"/>
          <w:lang w:eastAsia="ar-SA"/>
        </w:rPr>
        <w:t xml:space="preserve">W ramach RPO WSL nie zostały określone obszary defaworyzowane, w związku z powyższym nie ma możliwości zaprezentowania w </w:t>
      </w:r>
      <w:r w:rsidRPr="006D71C7">
        <w:rPr>
          <w:i/>
          <w:szCs w:val="24"/>
          <w:lang w:eastAsia="ar-SA"/>
        </w:rPr>
        <w:t xml:space="preserve">Sprawozdaniu </w:t>
      </w:r>
      <w:r w:rsidRPr="006D71C7">
        <w:rPr>
          <w:szCs w:val="24"/>
          <w:lang w:eastAsia="ar-SA"/>
        </w:rPr>
        <w:t>danych w tym zakresie.</w:t>
      </w:r>
    </w:p>
    <w:p w:rsidR="00C72988" w:rsidRPr="006D71C7" w:rsidRDefault="00D26040" w:rsidP="006D71C7">
      <w:pPr>
        <w:pBdr>
          <w:top w:val="single" w:sz="24" w:space="1" w:color="DE6A5C" w:themeColor="accent2" w:themeTint="99"/>
          <w:left w:val="single" w:sz="24" w:space="4" w:color="DE6A5C" w:themeColor="accent2" w:themeTint="99"/>
          <w:bottom w:val="single" w:sz="24" w:space="1" w:color="DE6A5C" w:themeColor="accent2" w:themeTint="99"/>
          <w:right w:val="single" w:sz="24" w:space="4" w:color="DE6A5C" w:themeColor="accent2" w:themeTint="99"/>
        </w:pBdr>
        <w:spacing w:before="240" w:after="240"/>
        <w:jc w:val="both"/>
        <w:rPr>
          <w:b/>
        </w:rPr>
      </w:pPr>
      <w:r w:rsidRPr="006D71C7">
        <w:rPr>
          <w:b/>
        </w:rPr>
        <w:t xml:space="preserve">3.1 </w:t>
      </w:r>
      <w:r w:rsidR="007338BD" w:rsidRPr="006D71C7">
        <w:rPr>
          <w:rStyle w:val="Nagwek1Znak"/>
        </w:rPr>
        <w:t>PRIORYTET I BADANIA I ROZWÓJ TECHNOLOGICZNY (B+R), INNOWACJE</w:t>
      </w:r>
      <w:r w:rsidR="00763B83" w:rsidRPr="006D71C7">
        <w:rPr>
          <w:rStyle w:val="Nagwek1Znak"/>
        </w:rPr>
        <w:t xml:space="preserve"> </w:t>
      </w:r>
      <w:r w:rsidR="007338BD" w:rsidRPr="006D71C7">
        <w:rPr>
          <w:rStyle w:val="Nagwek1Znak"/>
        </w:rPr>
        <w:t>I PRZEDSIĘBIORCZOŚĆ</w:t>
      </w:r>
    </w:p>
    <w:p w:rsidR="004A2760" w:rsidRPr="006D71C7" w:rsidRDefault="004A2760" w:rsidP="00BA2FE7">
      <w:pPr>
        <w:pStyle w:val="Nagwek1"/>
        <w:numPr>
          <w:ilvl w:val="2"/>
          <w:numId w:val="61"/>
        </w:numPr>
        <w:tabs>
          <w:tab w:val="left" w:pos="567"/>
        </w:tabs>
        <w:spacing w:before="120" w:after="120"/>
        <w:ind w:left="426" w:hanging="426"/>
        <w:jc w:val="both"/>
      </w:pPr>
      <w:bookmarkStart w:id="269" w:name="_Toc292793565"/>
      <w:bookmarkStart w:id="270" w:name="_Toc327259243"/>
      <w:r w:rsidRPr="006D71C7">
        <w:t>Osiągnięcie celów i analiza postępów</w:t>
      </w:r>
      <w:bookmarkEnd w:id="269"/>
      <w:bookmarkEnd w:id="270"/>
    </w:p>
    <w:p w:rsidR="003854F3" w:rsidRPr="006D71C7" w:rsidRDefault="003854F3" w:rsidP="00BA2FE7">
      <w:pPr>
        <w:pStyle w:val="Nagwek1"/>
        <w:numPr>
          <w:ilvl w:val="3"/>
          <w:numId w:val="34"/>
        </w:numPr>
        <w:tabs>
          <w:tab w:val="left" w:pos="1560"/>
        </w:tabs>
        <w:spacing w:before="120" w:after="120"/>
        <w:jc w:val="both"/>
      </w:pPr>
      <w:bookmarkStart w:id="271" w:name="_Toc324853894"/>
      <w:bookmarkStart w:id="272" w:name="_Toc327259244"/>
      <w:r w:rsidRPr="006D71C7">
        <w:t>Informacja na temat fizycznych i finansowych postępów priorytetu</w:t>
      </w:r>
      <w:bookmarkEnd w:id="271"/>
      <w:bookmarkEnd w:id="272"/>
    </w:p>
    <w:p w:rsidR="001F15D4" w:rsidRPr="006D71C7" w:rsidRDefault="00C410DC" w:rsidP="006D71C7">
      <w:pPr>
        <w:pStyle w:val="Nagwek2"/>
        <w:numPr>
          <w:ilvl w:val="0"/>
          <w:numId w:val="0"/>
        </w:numPr>
        <w:spacing w:before="0" w:beforeAutospacing="0" w:after="120" w:afterAutospacing="0" w:line="276" w:lineRule="auto"/>
        <w:jc w:val="both"/>
        <w:rPr>
          <w:b w:val="0"/>
          <w:sz w:val="24"/>
          <w:szCs w:val="24"/>
        </w:rPr>
      </w:pPr>
      <w:bookmarkStart w:id="273" w:name="_Toc292789278"/>
      <w:bookmarkStart w:id="274" w:name="_Toc292793571"/>
      <w:bookmarkStart w:id="275" w:name="_Toc292888953"/>
      <w:bookmarkStart w:id="276" w:name="_Toc324786837"/>
      <w:bookmarkStart w:id="277" w:name="_Toc324853895"/>
      <w:bookmarkStart w:id="278" w:name="_Toc327259245"/>
      <w:r w:rsidRPr="006D71C7">
        <w:rPr>
          <w:b w:val="0"/>
          <w:sz w:val="24"/>
          <w:szCs w:val="24"/>
        </w:rPr>
        <w:t>W załącznik</w:t>
      </w:r>
      <w:r w:rsidR="00B87083"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w:t>
      </w:r>
      <w:r w:rsidR="00A813C9" w:rsidRPr="006D71C7">
        <w:rPr>
          <w:b w:val="0"/>
          <w:sz w:val="24"/>
          <w:szCs w:val="24"/>
        </w:rPr>
        <w:t>dla p</w:t>
      </w:r>
      <w:r w:rsidRPr="006D71C7">
        <w:rPr>
          <w:b w:val="0"/>
          <w:sz w:val="24"/>
          <w:szCs w:val="24"/>
        </w:rPr>
        <w:t>riorytetu I, dla kolejnych lat w ujęciu kumulatywnym. Przedstawione informacje prezentowan</w:t>
      </w:r>
      <w:r w:rsidR="00A813C9" w:rsidRPr="006D71C7">
        <w:rPr>
          <w:b w:val="0"/>
          <w:sz w:val="24"/>
          <w:szCs w:val="24"/>
        </w:rPr>
        <w:t>e są według stanu na koniec 2011</w:t>
      </w:r>
      <w:r w:rsidRPr="006D71C7">
        <w:rPr>
          <w:b w:val="0"/>
          <w:sz w:val="24"/>
          <w:szCs w:val="24"/>
        </w:rPr>
        <w:t xml:space="preserve"> roku oparte na danych dotyczących operacji zakończonych. Określone zostały wartości docelowe dla 2010, 2013 i 2015 roku oraz zaprezentowano szacowaną wartość na podstawie podpisanych umów o dofinansowanie. Przedstawiono </w:t>
      </w:r>
      <w:r w:rsidR="00A813C9" w:rsidRPr="006D71C7">
        <w:rPr>
          <w:b w:val="0"/>
          <w:sz w:val="24"/>
          <w:szCs w:val="24"/>
        </w:rPr>
        <w:t>także wskaźniki przedmiotowego p</w:t>
      </w:r>
      <w:r w:rsidRPr="006D71C7">
        <w:rPr>
          <w:b w:val="0"/>
          <w:sz w:val="24"/>
          <w:szCs w:val="24"/>
        </w:rPr>
        <w:t>riorytetu w podziale na działania i poddziałania.</w:t>
      </w:r>
      <w:bookmarkEnd w:id="273"/>
      <w:bookmarkEnd w:id="274"/>
      <w:bookmarkEnd w:id="275"/>
      <w:bookmarkEnd w:id="276"/>
      <w:bookmarkEnd w:id="277"/>
      <w:bookmarkEnd w:id="278"/>
    </w:p>
    <w:p w:rsidR="006B32F1" w:rsidRPr="006D71C7" w:rsidRDefault="001F15D4" w:rsidP="00BA2FE7">
      <w:pPr>
        <w:pStyle w:val="Nagwek1"/>
        <w:numPr>
          <w:ilvl w:val="4"/>
          <w:numId w:val="34"/>
        </w:numPr>
        <w:tabs>
          <w:tab w:val="left" w:pos="709"/>
        </w:tabs>
        <w:spacing w:before="120" w:after="120"/>
        <w:jc w:val="both"/>
      </w:pPr>
      <w:bookmarkStart w:id="279" w:name="_Toc292789275"/>
      <w:bookmarkStart w:id="280" w:name="_Toc292793568"/>
      <w:bookmarkStart w:id="281" w:name="_Toc292888950"/>
      <w:bookmarkStart w:id="282" w:name="_Toc324853896"/>
      <w:bookmarkStart w:id="283" w:name="_Toc327259246"/>
      <w:r w:rsidRPr="006D71C7">
        <w:t>Analiza jakościowa</w:t>
      </w:r>
      <w:bookmarkEnd w:id="279"/>
      <w:bookmarkEnd w:id="280"/>
      <w:bookmarkEnd w:id="281"/>
      <w:r w:rsidR="003854F3" w:rsidRPr="006D71C7">
        <w:t xml:space="preserve"> (poziom priorytetu)</w:t>
      </w:r>
      <w:bookmarkEnd w:id="282"/>
      <w:bookmarkEnd w:id="283"/>
    </w:p>
    <w:p w:rsidR="0028774B" w:rsidRPr="006D71C7" w:rsidRDefault="0028774B" w:rsidP="006D71C7">
      <w:pPr>
        <w:jc w:val="both"/>
        <w:rPr>
          <w:b/>
          <w:i/>
        </w:rPr>
      </w:pPr>
      <w:r w:rsidRPr="006D71C7">
        <w:rPr>
          <w:b/>
          <w:i/>
        </w:rPr>
        <w:t>Informacje ogólne</w:t>
      </w:r>
    </w:p>
    <w:p w:rsidR="00245F70" w:rsidRPr="006D71C7" w:rsidRDefault="00097C7F" w:rsidP="006D71C7">
      <w:pPr>
        <w:pStyle w:val="Akapitzlist"/>
        <w:ind w:left="0"/>
        <w:jc w:val="both"/>
      </w:pPr>
      <w:bookmarkStart w:id="284" w:name="_Toc292789276"/>
      <w:bookmarkStart w:id="285" w:name="_Toc292793569"/>
      <w:bookmarkStart w:id="286" w:name="_Toc292888951"/>
      <w:r w:rsidRPr="006D71C7">
        <w:t xml:space="preserve">Celem głównym przedmiotowego priorytetu jest wzrost konkurencyjności regionalnej gospodarki opartej na wiedzy. </w:t>
      </w:r>
      <w:bookmarkEnd w:id="284"/>
      <w:bookmarkEnd w:id="285"/>
      <w:bookmarkEnd w:id="286"/>
    </w:p>
    <w:p w:rsidR="00097C7F" w:rsidRPr="006D71C7" w:rsidRDefault="00097C7F" w:rsidP="006D71C7">
      <w:pPr>
        <w:spacing w:after="0"/>
        <w:jc w:val="both"/>
        <w:rPr>
          <w:szCs w:val="24"/>
        </w:rPr>
      </w:pPr>
      <w:r w:rsidRPr="006D71C7">
        <w:rPr>
          <w:szCs w:val="24"/>
        </w:rPr>
        <w:t>Realizacji priorytetu służyć mają trzy działania:</w:t>
      </w:r>
    </w:p>
    <w:p w:rsidR="00097C7F" w:rsidRPr="006D71C7" w:rsidRDefault="00CB4635" w:rsidP="006D71C7">
      <w:pPr>
        <w:pStyle w:val="Akapitzlist"/>
        <w:numPr>
          <w:ilvl w:val="1"/>
          <w:numId w:val="5"/>
        </w:numPr>
        <w:spacing w:after="0"/>
        <w:ind w:left="851"/>
        <w:jc w:val="both"/>
        <w:rPr>
          <w:i/>
          <w:szCs w:val="24"/>
        </w:rPr>
      </w:pPr>
      <w:r w:rsidRPr="006D71C7">
        <w:rPr>
          <w:i/>
          <w:szCs w:val="24"/>
        </w:rPr>
        <w:t xml:space="preserve">1.1 </w:t>
      </w:r>
      <w:r w:rsidR="00097C7F" w:rsidRPr="006D71C7">
        <w:rPr>
          <w:i/>
          <w:szCs w:val="24"/>
        </w:rPr>
        <w:t>Wzmocnienie atrakcyjności inwestycyjnej regionu</w:t>
      </w:r>
      <w:r w:rsidRPr="006D71C7">
        <w:rPr>
          <w:i/>
          <w:szCs w:val="24"/>
        </w:rPr>
        <w:t>,</w:t>
      </w:r>
    </w:p>
    <w:p w:rsidR="00097C7F" w:rsidRPr="006D71C7" w:rsidRDefault="00097C7F" w:rsidP="006D71C7">
      <w:pPr>
        <w:pStyle w:val="Akapitzlist"/>
        <w:numPr>
          <w:ilvl w:val="1"/>
          <w:numId w:val="5"/>
        </w:numPr>
        <w:spacing w:after="0"/>
        <w:ind w:left="851"/>
        <w:jc w:val="both"/>
        <w:rPr>
          <w:i/>
          <w:szCs w:val="24"/>
        </w:rPr>
      </w:pPr>
      <w:r w:rsidRPr="006D71C7">
        <w:rPr>
          <w:i/>
          <w:szCs w:val="24"/>
        </w:rPr>
        <w:t>1.2 Mikroprzedsiębiorstwa i MSP</w:t>
      </w:r>
      <w:r w:rsidR="00CB4635" w:rsidRPr="006D71C7">
        <w:rPr>
          <w:i/>
          <w:szCs w:val="24"/>
        </w:rPr>
        <w:t>,</w:t>
      </w:r>
    </w:p>
    <w:p w:rsidR="00097C7F" w:rsidRPr="006D71C7" w:rsidRDefault="00097C7F" w:rsidP="006D71C7">
      <w:pPr>
        <w:pStyle w:val="Akapitzlist"/>
        <w:numPr>
          <w:ilvl w:val="1"/>
          <w:numId w:val="5"/>
        </w:numPr>
        <w:spacing w:after="120"/>
        <w:ind w:left="850" w:hanging="357"/>
        <w:jc w:val="both"/>
        <w:rPr>
          <w:i/>
          <w:szCs w:val="24"/>
        </w:rPr>
      </w:pPr>
      <w:r w:rsidRPr="006D71C7">
        <w:rPr>
          <w:i/>
          <w:szCs w:val="24"/>
        </w:rPr>
        <w:t>1.3 Transfer technologii i innowacji</w:t>
      </w:r>
      <w:r w:rsidR="00CB4635" w:rsidRPr="006D71C7">
        <w:rPr>
          <w:i/>
          <w:szCs w:val="24"/>
        </w:rPr>
        <w:t>.</w:t>
      </w:r>
    </w:p>
    <w:p w:rsidR="00097C7F" w:rsidRPr="006D71C7" w:rsidRDefault="00BA7091" w:rsidP="006D71C7">
      <w:pPr>
        <w:spacing w:after="120"/>
        <w:jc w:val="both"/>
        <w:rPr>
          <w:szCs w:val="24"/>
        </w:rPr>
      </w:pPr>
      <w:r w:rsidRPr="006D71C7">
        <w:rPr>
          <w:szCs w:val="24"/>
        </w:rPr>
        <w:t>Na realizację p</w:t>
      </w:r>
      <w:r w:rsidR="00097C7F" w:rsidRPr="006D71C7">
        <w:rPr>
          <w:szCs w:val="24"/>
        </w:rPr>
        <w:t xml:space="preserve">riorytetu I alokowano 296 238 553 EUR pochodzących z EFRR, co stanowi </w:t>
      </w:r>
      <w:r w:rsidR="00F67EB1" w:rsidRPr="006D71C7">
        <w:rPr>
          <w:szCs w:val="24"/>
        </w:rPr>
        <w:t>16,96</w:t>
      </w:r>
      <w:r w:rsidR="00097C7F" w:rsidRPr="006D71C7">
        <w:rPr>
          <w:szCs w:val="24"/>
        </w:rPr>
        <w:t xml:space="preserve">% wartości </w:t>
      </w:r>
      <w:r w:rsidR="00097C7F" w:rsidRPr="006D71C7">
        <w:rPr>
          <w:i/>
          <w:szCs w:val="24"/>
        </w:rPr>
        <w:t>Programu</w:t>
      </w:r>
      <w:r w:rsidR="00097C7F" w:rsidRPr="006D71C7">
        <w:rPr>
          <w:szCs w:val="24"/>
        </w:rPr>
        <w:t>.</w:t>
      </w:r>
    </w:p>
    <w:p w:rsidR="00EA7FA3" w:rsidRPr="006D71C7" w:rsidRDefault="0094628A" w:rsidP="006D71C7">
      <w:pPr>
        <w:autoSpaceDE w:val="0"/>
        <w:autoSpaceDN w:val="0"/>
        <w:adjustRightInd w:val="0"/>
        <w:spacing w:after="120"/>
        <w:jc w:val="both"/>
        <w:rPr>
          <w:rFonts w:eastAsia="Calibri"/>
          <w:szCs w:val="24"/>
        </w:rPr>
      </w:pPr>
      <w:r w:rsidRPr="006D71C7">
        <w:rPr>
          <w:rFonts w:eastAsia="Calibri"/>
          <w:szCs w:val="24"/>
        </w:rPr>
        <w:t xml:space="preserve">Na realizację </w:t>
      </w:r>
      <w:r w:rsidR="00BA7091" w:rsidRPr="006D71C7">
        <w:rPr>
          <w:rFonts w:eastAsia="Calibri"/>
          <w:szCs w:val="24"/>
        </w:rPr>
        <w:t>Strategii Europa 2020</w:t>
      </w:r>
      <w:r w:rsidRPr="006D71C7">
        <w:rPr>
          <w:rFonts w:eastAsia="Calibri"/>
          <w:szCs w:val="24"/>
        </w:rPr>
        <w:t xml:space="preserve"> przeznaczono środki EFRR stanowiące </w:t>
      </w:r>
      <w:r w:rsidRPr="006D71C7">
        <w:rPr>
          <w:rFonts w:eastAsia="Calibri"/>
          <w:bCs/>
          <w:szCs w:val="24"/>
        </w:rPr>
        <w:t>100%</w:t>
      </w:r>
      <w:r w:rsidRPr="006D71C7">
        <w:rPr>
          <w:rFonts w:eastAsia="Calibri"/>
          <w:b/>
          <w:bCs/>
          <w:szCs w:val="24"/>
        </w:rPr>
        <w:t xml:space="preserve"> </w:t>
      </w:r>
      <w:r w:rsidR="001D7690" w:rsidRPr="006D71C7">
        <w:rPr>
          <w:rFonts w:eastAsia="Calibri"/>
          <w:szCs w:val="24"/>
        </w:rPr>
        <w:t>alokacji w </w:t>
      </w:r>
      <w:r w:rsidR="00BA7091" w:rsidRPr="006D71C7">
        <w:rPr>
          <w:rFonts w:eastAsia="Calibri"/>
          <w:szCs w:val="24"/>
        </w:rPr>
        <w:t>ramach całego priorytetu I.</w:t>
      </w:r>
    </w:p>
    <w:p w:rsidR="005D4EF4" w:rsidRPr="006D71C7" w:rsidRDefault="005D4EF4" w:rsidP="006D71C7">
      <w:pPr>
        <w:widowControl w:val="0"/>
        <w:autoSpaceDE w:val="0"/>
        <w:autoSpaceDN w:val="0"/>
        <w:adjustRightInd w:val="0"/>
        <w:spacing w:after="120"/>
        <w:ind w:right="-23"/>
        <w:jc w:val="both"/>
        <w:rPr>
          <w:szCs w:val="24"/>
        </w:rPr>
      </w:pPr>
      <w:r w:rsidRPr="006D71C7">
        <w:rPr>
          <w:szCs w:val="24"/>
        </w:rPr>
        <w:t xml:space="preserve">Opis wkładu osi priorytetowej w promowanie równości szans kobiet i mężczyzn znajduje się w pkt. 2.2.1 </w:t>
      </w:r>
      <w:r w:rsidRPr="006D71C7">
        <w:rPr>
          <w:i/>
          <w:szCs w:val="24"/>
        </w:rPr>
        <w:t>Sprawozdania.</w:t>
      </w:r>
    </w:p>
    <w:p w:rsidR="005D4EF4" w:rsidRPr="006D71C7" w:rsidRDefault="005D4EF4" w:rsidP="006D71C7">
      <w:pPr>
        <w:widowControl w:val="0"/>
        <w:autoSpaceDE w:val="0"/>
        <w:autoSpaceDN w:val="0"/>
        <w:adjustRightInd w:val="0"/>
        <w:spacing w:after="120"/>
        <w:ind w:right="-23"/>
        <w:jc w:val="both"/>
        <w:rPr>
          <w:szCs w:val="24"/>
        </w:rPr>
      </w:pPr>
      <w:r w:rsidRPr="006D71C7">
        <w:rPr>
          <w:szCs w:val="24"/>
        </w:rPr>
        <w:t>W ramach priorytetu nie przewidziano finansowania krzyżowego.</w:t>
      </w:r>
    </w:p>
    <w:p w:rsidR="005D4EF4" w:rsidRPr="006D71C7" w:rsidRDefault="005D4EF4" w:rsidP="006D71C7">
      <w:pPr>
        <w:widowControl w:val="0"/>
        <w:autoSpaceDE w:val="0"/>
        <w:autoSpaceDN w:val="0"/>
        <w:adjustRightInd w:val="0"/>
        <w:spacing w:after="120"/>
        <w:ind w:right="-23"/>
        <w:jc w:val="both"/>
        <w:rPr>
          <w:szCs w:val="24"/>
        </w:rPr>
      </w:pPr>
      <w:r w:rsidRPr="006D71C7">
        <w:rPr>
          <w:szCs w:val="24"/>
        </w:rPr>
        <w:t>IZ RPO WSL nie planuje żadnych zmian w alokacji priorytetu.</w:t>
      </w:r>
    </w:p>
    <w:p w:rsidR="005D4EF4" w:rsidRPr="006D71C7" w:rsidRDefault="005D4EF4" w:rsidP="004B131A">
      <w:pPr>
        <w:widowControl w:val="0"/>
        <w:autoSpaceDE w:val="0"/>
        <w:autoSpaceDN w:val="0"/>
        <w:adjustRightInd w:val="0"/>
        <w:spacing w:after="120"/>
        <w:ind w:right="-23"/>
        <w:jc w:val="both"/>
        <w:rPr>
          <w:szCs w:val="24"/>
        </w:rPr>
      </w:pPr>
      <w:r w:rsidRPr="006D71C7">
        <w:t xml:space="preserve">W okresie sprawozdawczym przeprowadzone zostały dwa badania ewaluacyjne dot. zakresu  priorytetu I: </w:t>
      </w:r>
      <w:r w:rsidRPr="006D71C7">
        <w:rPr>
          <w:i/>
        </w:rPr>
        <w:t>Ocena wsparcia udzielanego przedsiębiorcom w ramach Regionalnego Programu Operacyjnego Województwa Śląskiego na lata 2007-2013</w:t>
      </w:r>
      <w:r w:rsidRPr="006D71C7">
        <w:t xml:space="preserve"> oraz</w:t>
      </w:r>
      <w:r w:rsidRPr="006D71C7">
        <w:rPr>
          <w:i/>
        </w:rPr>
        <w:t xml:space="preserve"> Ocena wsparcia działalności innowacyjnej w ramach Regionalnego Programu Operacyjnego Województwa Śląskiego na lata 2007-2013</w:t>
      </w:r>
      <w:r w:rsidRPr="006D71C7">
        <w:t xml:space="preserve">. Szczegółowe informacje dot. ww. badań zostały przedstawione w pkt. 2.7 niniejszego </w:t>
      </w:r>
      <w:r w:rsidRPr="006D71C7">
        <w:rPr>
          <w:i/>
        </w:rPr>
        <w:t>Sprawozdania.</w:t>
      </w:r>
    </w:p>
    <w:p w:rsidR="00EA7FA3" w:rsidRPr="006D71C7" w:rsidRDefault="0028774B" w:rsidP="006D71C7">
      <w:pPr>
        <w:jc w:val="both"/>
        <w:rPr>
          <w:b/>
          <w:i/>
          <w:szCs w:val="24"/>
        </w:rPr>
      </w:pPr>
      <w:r w:rsidRPr="006D71C7">
        <w:rPr>
          <w:b/>
          <w:i/>
          <w:szCs w:val="24"/>
        </w:rPr>
        <w:t>Postęp wdrażania</w:t>
      </w:r>
      <w:r w:rsidR="00BA7091" w:rsidRPr="006D71C7">
        <w:rPr>
          <w:b/>
          <w:i/>
          <w:szCs w:val="24"/>
        </w:rPr>
        <w:t xml:space="preserve"> p</w:t>
      </w:r>
      <w:r w:rsidR="00EA7FA3" w:rsidRPr="006D71C7">
        <w:rPr>
          <w:b/>
          <w:i/>
          <w:szCs w:val="24"/>
        </w:rPr>
        <w:t>riorytetu</w:t>
      </w:r>
      <w:r w:rsidR="008E3A4D" w:rsidRPr="006D71C7">
        <w:rPr>
          <w:b/>
          <w:i/>
          <w:szCs w:val="24"/>
        </w:rPr>
        <w:t xml:space="preserve"> I</w:t>
      </w:r>
      <w:r w:rsidR="00EA7FA3" w:rsidRPr="006D71C7">
        <w:rPr>
          <w:b/>
          <w:i/>
          <w:szCs w:val="24"/>
        </w:rPr>
        <w:t xml:space="preserve"> </w:t>
      </w:r>
    </w:p>
    <w:p w:rsidR="001D7690" w:rsidRPr="006D71C7" w:rsidRDefault="00893D3B" w:rsidP="006D71C7">
      <w:pPr>
        <w:pStyle w:val="Legenda"/>
        <w:spacing w:line="276" w:lineRule="auto"/>
        <w:jc w:val="both"/>
        <w:rPr>
          <w:b w:val="0"/>
          <w:color w:val="auto"/>
          <w:sz w:val="24"/>
          <w:szCs w:val="24"/>
        </w:rPr>
      </w:pPr>
      <w:r w:rsidRPr="006D71C7">
        <w:rPr>
          <w:b w:val="0"/>
          <w:color w:val="auto"/>
          <w:sz w:val="24"/>
          <w:szCs w:val="24"/>
        </w:rPr>
        <w:t xml:space="preserve">Wszystkie zmienne przedstawione na poniższym wykresie </w:t>
      </w:r>
      <w:r w:rsidR="005E3DF5" w:rsidRPr="006D71C7">
        <w:rPr>
          <w:b w:val="0"/>
          <w:color w:val="auto"/>
          <w:sz w:val="24"/>
          <w:szCs w:val="24"/>
        </w:rPr>
        <w:t xml:space="preserve">wykazują dodatnią dynamikę wzrostu. W okresie sprawozdawczym szczególnie widoczne było to na poziomie kontraktowania środków. </w:t>
      </w:r>
      <w:r w:rsidR="00091902" w:rsidRPr="006D71C7">
        <w:rPr>
          <w:b w:val="0"/>
          <w:color w:val="auto"/>
          <w:sz w:val="24"/>
          <w:szCs w:val="24"/>
        </w:rPr>
        <w:t>Na koniec 2011 r. p</w:t>
      </w:r>
      <w:r w:rsidR="005E3DF5" w:rsidRPr="006D71C7">
        <w:rPr>
          <w:b w:val="0"/>
          <w:color w:val="auto"/>
          <w:sz w:val="24"/>
          <w:szCs w:val="24"/>
        </w:rPr>
        <w:t xml:space="preserve">oziom kontraktacji w ramach </w:t>
      </w:r>
      <w:r w:rsidR="00091902" w:rsidRPr="006D71C7">
        <w:rPr>
          <w:b w:val="0"/>
          <w:color w:val="auto"/>
          <w:sz w:val="24"/>
          <w:szCs w:val="24"/>
        </w:rPr>
        <w:t>priorytetu</w:t>
      </w:r>
      <w:r w:rsidR="00A814BA" w:rsidRPr="006D71C7">
        <w:rPr>
          <w:b w:val="0"/>
          <w:color w:val="auto"/>
          <w:sz w:val="24"/>
          <w:szCs w:val="24"/>
        </w:rPr>
        <w:t xml:space="preserve"> wyniósł ponad 50</w:t>
      </w:r>
      <w:r w:rsidR="00AD4DC9" w:rsidRPr="006D71C7">
        <w:rPr>
          <w:b w:val="0"/>
          <w:color w:val="auto"/>
          <w:sz w:val="24"/>
          <w:szCs w:val="24"/>
        </w:rPr>
        <w:t>%. Głównie wynika to z faktu,</w:t>
      </w:r>
      <w:r w:rsidR="005E3DF5" w:rsidRPr="006D71C7">
        <w:rPr>
          <w:b w:val="0"/>
          <w:color w:val="auto"/>
          <w:sz w:val="24"/>
          <w:szCs w:val="24"/>
        </w:rPr>
        <w:t xml:space="preserve"> </w:t>
      </w:r>
      <w:r w:rsidR="00091902" w:rsidRPr="006D71C7">
        <w:rPr>
          <w:b w:val="0"/>
          <w:color w:val="auto"/>
          <w:sz w:val="24"/>
          <w:szCs w:val="24"/>
        </w:rPr>
        <w:t>że do końca okresu sprawozdawczego nie zostały ogłoszone wszystkie zaplanowane konkursy</w:t>
      </w:r>
      <w:r w:rsidR="00091902" w:rsidRPr="006D71C7">
        <w:rPr>
          <w:color w:val="auto"/>
          <w:szCs w:val="24"/>
        </w:rPr>
        <w:t>.</w:t>
      </w:r>
      <w:r w:rsidR="00990925" w:rsidRPr="006D71C7">
        <w:rPr>
          <w:color w:val="auto"/>
          <w:szCs w:val="24"/>
        </w:rPr>
        <w:t xml:space="preserve"> </w:t>
      </w:r>
      <w:r w:rsidR="00D0306E" w:rsidRPr="006D71C7">
        <w:rPr>
          <w:b w:val="0"/>
          <w:color w:val="auto"/>
          <w:sz w:val="24"/>
          <w:szCs w:val="24"/>
        </w:rPr>
        <w:t xml:space="preserve">W 2012 roku IZ RPO WSL oraz IP2 RPO WSL zaplanowała konkursy na </w:t>
      </w:r>
      <w:r w:rsidR="005D7F02" w:rsidRPr="006D71C7">
        <w:rPr>
          <w:b w:val="0"/>
          <w:color w:val="auto"/>
          <w:sz w:val="24"/>
          <w:szCs w:val="24"/>
        </w:rPr>
        <w:t>16</w:t>
      </w:r>
      <w:r w:rsidR="00D0306E" w:rsidRPr="006D71C7">
        <w:rPr>
          <w:b w:val="0"/>
          <w:color w:val="auto"/>
          <w:sz w:val="24"/>
          <w:szCs w:val="24"/>
        </w:rPr>
        <w:t xml:space="preserve">% łącznej alokacji przeznaczonej na </w:t>
      </w:r>
      <w:r w:rsidR="001E0250" w:rsidRPr="006D71C7">
        <w:rPr>
          <w:b w:val="0"/>
          <w:color w:val="auto"/>
          <w:sz w:val="24"/>
          <w:szCs w:val="24"/>
        </w:rPr>
        <w:t>p</w:t>
      </w:r>
      <w:r w:rsidR="00D0306E" w:rsidRPr="006D71C7">
        <w:rPr>
          <w:b w:val="0"/>
          <w:color w:val="auto"/>
          <w:sz w:val="24"/>
          <w:szCs w:val="24"/>
        </w:rPr>
        <w:t>riorytet</w:t>
      </w:r>
      <w:r w:rsidR="005D7F02" w:rsidRPr="006D71C7">
        <w:rPr>
          <w:b w:val="0"/>
          <w:color w:val="auto"/>
          <w:sz w:val="24"/>
          <w:szCs w:val="24"/>
        </w:rPr>
        <w:t xml:space="preserve"> </w:t>
      </w:r>
      <w:r w:rsidR="00D0306E" w:rsidRPr="006D71C7">
        <w:rPr>
          <w:b w:val="0"/>
          <w:color w:val="auto"/>
          <w:sz w:val="24"/>
          <w:szCs w:val="24"/>
        </w:rPr>
        <w:t>I</w:t>
      </w:r>
      <w:r w:rsidR="005D7F02" w:rsidRPr="006D71C7">
        <w:rPr>
          <w:b w:val="0"/>
          <w:color w:val="auto"/>
          <w:sz w:val="24"/>
          <w:szCs w:val="24"/>
        </w:rPr>
        <w:t xml:space="preserve">, pozostały oszczędności w ramach </w:t>
      </w:r>
      <w:r w:rsidR="001E0250" w:rsidRPr="006D71C7">
        <w:rPr>
          <w:b w:val="0"/>
          <w:color w:val="auto"/>
          <w:sz w:val="24"/>
          <w:szCs w:val="24"/>
        </w:rPr>
        <w:t xml:space="preserve">przedmiotowego </w:t>
      </w:r>
      <w:r w:rsidR="00013F6B" w:rsidRPr="006D71C7">
        <w:rPr>
          <w:b w:val="0"/>
          <w:color w:val="auto"/>
          <w:sz w:val="24"/>
          <w:szCs w:val="24"/>
        </w:rPr>
        <w:t>priorytetu</w:t>
      </w:r>
      <w:r w:rsidR="00D0306E" w:rsidRPr="006D71C7">
        <w:rPr>
          <w:b w:val="0"/>
          <w:color w:val="auto"/>
          <w:sz w:val="24"/>
          <w:szCs w:val="24"/>
        </w:rPr>
        <w:t xml:space="preserve">. </w:t>
      </w:r>
      <w:r w:rsidR="00091902" w:rsidRPr="006D71C7">
        <w:rPr>
          <w:rFonts w:eastAsia="Calibri"/>
          <w:b w:val="0"/>
          <w:color w:val="auto"/>
          <w:sz w:val="24"/>
          <w:szCs w:val="24"/>
        </w:rPr>
        <w:t>Istotny wpływ na</w:t>
      </w:r>
      <w:r w:rsidR="001E0250" w:rsidRPr="006D71C7">
        <w:rPr>
          <w:rFonts w:eastAsia="Calibri"/>
          <w:b w:val="0"/>
          <w:color w:val="auto"/>
          <w:sz w:val="24"/>
          <w:szCs w:val="24"/>
        </w:rPr>
        <w:t> </w:t>
      </w:r>
      <w:r w:rsidR="00091902" w:rsidRPr="006D71C7">
        <w:rPr>
          <w:rFonts w:eastAsia="Calibri"/>
          <w:b w:val="0"/>
          <w:color w:val="auto"/>
          <w:sz w:val="24"/>
          <w:szCs w:val="24"/>
        </w:rPr>
        <w:t>poziom kontraktacji ma fakt, ze dla części projektów wyłonionych w procedurze konkursowej nie zostały jeszcze zawarte umowy o dofinansowanie. W związku z powyższym w kolejnym okresie sprawozdawczym należy spodziewać się znaczącego przy</w:t>
      </w:r>
      <w:r w:rsidR="00BA7091" w:rsidRPr="006D71C7">
        <w:rPr>
          <w:rFonts w:eastAsia="Calibri"/>
          <w:b w:val="0"/>
          <w:color w:val="auto"/>
          <w:sz w:val="24"/>
          <w:szCs w:val="24"/>
        </w:rPr>
        <w:t>śpieszenia tempa kontraktacji i </w:t>
      </w:r>
      <w:r w:rsidR="00D0306E" w:rsidRPr="006D71C7">
        <w:rPr>
          <w:rFonts w:eastAsia="Calibri"/>
          <w:b w:val="0"/>
          <w:color w:val="auto"/>
          <w:sz w:val="24"/>
          <w:szCs w:val="24"/>
        </w:rPr>
        <w:t>płatności w </w:t>
      </w:r>
      <w:r w:rsidR="00091902" w:rsidRPr="006D71C7">
        <w:rPr>
          <w:rFonts w:eastAsia="Calibri"/>
          <w:b w:val="0"/>
          <w:color w:val="auto"/>
          <w:sz w:val="24"/>
          <w:szCs w:val="24"/>
        </w:rPr>
        <w:t xml:space="preserve">ramach priorytetu. </w:t>
      </w:r>
    </w:p>
    <w:p w:rsidR="00EA7FA3" w:rsidRPr="006D71C7" w:rsidRDefault="00893D3B" w:rsidP="006D71C7">
      <w:pPr>
        <w:spacing w:before="240"/>
        <w:ind w:left="-426"/>
        <w:jc w:val="both"/>
        <w:rPr>
          <w:szCs w:val="24"/>
        </w:rPr>
      </w:pPr>
      <w:r w:rsidRPr="006D71C7">
        <w:rPr>
          <w:noProof/>
          <w:szCs w:val="24"/>
        </w:rPr>
        <w:drawing>
          <wp:inline distT="0" distB="0" distL="0" distR="0">
            <wp:extent cx="6555991" cy="2913321"/>
            <wp:effectExtent l="38100" t="19050" r="16259" b="1329"/>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915C3" w:rsidRPr="006D71C7" w:rsidRDefault="007338BD" w:rsidP="006D71C7">
      <w:pPr>
        <w:pStyle w:val="Legenda"/>
        <w:jc w:val="both"/>
        <w:rPr>
          <w:b w:val="0"/>
          <w:color w:val="auto"/>
          <w:sz w:val="20"/>
          <w:szCs w:val="20"/>
        </w:rPr>
      </w:pPr>
      <w:bookmarkStart w:id="287" w:name="_Toc292793712"/>
      <w:bookmarkStart w:id="288" w:name="_Toc292796299"/>
      <w:bookmarkStart w:id="289" w:name="_Toc292796793"/>
      <w:bookmarkStart w:id="290" w:name="_Toc292889103"/>
      <w:bookmarkStart w:id="291" w:name="_Toc295293406"/>
      <w:bookmarkStart w:id="292" w:name="_Toc324853708"/>
      <w:bookmarkStart w:id="293" w:name="_Toc326055341"/>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23</w:t>
      </w:r>
      <w:r w:rsidR="008F7228">
        <w:rPr>
          <w:color w:val="auto"/>
          <w:sz w:val="20"/>
          <w:szCs w:val="20"/>
        </w:rPr>
        <w:fldChar w:fldCharType="end"/>
      </w:r>
      <w:r w:rsidR="00EA299C" w:rsidRPr="006D71C7">
        <w:rPr>
          <w:color w:val="auto"/>
        </w:rPr>
        <w:t xml:space="preserve"> </w:t>
      </w:r>
      <w:r w:rsidR="00D776DB" w:rsidRPr="006D71C7">
        <w:rPr>
          <w:b w:val="0"/>
          <w:i/>
          <w:color w:val="auto"/>
          <w:sz w:val="20"/>
          <w:szCs w:val="20"/>
        </w:rPr>
        <w:t xml:space="preserve">Realizacja </w:t>
      </w:r>
      <w:r w:rsidR="00FD6299" w:rsidRPr="006D71C7">
        <w:rPr>
          <w:b w:val="0"/>
          <w:i/>
          <w:color w:val="auto"/>
          <w:sz w:val="20"/>
          <w:szCs w:val="20"/>
        </w:rPr>
        <w:t>p</w:t>
      </w:r>
      <w:r w:rsidR="00EA7FA3" w:rsidRPr="006D71C7">
        <w:rPr>
          <w:b w:val="0"/>
          <w:i/>
          <w:color w:val="auto"/>
          <w:sz w:val="20"/>
          <w:szCs w:val="20"/>
        </w:rPr>
        <w:t xml:space="preserve">riorytetu I </w:t>
      </w:r>
      <w:bookmarkEnd w:id="287"/>
      <w:bookmarkEnd w:id="288"/>
      <w:bookmarkEnd w:id="289"/>
      <w:r w:rsidR="00D776DB" w:rsidRPr="006D71C7">
        <w:rPr>
          <w:b w:val="0"/>
          <w:i/>
          <w:color w:val="auto"/>
          <w:sz w:val="20"/>
          <w:szCs w:val="20"/>
        </w:rPr>
        <w:t>od uruchomienia Programu</w:t>
      </w:r>
      <w:bookmarkEnd w:id="290"/>
      <w:bookmarkEnd w:id="291"/>
      <w:r w:rsidR="00EA7FA3" w:rsidRPr="006D71C7">
        <w:rPr>
          <w:b w:val="0"/>
          <w:color w:val="auto"/>
          <w:sz w:val="20"/>
          <w:szCs w:val="20"/>
        </w:rPr>
        <w:t xml:space="preserve"> </w:t>
      </w:r>
      <w:r w:rsidR="00C22E27" w:rsidRPr="006D71C7">
        <w:rPr>
          <w:b w:val="0"/>
          <w:i/>
          <w:color w:val="auto"/>
          <w:sz w:val="20"/>
          <w:szCs w:val="20"/>
        </w:rPr>
        <w:t xml:space="preserve"> i w okresie sprawozdawczym</w:t>
      </w:r>
      <w:bookmarkEnd w:id="292"/>
      <w:bookmarkEnd w:id="293"/>
    </w:p>
    <w:p w:rsidR="008B0486" w:rsidRPr="006D71C7" w:rsidRDefault="00A443CE" w:rsidP="006D71C7">
      <w:pPr>
        <w:spacing w:after="0"/>
        <w:jc w:val="both"/>
        <w:rPr>
          <w:b/>
          <w:szCs w:val="24"/>
        </w:rPr>
      </w:pPr>
      <w:r w:rsidRPr="006D71C7">
        <w:rPr>
          <w:szCs w:val="24"/>
        </w:rPr>
        <w:t>Poniżej w tabeli p</w:t>
      </w:r>
      <w:r w:rsidR="00BA7091" w:rsidRPr="006D71C7">
        <w:rPr>
          <w:szCs w:val="24"/>
        </w:rPr>
        <w:t>rzedstawiono postęp realizacji p</w:t>
      </w:r>
      <w:r w:rsidRPr="006D71C7">
        <w:rPr>
          <w:szCs w:val="24"/>
        </w:rPr>
        <w:t>riorytetu I w podziale na działania. Stopień wykorzystania alokacji w poszczególnych działaniach jest bardzo zróżnicowany</w:t>
      </w:r>
      <w:r w:rsidR="00D10A43" w:rsidRPr="006D71C7">
        <w:rPr>
          <w:szCs w:val="24"/>
        </w:rPr>
        <w:t xml:space="preserve"> dwa pierwsze są na podobnym poziomie trzeci zdecydowanie na niższym</w:t>
      </w:r>
      <w:r w:rsidRPr="006D71C7">
        <w:rPr>
          <w:szCs w:val="24"/>
        </w:rPr>
        <w:t xml:space="preserve">. Niski poziom wykorzystania środków w </w:t>
      </w:r>
      <w:r w:rsidR="007338BD" w:rsidRPr="006D71C7">
        <w:rPr>
          <w:i/>
          <w:szCs w:val="24"/>
        </w:rPr>
        <w:t>działaniu 1.3</w:t>
      </w:r>
      <w:r w:rsidRPr="006D71C7">
        <w:rPr>
          <w:szCs w:val="24"/>
        </w:rPr>
        <w:t xml:space="preserve"> związany jest </w:t>
      </w:r>
      <w:r w:rsidR="00992D54" w:rsidRPr="006D71C7">
        <w:rPr>
          <w:szCs w:val="24"/>
        </w:rPr>
        <w:t xml:space="preserve">m.in. </w:t>
      </w:r>
      <w:r w:rsidRPr="006D71C7">
        <w:rPr>
          <w:szCs w:val="24"/>
        </w:rPr>
        <w:t xml:space="preserve">z </w:t>
      </w:r>
      <w:r w:rsidR="00B8105C" w:rsidRPr="006D71C7">
        <w:rPr>
          <w:szCs w:val="24"/>
        </w:rPr>
        <w:t xml:space="preserve">brakiem regulacji do końca 2009 roku w zakresie udzielania pomocy publicznej, a także </w:t>
      </w:r>
      <w:r w:rsidR="00013F6B" w:rsidRPr="006D71C7">
        <w:rPr>
          <w:szCs w:val="24"/>
        </w:rPr>
        <w:t xml:space="preserve">z </w:t>
      </w:r>
      <w:r w:rsidR="00B8105C" w:rsidRPr="006D71C7">
        <w:rPr>
          <w:szCs w:val="24"/>
        </w:rPr>
        <w:t>niewielkim zainteresowaniem ze strony beneficjentów</w:t>
      </w:r>
      <w:r w:rsidR="00013F6B" w:rsidRPr="006D71C7">
        <w:rPr>
          <w:szCs w:val="24"/>
        </w:rPr>
        <w:t xml:space="preserve"> w pierwszym konkursie</w:t>
      </w:r>
      <w:r w:rsidR="00B8105C" w:rsidRPr="006D71C7">
        <w:rPr>
          <w:szCs w:val="24"/>
        </w:rPr>
        <w:t xml:space="preserve">. W związku z powyższym przed </w:t>
      </w:r>
      <w:r w:rsidR="003D74CA" w:rsidRPr="006D71C7">
        <w:rPr>
          <w:szCs w:val="24"/>
        </w:rPr>
        <w:t xml:space="preserve">ogłoszeniem drugiego konkursu </w:t>
      </w:r>
      <w:r w:rsidR="007338BD" w:rsidRPr="006D71C7">
        <w:rPr>
          <w:i/>
          <w:szCs w:val="24"/>
        </w:rPr>
        <w:t>z działania 1.3</w:t>
      </w:r>
      <w:r w:rsidR="003D74CA" w:rsidRPr="006D71C7">
        <w:rPr>
          <w:szCs w:val="24"/>
        </w:rPr>
        <w:t xml:space="preserve"> (termin naboru  10.06.2011 r. - 12.09.2011 r.) zorganizowano dodatkowe szkolenia dla beneficjentów z zakresu tematyki </w:t>
      </w:r>
      <w:r w:rsidR="00BA7091" w:rsidRPr="006D71C7">
        <w:rPr>
          <w:szCs w:val="24"/>
        </w:rPr>
        <w:t xml:space="preserve">przedmiotowego </w:t>
      </w:r>
      <w:r w:rsidR="003D74CA" w:rsidRPr="006D71C7">
        <w:rPr>
          <w:szCs w:val="24"/>
        </w:rPr>
        <w:t>działania</w:t>
      </w:r>
      <w:r w:rsidR="00BA7091" w:rsidRPr="006D71C7">
        <w:rPr>
          <w:szCs w:val="24"/>
        </w:rPr>
        <w:t xml:space="preserve"> </w:t>
      </w:r>
      <w:r w:rsidR="003D74CA" w:rsidRPr="006D71C7">
        <w:rPr>
          <w:szCs w:val="24"/>
        </w:rPr>
        <w:t xml:space="preserve">m.in. </w:t>
      </w:r>
      <w:r w:rsidR="00BA7091" w:rsidRPr="006D71C7">
        <w:rPr>
          <w:szCs w:val="24"/>
        </w:rPr>
        <w:t xml:space="preserve">z </w:t>
      </w:r>
      <w:r w:rsidR="003D74CA" w:rsidRPr="006D71C7">
        <w:rPr>
          <w:szCs w:val="24"/>
        </w:rPr>
        <w:t>pomocy publicznej oraz właściwego przygotowania</w:t>
      </w:r>
      <w:r w:rsidR="00BA7091" w:rsidRPr="006D71C7">
        <w:rPr>
          <w:szCs w:val="24"/>
        </w:rPr>
        <w:t xml:space="preserve"> wniosku o </w:t>
      </w:r>
      <w:r w:rsidR="003D74CA" w:rsidRPr="006D71C7">
        <w:rPr>
          <w:szCs w:val="24"/>
        </w:rPr>
        <w:t>dofinansowanie. Ponadto przeprowadzono zwiększoną akcję informacyjną dla beneficjentów nt. organizowanego konkursu. W wyniku przeprowadzonych działań liczba wniosków była ponad dwukrotnie większa niż w ramach pierwszego konkursu (wzrosła z 21 do 50).</w:t>
      </w:r>
      <w:r w:rsidR="00B8105C" w:rsidRPr="006D71C7">
        <w:rPr>
          <w:szCs w:val="24"/>
        </w:rPr>
        <w:t xml:space="preserve"> </w:t>
      </w:r>
      <w:r w:rsidR="003D74CA" w:rsidRPr="006D71C7">
        <w:rPr>
          <w:szCs w:val="24"/>
        </w:rPr>
        <w:t>W </w:t>
      </w:r>
      <w:r w:rsidR="00063600" w:rsidRPr="006D71C7">
        <w:rPr>
          <w:szCs w:val="24"/>
        </w:rPr>
        <w:t>okresie sprawozdawczym zostały ogłoszone konkursy</w:t>
      </w:r>
      <w:r w:rsidR="00990925" w:rsidRPr="006D71C7">
        <w:rPr>
          <w:szCs w:val="24"/>
        </w:rPr>
        <w:t xml:space="preserve"> aż</w:t>
      </w:r>
      <w:r w:rsidR="00063600" w:rsidRPr="006D71C7">
        <w:rPr>
          <w:szCs w:val="24"/>
        </w:rPr>
        <w:t xml:space="preserve"> na 57% </w:t>
      </w:r>
      <w:r w:rsidR="00990925" w:rsidRPr="006D71C7">
        <w:rPr>
          <w:szCs w:val="24"/>
        </w:rPr>
        <w:t xml:space="preserve">dostępnej </w:t>
      </w:r>
      <w:r w:rsidR="00063600" w:rsidRPr="006D71C7">
        <w:rPr>
          <w:szCs w:val="24"/>
        </w:rPr>
        <w:t>alokacji</w:t>
      </w:r>
      <w:r w:rsidR="00990925" w:rsidRPr="006D71C7">
        <w:rPr>
          <w:szCs w:val="24"/>
        </w:rPr>
        <w:t xml:space="preserve"> dla </w:t>
      </w:r>
      <w:r w:rsidR="007338BD" w:rsidRPr="006D71C7">
        <w:rPr>
          <w:i/>
          <w:szCs w:val="24"/>
        </w:rPr>
        <w:t>działania 1.3</w:t>
      </w:r>
      <w:r w:rsidR="00F66186" w:rsidRPr="006D71C7">
        <w:rPr>
          <w:szCs w:val="24"/>
        </w:rPr>
        <w:t>.</w:t>
      </w:r>
      <w:r w:rsidR="00063600" w:rsidRPr="006D71C7">
        <w:rPr>
          <w:szCs w:val="24"/>
        </w:rPr>
        <w:t xml:space="preserve"> </w:t>
      </w:r>
      <w:r w:rsidR="00A270AD" w:rsidRPr="006D71C7">
        <w:rPr>
          <w:szCs w:val="24"/>
        </w:rPr>
        <w:t>Podsumowując należy</w:t>
      </w:r>
      <w:r w:rsidR="00BA7091" w:rsidRPr="006D71C7">
        <w:rPr>
          <w:szCs w:val="24"/>
        </w:rPr>
        <w:t xml:space="preserve"> stwierdzić, że</w:t>
      </w:r>
      <w:r w:rsidR="00EA299C" w:rsidRPr="006D71C7">
        <w:rPr>
          <w:szCs w:val="24"/>
        </w:rPr>
        <w:t> </w:t>
      </w:r>
      <w:r w:rsidR="007338BD" w:rsidRPr="006D71C7">
        <w:rPr>
          <w:i/>
          <w:szCs w:val="24"/>
        </w:rPr>
        <w:t>działanie 1.3</w:t>
      </w:r>
      <w:r w:rsidR="00BA7091" w:rsidRPr="006D71C7">
        <w:rPr>
          <w:szCs w:val="24"/>
        </w:rPr>
        <w:t xml:space="preserve"> </w:t>
      </w:r>
      <w:r w:rsidR="00A270AD" w:rsidRPr="006D71C7">
        <w:rPr>
          <w:szCs w:val="24"/>
        </w:rPr>
        <w:t>umożliwi</w:t>
      </w:r>
      <w:r w:rsidR="00F66186" w:rsidRPr="006D71C7">
        <w:rPr>
          <w:szCs w:val="24"/>
        </w:rPr>
        <w:t>a</w:t>
      </w:r>
      <w:r w:rsidR="00A270AD" w:rsidRPr="006D71C7">
        <w:rPr>
          <w:szCs w:val="24"/>
        </w:rPr>
        <w:t xml:space="preserve"> wybór najlepszych projektów z punktu widzenia regionu i</w:t>
      </w:r>
      <w:r w:rsidR="00EA299C" w:rsidRPr="006D71C7">
        <w:rPr>
          <w:szCs w:val="24"/>
        </w:rPr>
        <w:t> </w:t>
      </w:r>
      <w:r w:rsidR="00A270AD" w:rsidRPr="006D71C7">
        <w:rPr>
          <w:szCs w:val="24"/>
        </w:rPr>
        <w:t xml:space="preserve">realizować założenia </w:t>
      </w:r>
      <w:r w:rsidR="00A270AD" w:rsidRPr="006D71C7">
        <w:rPr>
          <w:i/>
          <w:szCs w:val="24"/>
        </w:rPr>
        <w:t>Regionalnej Strategii Innowacji Województwa Śląskiego</w:t>
      </w:r>
      <w:r w:rsidR="00A270AD" w:rsidRPr="006D71C7">
        <w:rPr>
          <w:szCs w:val="24"/>
        </w:rPr>
        <w:t>, jednakże pewne regulacje szczegółowe np. występowanie pomocy publicznej czynią je mało atrakcyjnym</w:t>
      </w:r>
      <w:r w:rsidR="00A270AD" w:rsidRPr="006D71C7">
        <w:rPr>
          <w:b/>
          <w:szCs w:val="24"/>
        </w:rPr>
        <w:t>.</w:t>
      </w:r>
      <w:r w:rsidR="008B0486" w:rsidRPr="006D71C7">
        <w:t xml:space="preserve"> </w:t>
      </w:r>
      <w:r w:rsidR="003C5FA3" w:rsidRPr="006D71C7">
        <w:t xml:space="preserve"> </w:t>
      </w:r>
      <w:r w:rsidR="00D97AE2" w:rsidRPr="006D71C7">
        <w:t>W</w:t>
      </w:r>
      <w:r w:rsidR="008B0486" w:rsidRPr="006D71C7">
        <w:t xml:space="preserve"> okresie sprawozdawczym w celu zintensyfikowania procesu kontraktacji </w:t>
      </w:r>
      <w:r w:rsidR="00D846E6" w:rsidRPr="006D71C7">
        <w:t xml:space="preserve">IP2 RPO WSL </w:t>
      </w:r>
      <w:r w:rsidR="008B0486" w:rsidRPr="006D71C7">
        <w:t xml:space="preserve">przeprowadziło aktualizacje </w:t>
      </w:r>
      <w:r w:rsidR="008B0486" w:rsidRPr="006D71C7">
        <w:rPr>
          <w:rFonts w:eastAsia="Garamond"/>
        </w:rPr>
        <w:t xml:space="preserve">list </w:t>
      </w:r>
      <w:r w:rsidR="008B0486" w:rsidRPr="006D71C7">
        <w:t>projektów wybranych do dofinansowania</w:t>
      </w:r>
      <w:r w:rsidR="00D97AE2" w:rsidRPr="006D71C7">
        <w:rPr>
          <w:rFonts w:eastAsia="Garamond"/>
        </w:rPr>
        <w:t xml:space="preserve"> w </w:t>
      </w:r>
      <w:r w:rsidR="008B0486" w:rsidRPr="006D71C7">
        <w:rPr>
          <w:rFonts w:eastAsia="Garamond"/>
        </w:rPr>
        <w:t>ramach konkursów ogłoszonych</w:t>
      </w:r>
      <w:r w:rsidR="00D97AE2" w:rsidRPr="006D71C7">
        <w:rPr>
          <w:rFonts w:eastAsia="Garamond"/>
        </w:rPr>
        <w:t xml:space="preserve"> </w:t>
      </w:r>
      <w:r w:rsidR="008B0486" w:rsidRPr="006D71C7">
        <w:rPr>
          <w:rFonts w:eastAsia="Garamond"/>
        </w:rPr>
        <w:t xml:space="preserve">dla </w:t>
      </w:r>
      <w:r w:rsidR="008B0486" w:rsidRPr="006D71C7">
        <w:rPr>
          <w:rFonts w:eastAsia="Garamond"/>
          <w:i/>
        </w:rPr>
        <w:t>poddziałań 1.2.3, 1.2.4, 3.1.1, 3.2.1</w:t>
      </w:r>
      <w:r w:rsidR="008B0486" w:rsidRPr="006D71C7">
        <w:rPr>
          <w:rFonts w:eastAsia="Garamond"/>
        </w:rPr>
        <w:t xml:space="preserve"> </w:t>
      </w:r>
      <w:r w:rsidR="008B0486" w:rsidRPr="006D71C7">
        <w:rPr>
          <w:iCs/>
        </w:rPr>
        <w:t>w oparciu o rezygnacje Wnioskodawców z dofinansowania projektów, odmowy podpisania umowy o dofi</w:t>
      </w:r>
      <w:r w:rsidR="004B131A">
        <w:rPr>
          <w:iCs/>
        </w:rPr>
        <w:t>nansowanie, rozwiązania umowy o </w:t>
      </w:r>
      <w:r w:rsidR="008B0486" w:rsidRPr="006D71C7">
        <w:rPr>
          <w:iCs/>
        </w:rPr>
        <w:t>dofinansowanie oraz zmiany dokonywane przez Beneficjentów w toku realizacji inwestycji</w:t>
      </w:r>
      <w:r w:rsidR="008B0486" w:rsidRPr="006D71C7">
        <w:rPr>
          <w:rFonts w:eastAsia="Garamond"/>
        </w:rPr>
        <w:t>.</w:t>
      </w:r>
      <w:r w:rsidR="008B0486" w:rsidRPr="006D71C7">
        <w:t xml:space="preserve"> Uwolnione środki zostały przeznaczone na dofinansowanie projektów z list rezerwowych </w:t>
      </w:r>
      <w:r w:rsidR="00D07E15" w:rsidRPr="006D71C7">
        <w:t xml:space="preserve">oraz przeniesione z </w:t>
      </w:r>
      <w:r w:rsidR="00D07E15" w:rsidRPr="006D71C7">
        <w:rPr>
          <w:i/>
        </w:rPr>
        <w:t>poddziałań 1.2.1 i 1.2.2</w:t>
      </w:r>
      <w:r w:rsidR="00AD1DCA" w:rsidRPr="006D71C7">
        <w:rPr>
          <w:rStyle w:val="Odwoanieprzypisudolnego"/>
          <w:i/>
        </w:rPr>
        <w:footnoteReference w:id="1"/>
      </w:r>
      <w:r w:rsidR="00D07E15" w:rsidRPr="006D71C7">
        <w:rPr>
          <w:i/>
        </w:rPr>
        <w:t xml:space="preserve"> na poddziałanie 1.2.4, </w:t>
      </w:r>
      <w:r w:rsidR="00D07E15" w:rsidRPr="006D71C7">
        <w:t xml:space="preserve">dla którego </w:t>
      </w:r>
      <w:r w:rsidR="00AD1DCA" w:rsidRPr="006D71C7">
        <w:t xml:space="preserve">tylko </w:t>
      </w:r>
      <w:r w:rsidR="004B131A">
        <w:t>w </w:t>
      </w:r>
      <w:r w:rsidR="00D07E15" w:rsidRPr="006D71C7">
        <w:t>okresie sprawozdawczym złożonych zostało ponad 1800 projektów do dofinansowania.</w:t>
      </w:r>
    </w:p>
    <w:p w:rsidR="00990925" w:rsidRPr="006D71C7" w:rsidRDefault="00990925" w:rsidP="006D71C7">
      <w:pPr>
        <w:pStyle w:val="Legenda"/>
        <w:spacing w:after="0" w:line="276" w:lineRule="auto"/>
        <w:jc w:val="both"/>
        <w:rPr>
          <w:b w:val="0"/>
          <w:color w:val="auto"/>
          <w:sz w:val="24"/>
          <w:szCs w:val="24"/>
        </w:rPr>
      </w:pPr>
    </w:p>
    <w:p w:rsidR="001915C3" w:rsidRPr="006D71C7" w:rsidRDefault="007338BD" w:rsidP="006D71C7">
      <w:pPr>
        <w:pStyle w:val="Legenda"/>
        <w:jc w:val="both"/>
        <w:rPr>
          <w:color w:val="auto"/>
          <w:sz w:val="20"/>
          <w:szCs w:val="20"/>
        </w:rPr>
      </w:pPr>
      <w:bookmarkStart w:id="294" w:name="_Toc324853709"/>
      <w:bookmarkStart w:id="295" w:name="_Toc326046366"/>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14</w:t>
      </w:r>
      <w:r w:rsidR="008F7228" w:rsidRPr="006D71C7">
        <w:rPr>
          <w:color w:val="auto"/>
          <w:sz w:val="20"/>
          <w:szCs w:val="20"/>
        </w:rPr>
        <w:fldChar w:fldCharType="end"/>
      </w:r>
      <w:r w:rsidR="00EA299C" w:rsidRPr="006D71C7">
        <w:rPr>
          <w:color w:val="auto"/>
        </w:rPr>
        <w:t xml:space="preserve"> </w:t>
      </w:r>
      <w:r w:rsidR="0048014D" w:rsidRPr="006D71C7">
        <w:rPr>
          <w:b w:val="0"/>
          <w:i/>
          <w:color w:val="auto"/>
          <w:sz w:val="20"/>
          <w:szCs w:val="20"/>
        </w:rPr>
        <w:t xml:space="preserve">Postęp realizacji </w:t>
      </w:r>
      <w:r w:rsidR="00FD6299" w:rsidRPr="006D71C7">
        <w:rPr>
          <w:b w:val="0"/>
          <w:i/>
          <w:color w:val="auto"/>
          <w:sz w:val="20"/>
          <w:szCs w:val="20"/>
        </w:rPr>
        <w:t>p</w:t>
      </w:r>
      <w:r w:rsidR="0048014D" w:rsidRPr="006D71C7">
        <w:rPr>
          <w:b w:val="0"/>
          <w:i/>
          <w:color w:val="auto"/>
          <w:sz w:val="20"/>
          <w:szCs w:val="20"/>
        </w:rPr>
        <w:t>riorytetu I w podziale na działania</w:t>
      </w:r>
      <w:bookmarkEnd w:id="294"/>
      <w:bookmarkEnd w:id="295"/>
    </w:p>
    <w:tbl>
      <w:tblPr>
        <w:tblStyle w:val="redniasiatka3akcent1"/>
        <w:tblW w:w="9227" w:type="dxa"/>
        <w:jc w:val="center"/>
        <w:shd w:val="clear" w:color="auto" w:fill="F4B29B" w:themeFill="accent1" w:themeFillTint="66"/>
        <w:tblLook w:val="04A0" w:firstRow="1" w:lastRow="0" w:firstColumn="1" w:lastColumn="0" w:noHBand="0" w:noVBand="1"/>
      </w:tblPr>
      <w:tblGrid>
        <w:gridCol w:w="1460"/>
        <w:gridCol w:w="1339"/>
        <w:gridCol w:w="1105"/>
        <w:gridCol w:w="1023"/>
        <w:gridCol w:w="1160"/>
        <w:gridCol w:w="920"/>
        <w:gridCol w:w="1080"/>
        <w:gridCol w:w="1140"/>
      </w:tblGrid>
      <w:tr w:rsidR="0048014D" w:rsidRPr="009A33F9" w:rsidTr="00955873">
        <w:trPr>
          <w:cnfStyle w:val="100000000000" w:firstRow="1" w:lastRow="0" w:firstColumn="0" w:lastColumn="0" w:oddVBand="0" w:evenVBand="0" w:oddHBand="0" w:evenHBand="0" w:firstRowFirstColumn="0" w:firstRowLastColumn="0" w:lastRowFirstColumn="0" w:lastRowLastColumn="0"/>
          <w:trHeight w:val="948"/>
          <w:jc w:val="center"/>
        </w:trPr>
        <w:tc>
          <w:tcPr>
            <w:cnfStyle w:val="001000000000" w:firstRow="0" w:lastRow="0" w:firstColumn="1" w:lastColumn="0" w:oddVBand="0" w:evenVBand="0" w:oddHBand="0" w:evenHBand="0" w:firstRowFirstColumn="0" w:firstRowLastColumn="0" w:lastRowFirstColumn="0" w:lastRowLastColumn="0"/>
            <w:tcW w:w="1460" w:type="dxa"/>
            <w:vMerge w:val="restart"/>
            <w:shd w:val="clear" w:color="auto" w:fill="F4B29B" w:themeFill="accent1" w:themeFillTint="66"/>
            <w:noWrap/>
            <w:vAlign w:val="center"/>
            <w:hideMark/>
          </w:tcPr>
          <w:p w:rsidR="0048014D" w:rsidRPr="009A33F9" w:rsidRDefault="00C74054" w:rsidP="00C74054">
            <w:pPr>
              <w:jc w:val="center"/>
              <w:rPr>
                <w:color w:val="auto"/>
                <w:sz w:val="20"/>
                <w:szCs w:val="20"/>
              </w:rPr>
            </w:pPr>
            <w:bookmarkStart w:id="296" w:name="_Toc327259247"/>
            <w:bookmarkEnd w:id="296"/>
            <w:r>
              <w:rPr>
                <w:color w:val="auto"/>
                <w:sz w:val="20"/>
                <w:szCs w:val="20"/>
              </w:rPr>
              <w:t>Działania</w:t>
            </w:r>
          </w:p>
        </w:tc>
        <w:tc>
          <w:tcPr>
            <w:tcW w:w="1339" w:type="dxa"/>
            <w:vMerge w:val="restart"/>
            <w:shd w:val="clear" w:color="auto" w:fill="F4B29B" w:themeFill="accent1" w:themeFillTint="66"/>
            <w:vAlign w:val="center"/>
            <w:hideMark/>
          </w:tcPr>
          <w:p w:rsidR="0048014D" w:rsidRPr="009A33F9" w:rsidRDefault="00C43B75" w:rsidP="00C7405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Alokacja w mln EUR</w:t>
            </w:r>
          </w:p>
        </w:tc>
        <w:tc>
          <w:tcPr>
            <w:tcW w:w="2128" w:type="dxa"/>
            <w:gridSpan w:val="2"/>
            <w:tcBorders>
              <w:bottom w:val="single" w:sz="8" w:space="0" w:color="FFFFFF" w:themeColor="background1"/>
            </w:tcBorders>
            <w:shd w:val="clear" w:color="auto" w:fill="F4B29B" w:themeFill="accent1" w:themeFillTint="66"/>
            <w:vAlign w:val="center"/>
            <w:hideMark/>
          </w:tcPr>
          <w:p w:rsidR="0048014D" w:rsidRPr="009A33F9" w:rsidRDefault="00C43B75" w:rsidP="00C7405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Zatwierdzone wnioski do dofinansowania</w:t>
            </w:r>
          </w:p>
        </w:tc>
        <w:tc>
          <w:tcPr>
            <w:tcW w:w="2080" w:type="dxa"/>
            <w:gridSpan w:val="2"/>
            <w:tcBorders>
              <w:bottom w:val="single" w:sz="8" w:space="0" w:color="FFFFFF" w:themeColor="background1"/>
            </w:tcBorders>
            <w:shd w:val="clear" w:color="auto" w:fill="F4B29B" w:themeFill="accent1" w:themeFillTint="66"/>
            <w:vAlign w:val="center"/>
            <w:hideMark/>
          </w:tcPr>
          <w:p w:rsidR="0048014D" w:rsidRPr="009A33F9" w:rsidRDefault="00C43B75" w:rsidP="00C7405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Podpisane umowy</w:t>
            </w:r>
          </w:p>
        </w:tc>
        <w:tc>
          <w:tcPr>
            <w:tcW w:w="2220" w:type="dxa"/>
            <w:gridSpan w:val="2"/>
            <w:tcBorders>
              <w:bottom w:val="single" w:sz="8" w:space="0" w:color="FFFFFF" w:themeColor="background1"/>
            </w:tcBorders>
            <w:shd w:val="clear" w:color="auto" w:fill="F4B29B" w:themeFill="accent1" w:themeFillTint="66"/>
            <w:noWrap/>
            <w:vAlign w:val="center"/>
            <w:hideMark/>
          </w:tcPr>
          <w:p w:rsidR="0048014D" w:rsidRPr="009A33F9" w:rsidRDefault="00C43B75" w:rsidP="00C7405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Płatności</w:t>
            </w:r>
          </w:p>
        </w:tc>
      </w:tr>
      <w:tr w:rsidR="0048014D" w:rsidRPr="009A33F9" w:rsidTr="00C74054">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460" w:type="dxa"/>
            <w:vMerge/>
            <w:shd w:val="clear" w:color="auto" w:fill="F4B29B" w:themeFill="accent1" w:themeFillTint="66"/>
            <w:noWrap/>
            <w:hideMark/>
          </w:tcPr>
          <w:p w:rsidR="0048014D" w:rsidRPr="009A33F9" w:rsidRDefault="0048014D" w:rsidP="006D71C7">
            <w:pPr>
              <w:spacing w:after="0" w:line="240" w:lineRule="auto"/>
              <w:jc w:val="both"/>
              <w:rPr>
                <w:color w:val="auto"/>
                <w:sz w:val="20"/>
                <w:szCs w:val="20"/>
              </w:rPr>
            </w:pPr>
          </w:p>
        </w:tc>
        <w:tc>
          <w:tcPr>
            <w:tcW w:w="1339" w:type="dxa"/>
            <w:vMerge/>
            <w:shd w:val="clear" w:color="auto" w:fill="F9D8CD" w:themeFill="accent1" w:themeFillTint="33"/>
            <w:vAlign w:val="center"/>
            <w:hideMark/>
          </w:tcPr>
          <w:p w:rsidR="0048014D" w:rsidRPr="009A33F9" w:rsidRDefault="0048014D" w:rsidP="006D71C7">
            <w:pPr>
              <w:spacing w:after="0" w:line="240"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p>
        </w:tc>
        <w:tc>
          <w:tcPr>
            <w:tcW w:w="1105" w:type="dxa"/>
            <w:shd w:val="clear" w:color="auto" w:fill="F9D8CD" w:themeFill="accent1" w:themeFillTint="33"/>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1023" w:type="dxa"/>
            <w:shd w:val="clear" w:color="auto" w:fill="F9D8CD" w:themeFill="accent1" w:themeFillTint="33"/>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c>
          <w:tcPr>
            <w:tcW w:w="1160" w:type="dxa"/>
            <w:shd w:val="clear" w:color="auto" w:fill="F9D8CD" w:themeFill="accent1" w:themeFillTint="33"/>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920" w:type="dxa"/>
            <w:shd w:val="clear" w:color="auto" w:fill="F9D8CD" w:themeFill="accent1" w:themeFillTint="33"/>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c>
          <w:tcPr>
            <w:tcW w:w="1080" w:type="dxa"/>
            <w:shd w:val="clear" w:color="auto" w:fill="F9D8CD" w:themeFill="accent1" w:themeFillTint="33"/>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1140" w:type="dxa"/>
            <w:shd w:val="clear" w:color="auto" w:fill="F9D8CD" w:themeFill="accent1" w:themeFillTint="33"/>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r>
      <w:tr w:rsidR="0048014D" w:rsidRPr="009A33F9" w:rsidTr="00C74054">
        <w:trPr>
          <w:trHeight w:val="509"/>
          <w:jc w:val="center"/>
        </w:trPr>
        <w:tc>
          <w:tcPr>
            <w:cnfStyle w:val="001000000000" w:firstRow="0" w:lastRow="0" w:firstColumn="1" w:lastColumn="0" w:oddVBand="0" w:evenVBand="0" w:oddHBand="0" w:evenHBand="0" w:firstRowFirstColumn="0" w:firstRowLastColumn="0" w:lastRowFirstColumn="0" w:lastRowLastColumn="0"/>
            <w:tcW w:w="1460" w:type="dxa"/>
            <w:shd w:val="clear" w:color="auto" w:fill="F4B29B" w:themeFill="accent1" w:themeFillTint="66"/>
            <w:noWrap/>
            <w:vAlign w:val="center"/>
            <w:hideMark/>
          </w:tcPr>
          <w:p w:rsidR="0048014D" w:rsidRPr="009A33F9" w:rsidRDefault="00C43B75" w:rsidP="00C74054">
            <w:pPr>
              <w:spacing w:after="0" w:line="240" w:lineRule="auto"/>
              <w:jc w:val="center"/>
              <w:rPr>
                <w:color w:val="auto"/>
                <w:sz w:val="20"/>
                <w:szCs w:val="20"/>
              </w:rPr>
            </w:pPr>
            <w:r w:rsidRPr="00C43B75">
              <w:rPr>
                <w:color w:val="auto"/>
                <w:sz w:val="20"/>
                <w:szCs w:val="20"/>
              </w:rPr>
              <w:t>1.1</w:t>
            </w:r>
          </w:p>
        </w:tc>
        <w:tc>
          <w:tcPr>
            <w:tcW w:w="133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67,00</w:t>
            </w:r>
          </w:p>
        </w:tc>
        <w:tc>
          <w:tcPr>
            <w:tcW w:w="1105"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55,22</w:t>
            </w:r>
          </w:p>
        </w:tc>
        <w:tc>
          <w:tcPr>
            <w:tcW w:w="1023"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82%</w:t>
            </w:r>
          </w:p>
        </w:tc>
        <w:tc>
          <w:tcPr>
            <w:tcW w:w="116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51,17</w:t>
            </w:r>
          </w:p>
        </w:tc>
        <w:tc>
          <w:tcPr>
            <w:tcW w:w="92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76,37%</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24,48</w:t>
            </w:r>
          </w:p>
        </w:tc>
        <w:tc>
          <w:tcPr>
            <w:tcW w:w="114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36,54%</w:t>
            </w:r>
          </w:p>
        </w:tc>
      </w:tr>
      <w:tr w:rsidR="0048014D" w:rsidRPr="009A33F9" w:rsidTr="00C74054">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460" w:type="dxa"/>
            <w:shd w:val="clear" w:color="auto" w:fill="F4B29B" w:themeFill="accent1" w:themeFillTint="66"/>
            <w:noWrap/>
            <w:vAlign w:val="center"/>
            <w:hideMark/>
          </w:tcPr>
          <w:p w:rsidR="0048014D" w:rsidRPr="009A33F9" w:rsidRDefault="00C43B75" w:rsidP="00C74054">
            <w:pPr>
              <w:spacing w:after="0" w:line="240" w:lineRule="auto"/>
              <w:jc w:val="center"/>
              <w:rPr>
                <w:color w:val="auto"/>
                <w:sz w:val="20"/>
                <w:szCs w:val="20"/>
              </w:rPr>
            </w:pPr>
            <w:r w:rsidRPr="00C43B75">
              <w:rPr>
                <w:color w:val="auto"/>
                <w:sz w:val="20"/>
                <w:szCs w:val="20"/>
              </w:rPr>
              <w:t>1.2</w:t>
            </w:r>
          </w:p>
        </w:tc>
        <w:tc>
          <w:tcPr>
            <w:tcW w:w="1339" w:type="dxa"/>
            <w:shd w:val="clear" w:color="auto" w:fill="F9D8CD" w:themeFill="accent1" w:themeFillTint="33"/>
            <w:noWrap/>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156,16</w:t>
            </w:r>
          </w:p>
        </w:tc>
        <w:tc>
          <w:tcPr>
            <w:tcW w:w="1105" w:type="dxa"/>
            <w:shd w:val="clear" w:color="auto" w:fill="F9D8CD" w:themeFill="accent1" w:themeFillTint="33"/>
            <w:noWrap/>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123,59</w:t>
            </w:r>
          </w:p>
        </w:tc>
        <w:tc>
          <w:tcPr>
            <w:tcW w:w="1023" w:type="dxa"/>
            <w:shd w:val="clear" w:color="auto" w:fill="F9D8CD" w:themeFill="accent1" w:themeFillTint="33"/>
            <w:noWrap/>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79%</w:t>
            </w:r>
          </w:p>
        </w:tc>
        <w:tc>
          <w:tcPr>
            <w:tcW w:w="1160" w:type="dxa"/>
            <w:shd w:val="clear" w:color="auto" w:fill="F9D8CD" w:themeFill="accent1" w:themeFillTint="33"/>
            <w:noWrap/>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91,33</w:t>
            </w:r>
          </w:p>
        </w:tc>
        <w:tc>
          <w:tcPr>
            <w:tcW w:w="920" w:type="dxa"/>
            <w:shd w:val="clear" w:color="auto" w:fill="F9D8CD" w:themeFill="accent1" w:themeFillTint="33"/>
            <w:noWrap/>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58,48%</w:t>
            </w:r>
          </w:p>
        </w:tc>
        <w:tc>
          <w:tcPr>
            <w:tcW w:w="1080" w:type="dxa"/>
            <w:shd w:val="clear" w:color="auto" w:fill="F9D8CD" w:themeFill="accent1" w:themeFillTint="33"/>
            <w:noWrap/>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54,35</w:t>
            </w:r>
          </w:p>
        </w:tc>
        <w:tc>
          <w:tcPr>
            <w:tcW w:w="1140" w:type="dxa"/>
            <w:shd w:val="clear" w:color="auto" w:fill="F9D8CD" w:themeFill="accent1" w:themeFillTint="33"/>
            <w:noWrap/>
            <w:vAlign w:val="center"/>
            <w:hideMark/>
          </w:tcPr>
          <w:p w:rsidR="0048014D" w:rsidRPr="009A33F9" w:rsidRDefault="00C43B75" w:rsidP="00C7405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34,80%</w:t>
            </w:r>
          </w:p>
        </w:tc>
      </w:tr>
      <w:tr w:rsidR="0048014D" w:rsidRPr="009A33F9" w:rsidTr="00C74054">
        <w:trPr>
          <w:trHeight w:val="545"/>
          <w:jc w:val="center"/>
        </w:trPr>
        <w:tc>
          <w:tcPr>
            <w:cnfStyle w:val="001000000000" w:firstRow="0" w:lastRow="0" w:firstColumn="1" w:lastColumn="0" w:oddVBand="0" w:evenVBand="0" w:oddHBand="0" w:evenHBand="0" w:firstRowFirstColumn="0" w:firstRowLastColumn="0" w:lastRowFirstColumn="0" w:lastRowLastColumn="0"/>
            <w:tcW w:w="1460" w:type="dxa"/>
            <w:tcBorders>
              <w:bottom w:val="single" w:sz="8" w:space="0" w:color="FFFFFF" w:themeColor="background1"/>
            </w:tcBorders>
            <w:shd w:val="clear" w:color="auto" w:fill="F4B29B" w:themeFill="accent1" w:themeFillTint="66"/>
            <w:noWrap/>
            <w:vAlign w:val="center"/>
            <w:hideMark/>
          </w:tcPr>
          <w:p w:rsidR="0048014D" w:rsidRPr="009A33F9" w:rsidRDefault="00C43B75" w:rsidP="00C74054">
            <w:pPr>
              <w:spacing w:after="0" w:line="240" w:lineRule="auto"/>
              <w:jc w:val="center"/>
              <w:rPr>
                <w:color w:val="auto"/>
                <w:sz w:val="20"/>
                <w:szCs w:val="20"/>
              </w:rPr>
            </w:pPr>
            <w:r w:rsidRPr="00C43B75">
              <w:rPr>
                <w:color w:val="auto"/>
                <w:sz w:val="20"/>
                <w:szCs w:val="20"/>
              </w:rPr>
              <w:t>1.3</w:t>
            </w:r>
          </w:p>
        </w:tc>
        <w:tc>
          <w:tcPr>
            <w:tcW w:w="133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74,08</w:t>
            </w:r>
          </w:p>
        </w:tc>
        <w:tc>
          <w:tcPr>
            <w:tcW w:w="1105"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9,82</w:t>
            </w:r>
          </w:p>
        </w:tc>
        <w:tc>
          <w:tcPr>
            <w:tcW w:w="1023"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13%</w:t>
            </w:r>
          </w:p>
        </w:tc>
        <w:tc>
          <w:tcPr>
            <w:tcW w:w="116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8,13</w:t>
            </w:r>
          </w:p>
        </w:tc>
        <w:tc>
          <w:tcPr>
            <w:tcW w:w="92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10,97%</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0,11</w:t>
            </w:r>
          </w:p>
        </w:tc>
        <w:tc>
          <w:tcPr>
            <w:tcW w:w="114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48014D" w:rsidRPr="009A33F9" w:rsidRDefault="00C43B75" w:rsidP="00C7405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0,15%</w:t>
            </w:r>
          </w:p>
        </w:tc>
      </w:tr>
    </w:tbl>
    <w:p w:rsidR="00A24F3C" w:rsidRPr="006D71C7" w:rsidRDefault="00A24F3C" w:rsidP="006D71C7">
      <w:pPr>
        <w:spacing w:after="120"/>
        <w:jc w:val="both"/>
        <w:rPr>
          <w:szCs w:val="24"/>
        </w:rPr>
      </w:pPr>
    </w:p>
    <w:p w:rsidR="00A814BA" w:rsidRPr="006D71C7" w:rsidRDefault="001119E3" w:rsidP="006D71C7">
      <w:pPr>
        <w:spacing w:after="120"/>
        <w:jc w:val="both"/>
        <w:rPr>
          <w:szCs w:val="24"/>
        </w:rPr>
      </w:pPr>
      <w:r w:rsidRPr="006D71C7">
        <w:rPr>
          <w:szCs w:val="24"/>
        </w:rPr>
        <w:t>W ramach priorytetu realizowany jest jeden projekt kluczowy</w:t>
      </w:r>
      <w:r w:rsidR="00CC610C" w:rsidRPr="006D71C7">
        <w:rPr>
          <w:szCs w:val="24"/>
        </w:rPr>
        <w:t xml:space="preserve"> znajdujący się w IWIPK</w:t>
      </w:r>
      <w:r w:rsidRPr="006D71C7">
        <w:rPr>
          <w:szCs w:val="24"/>
        </w:rPr>
        <w:t xml:space="preserve"> </w:t>
      </w:r>
      <w:r w:rsidRPr="006D71C7">
        <w:rPr>
          <w:i/>
        </w:rPr>
        <w:t>Gospodarcza Brama Śląska – etap I: Uruchomienie Zagłębiowskiej Strefy Gospodarczej</w:t>
      </w:r>
      <w:r w:rsidRPr="006D71C7">
        <w:rPr>
          <w:szCs w:val="24"/>
        </w:rPr>
        <w:t>, w</w:t>
      </w:r>
      <w:r w:rsidR="001E0250" w:rsidRPr="006D71C7">
        <w:rPr>
          <w:szCs w:val="24"/>
        </w:rPr>
        <w:t> </w:t>
      </w:r>
      <w:r w:rsidRPr="006D71C7">
        <w:rPr>
          <w:szCs w:val="24"/>
        </w:rPr>
        <w:t>ramach którego podpisano 8 umów o dofinansowanie z podprojektami.</w:t>
      </w:r>
      <w:r w:rsidR="007B5AA7" w:rsidRPr="006D71C7">
        <w:rPr>
          <w:szCs w:val="24"/>
        </w:rPr>
        <w:t xml:space="preserve"> W wyniku różnic kursowych w ramach projektu kluczowego </w:t>
      </w:r>
      <w:r w:rsidR="000A1FAE" w:rsidRPr="006D71C7">
        <w:rPr>
          <w:szCs w:val="24"/>
        </w:rPr>
        <w:t xml:space="preserve">zostały wygenerowane </w:t>
      </w:r>
      <w:r w:rsidR="007B5AA7" w:rsidRPr="006D71C7">
        <w:rPr>
          <w:szCs w:val="24"/>
        </w:rPr>
        <w:t>oszczędności, które zostały przeznaczone na konkurs</w:t>
      </w:r>
      <w:r w:rsidR="000A1FAE" w:rsidRPr="006D71C7">
        <w:rPr>
          <w:szCs w:val="24"/>
        </w:rPr>
        <w:t>y</w:t>
      </w:r>
      <w:r w:rsidR="007B5AA7" w:rsidRPr="006D71C7">
        <w:rPr>
          <w:szCs w:val="24"/>
        </w:rPr>
        <w:t xml:space="preserve"> w ramach przedmiotowego priorytetu.</w:t>
      </w:r>
    </w:p>
    <w:p w:rsidR="0028774B" w:rsidRPr="006D71C7" w:rsidRDefault="0028774B" w:rsidP="006D71C7">
      <w:pPr>
        <w:spacing w:after="120"/>
        <w:jc w:val="both"/>
        <w:rPr>
          <w:szCs w:val="24"/>
        </w:rPr>
      </w:pPr>
      <w:r w:rsidRPr="006D71C7">
        <w:rPr>
          <w:szCs w:val="24"/>
        </w:rPr>
        <w:t>Poniżej na schemacie przedstawiono poziom kontraktacji i płatności ogółem na priorytet oraz w podziale na IWIPK i konkursy.</w:t>
      </w:r>
    </w:p>
    <w:p w:rsidR="00F67EB1" w:rsidRPr="006D71C7" w:rsidRDefault="00F67EB1" w:rsidP="006D71C7">
      <w:pPr>
        <w:spacing w:after="120"/>
        <w:jc w:val="both"/>
        <w:rPr>
          <w:szCs w:val="24"/>
        </w:rPr>
      </w:pPr>
      <w:r w:rsidRPr="006D71C7">
        <w:rPr>
          <w:noProof/>
          <w:szCs w:val="24"/>
        </w:rPr>
        <w:drawing>
          <wp:inline distT="0" distB="0" distL="0" distR="0">
            <wp:extent cx="5852337" cy="3489694"/>
            <wp:effectExtent l="38100" t="0" r="1524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915C3" w:rsidRPr="006D71C7" w:rsidRDefault="007338BD" w:rsidP="006D71C7">
      <w:pPr>
        <w:pStyle w:val="Legenda"/>
        <w:jc w:val="both"/>
        <w:rPr>
          <w:color w:val="auto"/>
          <w:sz w:val="20"/>
          <w:szCs w:val="20"/>
        </w:rPr>
      </w:pPr>
      <w:bookmarkStart w:id="297" w:name="_Toc324853710"/>
      <w:bookmarkStart w:id="298" w:name="_Toc326055342"/>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24</w:t>
      </w:r>
      <w:r w:rsidR="008F7228">
        <w:rPr>
          <w:color w:val="auto"/>
          <w:sz w:val="20"/>
          <w:szCs w:val="20"/>
        </w:rPr>
        <w:fldChar w:fldCharType="end"/>
      </w:r>
      <w:r w:rsidR="00EA299C" w:rsidRPr="006D71C7">
        <w:rPr>
          <w:color w:val="auto"/>
        </w:rPr>
        <w:t xml:space="preserve"> </w:t>
      </w:r>
      <w:r w:rsidR="001119E3" w:rsidRPr="006D71C7">
        <w:rPr>
          <w:b w:val="0"/>
          <w:i/>
          <w:color w:val="auto"/>
          <w:sz w:val="20"/>
          <w:szCs w:val="20"/>
        </w:rPr>
        <w:t>Poziom kontraktacji i płatności</w:t>
      </w:r>
      <w:r w:rsidR="001119E3" w:rsidRPr="006D71C7">
        <w:rPr>
          <w:color w:val="auto"/>
          <w:sz w:val="20"/>
          <w:szCs w:val="20"/>
        </w:rPr>
        <w:t xml:space="preserve"> </w:t>
      </w:r>
      <w:r w:rsidRPr="006D71C7">
        <w:rPr>
          <w:b w:val="0"/>
          <w:i/>
          <w:color w:val="auto"/>
          <w:sz w:val="20"/>
          <w:szCs w:val="20"/>
        </w:rPr>
        <w:t>w podziale na ścieżki wyboru projektów</w:t>
      </w:r>
      <w:bookmarkEnd w:id="297"/>
      <w:bookmarkEnd w:id="298"/>
    </w:p>
    <w:p w:rsidR="00955873" w:rsidRPr="006D71C7" w:rsidRDefault="00955873" w:rsidP="006D71C7">
      <w:pPr>
        <w:spacing w:after="0"/>
        <w:jc w:val="both"/>
        <w:rPr>
          <w:szCs w:val="24"/>
          <w:lang w:eastAsia="ar-SA"/>
        </w:rPr>
      </w:pPr>
      <w:r w:rsidRPr="006D71C7">
        <w:rPr>
          <w:szCs w:val="24"/>
          <w:lang w:eastAsia="ar-SA"/>
        </w:rPr>
        <w:t xml:space="preserve">Priorytet I jest jednym z niewielu priorytetów RPO WSL w ramach którego </w:t>
      </w:r>
      <w:r w:rsidR="001E0250" w:rsidRPr="006D71C7">
        <w:rPr>
          <w:szCs w:val="24"/>
          <w:lang w:eastAsia="ar-SA"/>
        </w:rPr>
        <w:t xml:space="preserve">zgodnie z harmonogramem konkursów na koniec 2011 roku </w:t>
      </w:r>
      <w:r w:rsidRPr="006D71C7">
        <w:rPr>
          <w:szCs w:val="24"/>
          <w:lang w:eastAsia="ar-SA"/>
        </w:rPr>
        <w:t>pozostały do ogłoszenia jeszcze dwa nabory</w:t>
      </w:r>
      <w:r w:rsidR="00A43654" w:rsidRPr="006D71C7">
        <w:rPr>
          <w:szCs w:val="24"/>
          <w:lang w:eastAsia="ar-SA"/>
        </w:rPr>
        <w:t xml:space="preserve"> w 2012 roku</w:t>
      </w:r>
      <w:r w:rsidRPr="006D71C7">
        <w:rPr>
          <w:szCs w:val="24"/>
          <w:lang w:eastAsia="ar-SA"/>
        </w:rPr>
        <w:t>.</w:t>
      </w:r>
    </w:p>
    <w:p w:rsidR="00955873" w:rsidRPr="006D71C7" w:rsidRDefault="00955873" w:rsidP="006D71C7">
      <w:pPr>
        <w:spacing w:after="0" w:line="240" w:lineRule="auto"/>
        <w:jc w:val="both"/>
        <w:rPr>
          <w:b/>
          <w:i/>
          <w:szCs w:val="24"/>
          <w:lang w:eastAsia="ar-SA"/>
        </w:rPr>
      </w:pPr>
    </w:p>
    <w:p w:rsidR="001915C3" w:rsidRPr="006D71C7" w:rsidRDefault="007338BD" w:rsidP="006D71C7">
      <w:pPr>
        <w:pStyle w:val="Legenda"/>
        <w:jc w:val="both"/>
        <w:rPr>
          <w:b w:val="0"/>
          <w:i/>
          <w:color w:val="auto"/>
          <w:sz w:val="20"/>
          <w:szCs w:val="20"/>
          <w:lang w:eastAsia="ar-SA"/>
        </w:rPr>
      </w:pPr>
      <w:bookmarkStart w:id="299" w:name="_Toc324853711"/>
      <w:bookmarkStart w:id="300" w:name="_Toc326046367"/>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15</w:t>
      </w:r>
      <w:r w:rsidR="008F7228" w:rsidRPr="006D71C7">
        <w:rPr>
          <w:color w:val="auto"/>
          <w:sz w:val="20"/>
          <w:szCs w:val="20"/>
        </w:rPr>
        <w:fldChar w:fldCharType="end"/>
      </w:r>
      <w:r w:rsidR="00EA299C" w:rsidRPr="006D71C7">
        <w:rPr>
          <w:color w:val="auto"/>
        </w:rPr>
        <w:t xml:space="preserve"> </w:t>
      </w:r>
      <w:r w:rsidR="00BA7091" w:rsidRPr="006D71C7">
        <w:rPr>
          <w:b w:val="0"/>
          <w:i/>
          <w:color w:val="auto"/>
          <w:sz w:val="20"/>
          <w:szCs w:val="20"/>
        </w:rPr>
        <w:t>Zbiorcze zestawienie naborów w ramach priorytetu I</w:t>
      </w:r>
      <w:bookmarkEnd w:id="299"/>
      <w:bookmarkEnd w:id="300"/>
    </w:p>
    <w:tbl>
      <w:tblPr>
        <w:tblW w:w="8354" w:type="dxa"/>
        <w:jc w:val="center"/>
        <w:tblInd w:w="60" w:type="dxa"/>
        <w:tblCellMar>
          <w:left w:w="70" w:type="dxa"/>
          <w:right w:w="70" w:type="dxa"/>
        </w:tblCellMar>
        <w:tblLook w:val="04A0" w:firstRow="1" w:lastRow="0" w:firstColumn="1" w:lastColumn="0" w:noHBand="0" w:noVBand="1"/>
      </w:tblPr>
      <w:tblGrid>
        <w:gridCol w:w="1500"/>
        <w:gridCol w:w="1406"/>
        <w:gridCol w:w="1134"/>
        <w:gridCol w:w="1195"/>
        <w:gridCol w:w="993"/>
        <w:gridCol w:w="1134"/>
        <w:gridCol w:w="992"/>
      </w:tblGrid>
      <w:tr w:rsidR="00E815BF" w:rsidRPr="006D71C7" w:rsidTr="004E177E">
        <w:trPr>
          <w:trHeight w:val="695"/>
          <w:jc w:val="center"/>
        </w:trPr>
        <w:tc>
          <w:tcPr>
            <w:tcW w:w="1500" w:type="dxa"/>
            <w:vMerge w:val="restart"/>
            <w:tcBorders>
              <w:top w:val="single" w:sz="8" w:space="0" w:color="FFFFFF"/>
              <w:left w:val="single" w:sz="8" w:space="0" w:color="FFFFFF"/>
              <w:bottom w:val="single" w:sz="8" w:space="0" w:color="FFFFFF"/>
              <w:right w:val="single" w:sz="8" w:space="0" w:color="FFFFFF"/>
            </w:tcBorders>
            <w:shd w:val="clear" w:color="000000" w:fill="F4B29B"/>
            <w:noWrap/>
            <w:vAlign w:val="bottom"/>
            <w:hideMark/>
          </w:tcPr>
          <w:p w:rsidR="00955873" w:rsidRPr="006D71C7" w:rsidRDefault="00955873" w:rsidP="00C74054">
            <w:pPr>
              <w:spacing w:after="0" w:line="240" w:lineRule="auto"/>
              <w:jc w:val="center"/>
              <w:rPr>
                <w:rFonts w:ascii="Calibri" w:hAnsi="Calibri"/>
                <w:sz w:val="20"/>
                <w:szCs w:val="20"/>
              </w:rPr>
            </w:pPr>
          </w:p>
          <w:p w:rsidR="00E815BF" w:rsidRPr="006D71C7" w:rsidRDefault="00E815BF" w:rsidP="00C74054">
            <w:pPr>
              <w:spacing w:after="0" w:line="240" w:lineRule="auto"/>
              <w:jc w:val="center"/>
              <w:rPr>
                <w:rFonts w:ascii="Calibri" w:hAnsi="Calibri"/>
                <w:sz w:val="20"/>
                <w:szCs w:val="20"/>
              </w:rPr>
            </w:pPr>
          </w:p>
        </w:tc>
        <w:tc>
          <w:tcPr>
            <w:tcW w:w="2540" w:type="dxa"/>
            <w:gridSpan w:val="2"/>
            <w:tcBorders>
              <w:top w:val="single" w:sz="8" w:space="0" w:color="FFFFFF"/>
              <w:left w:val="nil"/>
              <w:bottom w:val="single" w:sz="12" w:space="0" w:color="FFFFFF"/>
              <w:right w:val="single" w:sz="8" w:space="0" w:color="FFFFFF"/>
            </w:tcBorders>
            <w:shd w:val="clear" w:color="000000" w:fill="F4B29B"/>
            <w:noWrap/>
            <w:vAlign w:val="center"/>
            <w:hideMark/>
          </w:tcPr>
          <w:p w:rsidR="00C43B75" w:rsidRDefault="00A43654" w:rsidP="00C74054">
            <w:pPr>
              <w:spacing w:after="0" w:line="240" w:lineRule="auto"/>
              <w:jc w:val="center"/>
              <w:rPr>
                <w:b/>
                <w:bCs/>
                <w:sz w:val="20"/>
                <w:szCs w:val="20"/>
              </w:rPr>
            </w:pPr>
            <w:r w:rsidRPr="006D71C7">
              <w:rPr>
                <w:b/>
                <w:bCs/>
                <w:sz w:val="20"/>
                <w:szCs w:val="20"/>
              </w:rPr>
              <w:t>od uruchomienia p</w:t>
            </w:r>
            <w:r w:rsidR="00E815BF" w:rsidRPr="006D71C7">
              <w:rPr>
                <w:b/>
                <w:bCs/>
                <w:sz w:val="20"/>
                <w:szCs w:val="20"/>
              </w:rPr>
              <w:t>rogramu</w:t>
            </w:r>
          </w:p>
        </w:tc>
        <w:tc>
          <w:tcPr>
            <w:tcW w:w="2188" w:type="dxa"/>
            <w:gridSpan w:val="2"/>
            <w:tcBorders>
              <w:top w:val="single" w:sz="8" w:space="0" w:color="FFFFFF"/>
              <w:left w:val="nil"/>
              <w:bottom w:val="single" w:sz="12" w:space="0" w:color="FFFFFF"/>
              <w:right w:val="single" w:sz="8" w:space="0" w:color="FFFFFF"/>
            </w:tcBorders>
            <w:shd w:val="clear" w:color="000000" w:fill="F4B29B"/>
            <w:noWrap/>
            <w:vAlign w:val="center"/>
            <w:hideMark/>
          </w:tcPr>
          <w:p w:rsidR="00C43B75" w:rsidRDefault="00E815BF" w:rsidP="00C74054">
            <w:pPr>
              <w:spacing w:after="0" w:line="240" w:lineRule="auto"/>
              <w:jc w:val="center"/>
              <w:rPr>
                <w:b/>
                <w:bCs/>
                <w:sz w:val="20"/>
                <w:szCs w:val="20"/>
              </w:rPr>
            </w:pPr>
            <w:r w:rsidRPr="006D71C7">
              <w:rPr>
                <w:b/>
                <w:bCs/>
                <w:sz w:val="20"/>
                <w:szCs w:val="20"/>
              </w:rPr>
              <w:t>w 2011 roku</w:t>
            </w:r>
          </w:p>
        </w:tc>
        <w:tc>
          <w:tcPr>
            <w:tcW w:w="2126" w:type="dxa"/>
            <w:gridSpan w:val="2"/>
            <w:tcBorders>
              <w:top w:val="single" w:sz="8" w:space="0" w:color="FFFFFF"/>
              <w:left w:val="nil"/>
              <w:bottom w:val="single" w:sz="12" w:space="0" w:color="FFFFFF"/>
              <w:right w:val="single" w:sz="8" w:space="0" w:color="FFFFFF"/>
            </w:tcBorders>
            <w:shd w:val="clear" w:color="000000" w:fill="F4B29B"/>
            <w:noWrap/>
            <w:vAlign w:val="center"/>
            <w:hideMark/>
          </w:tcPr>
          <w:p w:rsidR="00C43B75" w:rsidRDefault="00E815BF" w:rsidP="00C74054">
            <w:pPr>
              <w:spacing w:after="0" w:line="240" w:lineRule="auto"/>
              <w:jc w:val="center"/>
              <w:rPr>
                <w:b/>
                <w:bCs/>
                <w:sz w:val="20"/>
                <w:szCs w:val="20"/>
              </w:rPr>
            </w:pPr>
            <w:r w:rsidRPr="006D71C7">
              <w:rPr>
                <w:b/>
                <w:bCs/>
                <w:sz w:val="20"/>
                <w:szCs w:val="20"/>
              </w:rPr>
              <w:t>planowane</w:t>
            </w:r>
            <w:r w:rsidRPr="006D71C7">
              <w:rPr>
                <w:sz w:val="20"/>
                <w:szCs w:val="20"/>
              </w:rPr>
              <w:t xml:space="preserve"> </w:t>
            </w:r>
            <w:r w:rsidRPr="006D71C7">
              <w:rPr>
                <w:b/>
                <w:bCs/>
                <w:sz w:val="20"/>
                <w:szCs w:val="20"/>
              </w:rPr>
              <w:t>w 2012</w:t>
            </w:r>
          </w:p>
        </w:tc>
      </w:tr>
      <w:tr w:rsidR="00E815BF" w:rsidRPr="006D71C7" w:rsidTr="004E177E">
        <w:trPr>
          <w:trHeight w:val="855"/>
          <w:jc w:val="center"/>
        </w:trPr>
        <w:tc>
          <w:tcPr>
            <w:tcW w:w="1500" w:type="dxa"/>
            <w:vMerge/>
            <w:tcBorders>
              <w:top w:val="single" w:sz="8" w:space="0" w:color="FFFFFF"/>
              <w:left w:val="single" w:sz="8" w:space="0" w:color="FFFFFF"/>
              <w:bottom w:val="single" w:sz="8" w:space="0" w:color="FFFFFF"/>
              <w:right w:val="single" w:sz="8" w:space="0" w:color="FFFFFF"/>
            </w:tcBorders>
            <w:vAlign w:val="center"/>
            <w:hideMark/>
          </w:tcPr>
          <w:p w:rsidR="00E815BF" w:rsidRPr="006D71C7" w:rsidRDefault="00E815BF" w:rsidP="00C74054">
            <w:pPr>
              <w:spacing w:after="0" w:line="240" w:lineRule="auto"/>
              <w:jc w:val="center"/>
              <w:rPr>
                <w:rFonts w:ascii="Calibri" w:hAnsi="Calibri"/>
                <w:sz w:val="20"/>
                <w:szCs w:val="20"/>
              </w:rPr>
            </w:pPr>
          </w:p>
        </w:tc>
        <w:tc>
          <w:tcPr>
            <w:tcW w:w="1406" w:type="dxa"/>
            <w:tcBorders>
              <w:top w:val="nil"/>
              <w:left w:val="nil"/>
              <w:bottom w:val="single" w:sz="8" w:space="0" w:color="FFFFFF"/>
              <w:right w:val="single" w:sz="8" w:space="0" w:color="FFFFFF"/>
            </w:tcBorders>
            <w:shd w:val="clear" w:color="000000" w:fill="F4B29B"/>
            <w:noWrap/>
            <w:vAlign w:val="center"/>
            <w:hideMark/>
          </w:tcPr>
          <w:p w:rsidR="00C43B75" w:rsidRDefault="00E815BF" w:rsidP="00C74054">
            <w:pPr>
              <w:spacing w:after="0" w:line="240" w:lineRule="auto"/>
              <w:jc w:val="center"/>
              <w:rPr>
                <w:b/>
                <w:bCs/>
                <w:sz w:val="20"/>
                <w:szCs w:val="20"/>
              </w:rPr>
            </w:pPr>
            <w:r w:rsidRPr="006D71C7">
              <w:rPr>
                <w:b/>
                <w:bCs/>
                <w:sz w:val="20"/>
                <w:szCs w:val="20"/>
              </w:rPr>
              <w:t>Wartość           (mln EUR)</w:t>
            </w:r>
          </w:p>
        </w:tc>
        <w:tc>
          <w:tcPr>
            <w:tcW w:w="1134" w:type="dxa"/>
            <w:tcBorders>
              <w:top w:val="nil"/>
              <w:left w:val="nil"/>
              <w:bottom w:val="single" w:sz="8" w:space="0" w:color="FFFFFF"/>
              <w:right w:val="single" w:sz="8" w:space="0" w:color="FFFFFF"/>
            </w:tcBorders>
            <w:shd w:val="clear" w:color="000000" w:fill="F4B29B"/>
            <w:noWrap/>
            <w:vAlign w:val="center"/>
            <w:hideMark/>
          </w:tcPr>
          <w:p w:rsidR="00C43B75" w:rsidRDefault="00E815BF" w:rsidP="00C74054">
            <w:pPr>
              <w:spacing w:after="0" w:line="240" w:lineRule="auto"/>
              <w:jc w:val="center"/>
              <w:rPr>
                <w:b/>
                <w:bCs/>
                <w:sz w:val="20"/>
                <w:szCs w:val="20"/>
              </w:rPr>
            </w:pPr>
            <w:r w:rsidRPr="006D71C7">
              <w:rPr>
                <w:b/>
                <w:bCs/>
                <w:sz w:val="20"/>
                <w:szCs w:val="20"/>
              </w:rPr>
              <w:t>Liczba</w:t>
            </w:r>
          </w:p>
        </w:tc>
        <w:tc>
          <w:tcPr>
            <w:tcW w:w="1195" w:type="dxa"/>
            <w:tcBorders>
              <w:top w:val="nil"/>
              <w:left w:val="nil"/>
              <w:bottom w:val="single" w:sz="8" w:space="0" w:color="FFFFFF"/>
              <w:right w:val="single" w:sz="8" w:space="0" w:color="FFFFFF"/>
            </w:tcBorders>
            <w:shd w:val="clear" w:color="000000" w:fill="F4B29B"/>
            <w:noWrap/>
            <w:vAlign w:val="center"/>
            <w:hideMark/>
          </w:tcPr>
          <w:p w:rsidR="00C43B75" w:rsidRDefault="00E815BF" w:rsidP="00C74054">
            <w:pPr>
              <w:spacing w:after="0" w:line="240" w:lineRule="auto"/>
              <w:jc w:val="center"/>
              <w:rPr>
                <w:b/>
                <w:bCs/>
                <w:sz w:val="20"/>
                <w:szCs w:val="20"/>
              </w:rPr>
            </w:pPr>
            <w:r w:rsidRPr="006D71C7">
              <w:rPr>
                <w:b/>
                <w:bCs/>
                <w:sz w:val="20"/>
                <w:szCs w:val="20"/>
              </w:rPr>
              <w:t>Wartość (mln EUR)</w:t>
            </w:r>
          </w:p>
        </w:tc>
        <w:tc>
          <w:tcPr>
            <w:tcW w:w="993" w:type="dxa"/>
            <w:tcBorders>
              <w:top w:val="nil"/>
              <w:left w:val="nil"/>
              <w:bottom w:val="single" w:sz="8" w:space="0" w:color="FFFFFF"/>
              <w:right w:val="single" w:sz="8" w:space="0" w:color="FFFFFF"/>
            </w:tcBorders>
            <w:shd w:val="clear" w:color="000000" w:fill="F4B29B"/>
            <w:noWrap/>
            <w:vAlign w:val="center"/>
            <w:hideMark/>
          </w:tcPr>
          <w:p w:rsidR="00C43B75" w:rsidRDefault="00E815BF" w:rsidP="00C74054">
            <w:pPr>
              <w:spacing w:after="0" w:line="240" w:lineRule="auto"/>
              <w:jc w:val="center"/>
              <w:rPr>
                <w:b/>
                <w:bCs/>
                <w:sz w:val="20"/>
                <w:szCs w:val="20"/>
              </w:rPr>
            </w:pPr>
            <w:r w:rsidRPr="006D71C7">
              <w:rPr>
                <w:b/>
                <w:bCs/>
                <w:sz w:val="20"/>
                <w:szCs w:val="20"/>
              </w:rPr>
              <w:t>Liczba</w:t>
            </w:r>
          </w:p>
        </w:tc>
        <w:tc>
          <w:tcPr>
            <w:tcW w:w="1134" w:type="dxa"/>
            <w:tcBorders>
              <w:top w:val="nil"/>
              <w:left w:val="nil"/>
              <w:bottom w:val="single" w:sz="8" w:space="0" w:color="FFFFFF"/>
              <w:right w:val="single" w:sz="8" w:space="0" w:color="FFFFFF"/>
            </w:tcBorders>
            <w:shd w:val="clear" w:color="000000" w:fill="F4B29B"/>
            <w:noWrap/>
            <w:vAlign w:val="center"/>
            <w:hideMark/>
          </w:tcPr>
          <w:p w:rsidR="00C43B75" w:rsidRDefault="00E815BF" w:rsidP="00C74054">
            <w:pPr>
              <w:spacing w:after="0" w:line="240" w:lineRule="auto"/>
              <w:jc w:val="center"/>
              <w:rPr>
                <w:b/>
                <w:bCs/>
                <w:sz w:val="20"/>
                <w:szCs w:val="20"/>
              </w:rPr>
            </w:pPr>
            <w:r w:rsidRPr="006D71C7">
              <w:rPr>
                <w:b/>
                <w:bCs/>
                <w:sz w:val="20"/>
                <w:szCs w:val="20"/>
              </w:rPr>
              <w:t>Wartość (mln EUR)</w:t>
            </w:r>
          </w:p>
        </w:tc>
        <w:tc>
          <w:tcPr>
            <w:tcW w:w="992" w:type="dxa"/>
            <w:tcBorders>
              <w:top w:val="nil"/>
              <w:left w:val="nil"/>
              <w:bottom w:val="single" w:sz="8" w:space="0" w:color="FFFFFF"/>
              <w:right w:val="single" w:sz="8" w:space="0" w:color="FFFFFF"/>
            </w:tcBorders>
            <w:shd w:val="clear" w:color="000000" w:fill="F4B29B"/>
            <w:noWrap/>
            <w:vAlign w:val="center"/>
            <w:hideMark/>
          </w:tcPr>
          <w:p w:rsidR="00C43B75" w:rsidRDefault="00E815BF" w:rsidP="00C74054">
            <w:pPr>
              <w:spacing w:after="0" w:line="240" w:lineRule="auto"/>
              <w:jc w:val="center"/>
              <w:rPr>
                <w:b/>
                <w:bCs/>
                <w:sz w:val="20"/>
                <w:szCs w:val="20"/>
              </w:rPr>
            </w:pPr>
            <w:r w:rsidRPr="006D71C7">
              <w:rPr>
                <w:b/>
                <w:bCs/>
                <w:sz w:val="20"/>
                <w:szCs w:val="20"/>
              </w:rPr>
              <w:t>Liczba</w:t>
            </w:r>
          </w:p>
        </w:tc>
      </w:tr>
      <w:tr w:rsidR="00E815BF" w:rsidRPr="006D71C7" w:rsidTr="004E177E">
        <w:trPr>
          <w:trHeight w:val="723"/>
          <w:jc w:val="center"/>
        </w:trPr>
        <w:tc>
          <w:tcPr>
            <w:tcW w:w="1500" w:type="dxa"/>
            <w:tcBorders>
              <w:top w:val="nil"/>
              <w:left w:val="single" w:sz="8" w:space="0" w:color="FFFFFF"/>
              <w:bottom w:val="nil"/>
              <w:right w:val="single" w:sz="12" w:space="0" w:color="FFFFFF"/>
            </w:tcBorders>
            <w:shd w:val="clear" w:color="000000" w:fill="F4B29B"/>
            <w:noWrap/>
            <w:vAlign w:val="center"/>
            <w:hideMark/>
          </w:tcPr>
          <w:p w:rsidR="00E815BF" w:rsidRPr="006D71C7" w:rsidRDefault="00E815BF" w:rsidP="00C74054">
            <w:pPr>
              <w:spacing w:after="0" w:line="240" w:lineRule="auto"/>
              <w:jc w:val="center"/>
              <w:rPr>
                <w:b/>
                <w:bCs/>
                <w:sz w:val="20"/>
                <w:szCs w:val="20"/>
              </w:rPr>
            </w:pPr>
            <w:r w:rsidRPr="006D71C7">
              <w:rPr>
                <w:b/>
                <w:bCs/>
                <w:sz w:val="20"/>
                <w:szCs w:val="20"/>
              </w:rPr>
              <w:t>IP2 RPO WSL</w:t>
            </w:r>
          </w:p>
        </w:tc>
        <w:tc>
          <w:tcPr>
            <w:tcW w:w="1406"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157,8</w:t>
            </w:r>
          </w:p>
        </w:tc>
        <w:tc>
          <w:tcPr>
            <w:tcW w:w="1134"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2"/>
              </w:rPr>
            </w:pPr>
            <w:r w:rsidRPr="006D71C7">
              <w:rPr>
                <w:sz w:val="22"/>
              </w:rPr>
              <w:t>13</w:t>
            </w:r>
          </w:p>
        </w:tc>
        <w:tc>
          <w:tcPr>
            <w:tcW w:w="1195"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21,8</w:t>
            </w:r>
          </w:p>
        </w:tc>
        <w:tc>
          <w:tcPr>
            <w:tcW w:w="993"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2</w:t>
            </w:r>
          </w:p>
        </w:tc>
        <w:tc>
          <w:tcPr>
            <w:tcW w:w="1134"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20,00</w:t>
            </w:r>
          </w:p>
        </w:tc>
        <w:tc>
          <w:tcPr>
            <w:tcW w:w="992"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1</w:t>
            </w:r>
          </w:p>
        </w:tc>
      </w:tr>
      <w:tr w:rsidR="00E815BF" w:rsidRPr="006D71C7" w:rsidTr="004E177E">
        <w:trPr>
          <w:trHeight w:val="735"/>
          <w:jc w:val="center"/>
        </w:trPr>
        <w:tc>
          <w:tcPr>
            <w:tcW w:w="1500" w:type="dxa"/>
            <w:tcBorders>
              <w:top w:val="single" w:sz="8" w:space="0" w:color="FFFFFF"/>
              <w:left w:val="single" w:sz="8" w:space="0" w:color="FFFFFF"/>
              <w:bottom w:val="nil"/>
              <w:right w:val="single" w:sz="12" w:space="0" w:color="FFFFFF"/>
            </w:tcBorders>
            <w:shd w:val="clear" w:color="000000" w:fill="F4B29B"/>
            <w:noWrap/>
            <w:vAlign w:val="center"/>
            <w:hideMark/>
          </w:tcPr>
          <w:p w:rsidR="00E815BF" w:rsidRPr="006D71C7" w:rsidRDefault="00E815BF" w:rsidP="00C74054">
            <w:pPr>
              <w:spacing w:after="0" w:line="240" w:lineRule="auto"/>
              <w:jc w:val="center"/>
              <w:rPr>
                <w:b/>
                <w:bCs/>
                <w:sz w:val="20"/>
                <w:szCs w:val="20"/>
              </w:rPr>
            </w:pPr>
            <w:r w:rsidRPr="006D71C7">
              <w:rPr>
                <w:b/>
                <w:bCs/>
                <w:sz w:val="20"/>
                <w:szCs w:val="20"/>
              </w:rPr>
              <w:t>IZ RPO WSL</w:t>
            </w:r>
          </w:p>
        </w:tc>
        <w:tc>
          <w:tcPr>
            <w:tcW w:w="1406"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105,82</w:t>
            </w:r>
          </w:p>
        </w:tc>
        <w:tc>
          <w:tcPr>
            <w:tcW w:w="1134"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2"/>
              </w:rPr>
            </w:pPr>
            <w:r w:rsidRPr="006D71C7">
              <w:rPr>
                <w:sz w:val="22"/>
              </w:rPr>
              <w:t>7</w:t>
            </w:r>
          </w:p>
        </w:tc>
        <w:tc>
          <w:tcPr>
            <w:tcW w:w="1195"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56,07</w:t>
            </w:r>
          </w:p>
        </w:tc>
        <w:tc>
          <w:tcPr>
            <w:tcW w:w="993"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2</w:t>
            </w:r>
          </w:p>
        </w:tc>
        <w:tc>
          <w:tcPr>
            <w:tcW w:w="1134"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24,75</w:t>
            </w:r>
          </w:p>
        </w:tc>
        <w:tc>
          <w:tcPr>
            <w:tcW w:w="992" w:type="dxa"/>
            <w:tcBorders>
              <w:top w:val="nil"/>
              <w:left w:val="nil"/>
              <w:bottom w:val="single" w:sz="8" w:space="0" w:color="FFFFFF"/>
              <w:right w:val="single" w:sz="8" w:space="0" w:color="FFFFFF"/>
            </w:tcBorders>
            <w:shd w:val="clear" w:color="000000" w:fill="F9D8CD"/>
            <w:noWrap/>
            <w:vAlign w:val="center"/>
            <w:hideMark/>
          </w:tcPr>
          <w:p w:rsidR="00C43B75" w:rsidRDefault="00E815BF" w:rsidP="00C74054">
            <w:pPr>
              <w:spacing w:after="0" w:line="240" w:lineRule="auto"/>
              <w:jc w:val="center"/>
              <w:rPr>
                <w:sz w:val="20"/>
                <w:szCs w:val="20"/>
              </w:rPr>
            </w:pPr>
            <w:r w:rsidRPr="006D71C7">
              <w:rPr>
                <w:sz w:val="20"/>
                <w:szCs w:val="20"/>
              </w:rPr>
              <w:t>1</w:t>
            </w:r>
          </w:p>
        </w:tc>
      </w:tr>
    </w:tbl>
    <w:p w:rsidR="00955873" w:rsidRPr="006D71C7" w:rsidRDefault="00955873" w:rsidP="006D71C7">
      <w:pPr>
        <w:pStyle w:val="Akapitzlist"/>
        <w:spacing w:before="120" w:after="240"/>
        <w:ind w:left="0"/>
        <w:jc w:val="both"/>
        <w:rPr>
          <w:b/>
          <w:i/>
          <w:szCs w:val="24"/>
          <w:lang w:eastAsia="ar-SA"/>
        </w:rPr>
      </w:pPr>
    </w:p>
    <w:p w:rsidR="009A7B67" w:rsidRPr="006D71C7" w:rsidRDefault="009A7B67" w:rsidP="006D71C7">
      <w:pPr>
        <w:pStyle w:val="Akapitzlist"/>
        <w:spacing w:before="120" w:after="240"/>
        <w:ind w:left="0"/>
        <w:jc w:val="both"/>
        <w:rPr>
          <w:b/>
          <w:i/>
          <w:szCs w:val="24"/>
          <w:lang w:eastAsia="ar-SA"/>
        </w:rPr>
      </w:pPr>
      <w:r w:rsidRPr="006D71C7">
        <w:rPr>
          <w:b/>
          <w:i/>
          <w:szCs w:val="24"/>
          <w:lang w:eastAsia="ar-SA"/>
        </w:rPr>
        <w:t>Rozkład pr</w:t>
      </w:r>
      <w:r w:rsidR="00BA7091" w:rsidRPr="006D71C7">
        <w:rPr>
          <w:b/>
          <w:i/>
          <w:szCs w:val="24"/>
          <w:lang w:eastAsia="ar-SA"/>
        </w:rPr>
        <w:t>ojektów realizowanych w ramach p</w:t>
      </w:r>
      <w:r w:rsidRPr="006D71C7">
        <w:rPr>
          <w:b/>
          <w:i/>
          <w:szCs w:val="24"/>
          <w:lang w:eastAsia="ar-SA"/>
        </w:rPr>
        <w:t xml:space="preserve">riorytetu I </w:t>
      </w:r>
    </w:p>
    <w:p w:rsidR="00E62ABD" w:rsidRPr="006D71C7" w:rsidRDefault="00E62ABD" w:rsidP="006D71C7">
      <w:pPr>
        <w:pStyle w:val="Akapitzlist"/>
        <w:spacing w:before="120" w:after="240"/>
        <w:ind w:left="0"/>
        <w:jc w:val="both"/>
        <w:rPr>
          <w:b/>
          <w:i/>
          <w:szCs w:val="24"/>
          <w:lang w:eastAsia="ar-SA"/>
        </w:rPr>
      </w:pPr>
    </w:p>
    <w:p w:rsidR="00E62ABD" w:rsidRPr="006D71C7" w:rsidRDefault="00E62ABD" w:rsidP="006D71C7">
      <w:pPr>
        <w:pStyle w:val="Akapitzlist"/>
        <w:spacing w:before="120" w:after="240"/>
        <w:ind w:left="0"/>
        <w:jc w:val="both"/>
        <w:rPr>
          <w:szCs w:val="24"/>
          <w:lang w:eastAsia="ar-SA"/>
        </w:rPr>
      </w:pPr>
      <w:r w:rsidRPr="006D71C7">
        <w:rPr>
          <w:szCs w:val="24"/>
          <w:lang w:eastAsia="ar-SA"/>
        </w:rPr>
        <w:t xml:space="preserve">Analiza rozkładu projektów w podziale na sektory gospodarki została zamieszczona w załączniku </w:t>
      </w:r>
      <w:r w:rsidR="007338BD" w:rsidRPr="006D71C7">
        <w:rPr>
          <w:szCs w:val="24"/>
          <w:lang w:eastAsia="ar-SA"/>
        </w:rPr>
        <w:t>nr</w:t>
      </w:r>
      <w:r w:rsidRPr="006D71C7">
        <w:rPr>
          <w:szCs w:val="24"/>
          <w:lang w:eastAsia="ar-SA"/>
        </w:rPr>
        <w:t xml:space="preserve"> </w:t>
      </w:r>
      <w:r w:rsidR="00EA299C" w:rsidRPr="006D71C7">
        <w:rPr>
          <w:szCs w:val="24"/>
          <w:lang w:eastAsia="ar-SA"/>
        </w:rPr>
        <w:t xml:space="preserve">X </w:t>
      </w:r>
      <w:r w:rsidRPr="006D71C7">
        <w:rPr>
          <w:szCs w:val="24"/>
          <w:lang w:eastAsia="ar-SA"/>
        </w:rPr>
        <w:t xml:space="preserve">do </w:t>
      </w:r>
      <w:r w:rsidRPr="006D71C7">
        <w:rPr>
          <w:i/>
          <w:szCs w:val="24"/>
          <w:lang w:eastAsia="ar-SA"/>
        </w:rPr>
        <w:t>Sprawozdania</w:t>
      </w:r>
      <w:r w:rsidRPr="006D71C7">
        <w:rPr>
          <w:szCs w:val="24"/>
          <w:lang w:eastAsia="ar-SA"/>
        </w:rPr>
        <w:t>.</w:t>
      </w:r>
    </w:p>
    <w:p w:rsidR="009A7B67" w:rsidRPr="006D71C7" w:rsidRDefault="002163AC" w:rsidP="006D71C7">
      <w:pPr>
        <w:autoSpaceDE w:val="0"/>
        <w:autoSpaceDN w:val="0"/>
        <w:adjustRightInd w:val="0"/>
        <w:spacing w:after="0"/>
        <w:jc w:val="both"/>
        <w:rPr>
          <w:b/>
          <w:i/>
          <w:szCs w:val="24"/>
          <w:lang w:eastAsia="ar-SA"/>
        </w:rPr>
      </w:pPr>
      <w:r w:rsidRPr="006D71C7">
        <w:rPr>
          <w:rFonts w:eastAsia="Calibri"/>
          <w:szCs w:val="24"/>
        </w:rPr>
        <w:t>Analizując rozkład u</w:t>
      </w:r>
      <w:r w:rsidR="0098519F" w:rsidRPr="006D71C7">
        <w:rPr>
          <w:rFonts w:eastAsia="Calibri"/>
          <w:szCs w:val="24"/>
        </w:rPr>
        <w:t>dzielonego wsparcia według typu</w:t>
      </w:r>
      <w:r w:rsidRPr="006D71C7">
        <w:rPr>
          <w:rFonts w:eastAsia="Calibri"/>
          <w:szCs w:val="24"/>
        </w:rPr>
        <w:t xml:space="preserve"> beneficjentów, najszersze grono odbiorców stanowią </w:t>
      </w:r>
      <w:r w:rsidRPr="006D71C7">
        <w:rPr>
          <w:rFonts w:eastAsia="Calibri"/>
          <w:bCs/>
          <w:szCs w:val="24"/>
        </w:rPr>
        <w:t>przedsi</w:t>
      </w:r>
      <w:r w:rsidRPr="006D71C7">
        <w:rPr>
          <w:rFonts w:eastAsia="Calibri"/>
          <w:szCs w:val="24"/>
        </w:rPr>
        <w:t>ę</w:t>
      </w:r>
      <w:r w:rsidRPr="006D71C7">
        <w:rPr>
          <w:rFonts w:eastAsia="Calibri"/>
          <w:bCs/>
          <w:szCs w:val="24"/>
        </w:rPr>
        <w:t>biorcy</w:t>
      </w:r>
      <w:r w:rsidRPr="006D71C7">
        <w:rPr>
          <w:rFonts w:eastAsia="Calibri"/>
          <w:b/>
          <w:bCs/>
          <w:szCs w:val="24"/>
        </w:rPr>
        <w:t xml:space="preserve"> </w:t>
      </w:r>
      <w:r w:rsidRPr="006D71C7">
        <w:rPr>
          <w:rFonts w:eastAsia="Calibri"/>
          <w:szCs w:val="24"/>
        </w:rPr>
        <w:t>(</w:t>
      </w:r>
      <w:r w:rsidR="00FE1046" w:rsidRPr="006D71C7">
        <w:rPr>
          <w:rFonts w:eastAsia="Calibri"/>
          <w:szCs w:val="24"/>
        </w:rPr>
        <w:t>65%</w:t>
      </w:r>
      <w:r w:rsidRPr="006D71C7">
        <w:rPr>
          <w:rFonts w:eastAsia="Calibri"/>
          <w:szCs w:val="24"/>
        </w:rPr>
        <w:t>), dla których przeznaczono zdecydowaną większość środków w ramach</w:t>
      </w:r>
      <w:r w:rsidR="0083717B" w:rsidRPr="006D71C7">
        <w:rPr>
          <w:rFonts w:eastAsia="Calibri"/>
          <w:szCs w:val="24"/>
        </w:rPr>
        <w:t xml:space="preserve"> przedmiotowego </w:t>
      </w:r>
      <w:r w:rsidR="00EA299C" w:rsidRPr="006D71C7">
        <w:rPr>
          <w:rFonts w:eastAsia="Calibri"/>
          <w:szCs w:val="24"/>
        </w:rPr>
        <w:t>p</w:t>
      </w:r>
      <w:r w:rsidR="0083717B" w:rsidRPr="006D71C7">
        <w:rPr>
          <w:rFonts w:eastAsia="Calibri"/>
          <w:szCs w:val="24"/>
        </w:rPr>
        <w:t>riorytetu.</w:t>
      </w:r>
      <w:r w:rsidRPr="006D71C7">
        <w:rPr>
          <w:rFonts w:eastAsia="Calibri"/>
          <w:szCs w:val="24"/>
        </w:rPr>
        <w:t xml:space="preserve"> </w:t>
      </w:r>
      <w:r w:rsidR="009F2F8C" w:rsidRPr="006D71C7">
        <w:rPr>
          <w:rFonts w:eastAsia="Calibri"/>
          <w:szCs w:val="24"/>
        </w:rPr>
        <w:t xml:space="preserve">Biorąc pod uwagę wartość podpisanych umów dostrzec można przewagę projektów realizowanych przez średnie przedsiębiorstwa (46%), natomiast </w:t>
      </w:r>
      <w:r w:rsidR="00E6375D" w:rsidRPr="006D71C7">
        <w:rPr>
          <w:rFonts w:eastAsia="Calibri"/>
          <w:szCs w:val="24"/>
        </w:rPr>
        <w:t>analizując</w:t>
      </w:r>
      <w:r w:rsidR="009F2F8C" w:rsidRPr="006D71C7">
        <w:rPr>
          <w:rFonts w:eastAsia="Calibri"/>
          <w:szCs w:val="24"/>
        </w:rPr>
        <w:t xml:space="preserve"> liczbę zgłaszanych do dofinansowania projektów</w:t>
      </w:r>
      <w:r w:rsidR="00E6375D" w:rsidRPr="006D71C7">
        <w:rPr>
          <w:rFonts w:eastAsia="Calibri"/>
          <w:szCs w:val="24"/>
        </w:rPr>
        <w:t xml:space="preserve"> na pierwszym miejscu znalazły się mikroprzedsiębiorstwa (43%).</w:t>
      </w:r>
      <w:r w:rsidR="009F2F8C" w:rsidRPr="006D71C7">
        <w:rPr>
          <w:rFonts w:eastAsia="Calibri"/>
          <w:szCs w:val="24"/>
        </w:rPr>
        <w:t xml:space="preserve"> </w:t>
      </w:r>
    </w:p>
    <w:p w:rsidR="002D653E" w:rsidRPr="006D71C7" w:rsidRDefault="00980209" w:rsidP="006D71C7">
      <w:pPr>
        <w:autoSpaceDE w:val="0"/>
        <w:autoSpaceDN w:val="0"/>
        <w:adjustRightInd w:val="0"/>
        <w:spacing w:after="0"/>
        <w:jc w:val="both"/>
        <w:rPr>
          <w:rFonts w:eastAsia="Calibri"/>
          <w:szCs w:val="24"/>
        </w:rPr>
      </w:pPr>
      <w:r w:rsidRPr="006D71C7">
        <w:rPr>
          <w:rFonts w:eastAsia="Calibri"/>
          <w:szCs w:val="24"/>
        </w:rPr>
        <w:t xml:space="preserve">Ponadto, </w:t>
      </w:r>
      <w:r w:rsidR="00FE1046" w:rsidRPr="006D71C7">
        <w:rPr>
          <w:rFonts w:eastAsia="Calibri"/>
          <w:szCs w:val="24"/>
        </w:rPr>
        <w:t>przedsiębiorcy mają możliwość skorzystania</w:t>
      </w:r>
      <w:r w:rsidRPr="006D71C7">
        <w:rPr>
          <w:rFonts w:eastAsia="Calibri"/>
          <w:szCs w:val="24"/>
        </w:rPr>
        <w:t xml:space="preserve"> z pośredniego wsparcia w postaci po</w:t>
      </w:r>
      <w:r w:rsidR="001464C5" w:rsidRPr="006D71C7">
        <w:rPr>
          <w:rFonts w:eastAsia="Calibri"/>
          <w:szCs w:val="24"/>
        </w:rPr>
        <w:t>ż</w:t>
      </w:r>
      <w:r w:rsidR="0032687E" w:rsidRPr="006D71C7">
        <w:rPr>
          <w:rFonts w:eastAsia="Calibri"/>
          <w:szCs w:val="24"/>
        </w:rPr>
        <w:t>yczek i </w:t>
      </w:r>
      <w:r w:rsidRPr="006D71C7">
        <w:rPr>
          <w:rFonts w:eastAsia="Calibri"/>
          <w:szCs w:val="24"/>
        </w:rPr>
        <w:t>poręczeń</w:t>
      </w:r>
      <w:r w:rsidR="0032687E" w:rsidRPr="006D71C7">
        <w:rPr>
          <w:rFonts w:eastAsia="Calibri"/>
          <w:szCs w:val="24"/>
        </w:rPr>
        <w:t xml:space="preserve"> </w:t>
      </w:r>
      <w:r w:rsidRPr="006D71C7">
        <w:rPr>
          <w:rFonts w:eastAsia="Calibri"/>
          <w:szCs w:val="24"/>
        </w:rPr>
        <w:t>w ramach instrumentów in</w:t>
      </w:r>
      <w:r w:rsidR="001464C5" w:rsidRPr="006D71C7">
        <w:rPr>
          <w:rFonts w:eastAsia="Calibri"/>
          <w:szCs w:val="24"/>
        </w:rPr>
        <w:t>ż</w:t>
      </w:r>
      <w:r w:rsidRPr="006D71C7">
        <w:rPr>
          <w:rFonts w:eastAsia="Calibri"/>
          <w:szCs w:val="24"/>
        </w:rPr>
        <w:t>ynierii finansowej, na któr</w:t>
      </w:r>
      <w:r w:rsidR="0032687E" w:rsidRPr="006D71C7">
        <w:rPr>
          <w:rFonts w:eastAsia="Calibri"/>
          <w:szCs w:val="24"/>
        </w:rPr>
        <w:t xml:space="preserve">e przeznaczono ponad </w:t>
      </w:r>
      <w:r w:rsidR="002D653E" w:rsidRPr="006D71C7">
        <w:rPr>
          <w:rFonts w:eastAsia="Calibri"/>
          <w:szCs w:val="24"/>
        </w:rPr>
        <w:t>14,5</w:t>
      </w:r>
      <w:r w:rsidR="00FE1046" w:rsidRPr="006D71C7">
        <w:rPr>
          <w:rFonts w:eastAsia="Calibri"/>
          <w:szCs w:val="24"/>
        </w:rPr>
        <w:t>8</w:t>
      </w:r>
      <w:r w:rsidR="0032687E" w:rsidRPr="006D71C7">
        <w:rPr>
          <w:rFonts w:eastAsia="Calibri"/>
          <w:szCs w:val="24"/>
        </w:rPr>
        <w:t xml:space="preserve"> mln EUR</w:t>
      </w:r>
      <w:r w:rsidRPr="006D71C7">
        <w:rPr>
          <w:rFonts w:eastAsia="Calibri"/>
          <w:szCs w:val="24"/>
        </w:rPr>
        <w:t xml:space="preserve"> (szerzej w punkcie 2.1.6.5 </w:t>
      </w:r>
      <w:r w:rsidRPr="006D71C7">
        <w:rPr>
          <w:rFonts w:eastAsia="Calibri"/>
          <w:i/>
          <w:iCs/>
          <w:szCs w:val="24"/>
        </w:rPr>
        <w:t>Instrumenty in</w:t>
      </w:r>
      <w:r w:rsidR="001464C5" w:rsidRPr="006D71C7">
        <w:rPr>
          <w:rFonts w:eastAsia="Calibri"/>
          <w:szCs w:val="24"/>
        </w:rPr>
        <w:t>ż</w:t>
      </w:r>
      <w:r w:rsidRPr="006D71C7">
        <w:rPr>
          <w:rFonts w:eastAsia="Calibri"/>
          <w:i/>
          <w:iCs/>
          <w:szCs w:val="24"/>
        </w:rPr>
        <w:t>ynierii finansowej</w:t>
      </w:r>
      <w:r w:rsidR="001E0250" w:rsidRPr="006D71C7">
        <w:rPr>
          <w:rFonts w:eastAsia="Calibri"/>
          <w:i/>
          <w:iCs/>
          <w:szCs w:val="24"/>
        </w:rPr>
        <w:t xml:space="preserve"> </w:t>
      </w:r>
      <w:r w:rsidR="007338BD" w:rsidRPr="006D71C7">
        <w:rPr>
          <w:rFonts w:eastAsia="Calibri"/>
          <w:iCs/>
          <w:szCs w:val="24"/>
        </w:rPr>
        <w:t>niniejszego</w:t>
      </w:r>
      <w:r w:rsidR="001E0250" w:rsidRPr="006D71C7">
        <w:rPr>
          <w:rFonts w:eastAsia="Calibri"/>
          <w:i/>
          <w:iCs/>
          <w:szCs w:val="24"/>
        </w:rPr>
        <w:t xml:space="preserve"> Sprawozdania</w:t>
      </w:r>
      <w:r w:rsidR="0083717B" w:rsidRPr="006D71C7">
        <w:rPr>
          <w:rFonts w:eastAsia="Calibri"/>
          <w:szCs w:val="24"/>
        </w:rPr>
        <w:t>).</w:t>
      </w:r>
    </w:p>
    <w:p w:rsidR="002D653E" w:rsidRPr="006D71C7" w:rsidRDefault="002D653E" w:rsidP="006D71C7">
      <w:pPr>
        <w:autoSpaceDE w:val="0"/>
        <w:autoSpaceDN w:val="0"/>
        <w:adjustRightInd w:val="0"/>
        <w:spacing w:after="0"/>
        <w:jc w:val="both"/>
        <w:rPr>
          <w:rFonts w:eastAsia="Calibri"/>
          <w:szCs w:val="24"/>
        </w:rPr>
      </w:pPr>
    </w:p>
    <w:p w:rsidR="007A3BAA" w:rsidRPr="006D71C7" w:rsidRDefault="00FE1046" w:rsidP="006D71C7">
      <w:pPr>
        <w:autoSpaceDE w:val="0"/>
        <w:autoSpaceDN w:val="0"/>
        <w:adjustRightInd w:val="0"/>
        <w:spacing w:after="0"/>
        <w:jc w:val="both"/>
        <w:rPr>
          <w:rFonts w:eastAsia="Calibri"/>
          <w:szCs w:val="24"/>
        </w:rPr>
      </w:pPr>
      <w:r w:rsidRPr="006D71C7">
        <w:rPr>
          <w:b/>
          <w:i/>
          <w:noProof/>
          <w:szCs w:val="24"/>
        </w:rPr>
        <w:drawing>
          <wp:inline distT="0" distB="0" distL="0" distR="0">
            <wp:extent cx="5905811" cy="3000597"/>
            <wp:effectExtent l="38100" t="19050" r="18739" b="9303"/>
            <wp:docPr id="1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45F70" w:rsidRPr="006D71C7" w:rsidRDefault="007338BD" w:rsidP="006D71C7">
      <w:pPr>
        <w:pStyle w:val="Legenda"/>
        <w:spacing w:line="276" w:lineRule="auto"/>
        <w:jc w:val="both"/>
        <w:rPr>
          <w:rFonts w:eastAsia="Calibri"/>
          <w:i/>
          <w:color w:val="auto"/>
          <w:sz w:val="20"/>
          <w:szCs w:val="20"/>
        </w:rPr>
      </w:pPr>
      <w:bookmarkStart w:id="301" w:name="_Toc324786937"/>
      <w:bookmarkStart w:id="302" w:name="_Toc324854702"/>
      <w:bookmarkStart w:id="303" w:name="_Toc324854766"/>
      <w:bookmarkStart w:id="304" w:name="_Toc326055343"/>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25</w:t>
      </w:r>
      <w:r w:rsidR="008F7228">
        <w:rPr>
          <w:color w:val="auto"/>
          <w:sz w:val="20"/>
          <w:szCs w:val="20"/>
        </w:rPr>
        <w:fldChar w:fldCharType="end"/>
      </w:r>
      <w:r w:rsidRPr="006D71C7">
        <w:rPr>
          <w:color w:val="auto"/>
          <w:sz w:val="20"/>
          <w:szCs w:val="20"/>
        </w:rPr>
        <w:t xml:space="preserve"> </w:t>
      </w:r>
      <w:r w:rsidRPr="006D71C7">
        <w:rPr>
          <w:b w:val="0"/>
          <w:i/>
          <w:color w:val="auto"/>
          <w:sz w:val="20"/>
          <w:szCs w:val="20"/>
        </w:rPr>
        <w:t>Rozkład projektów w podziale na beneficjentów</w:t>
      </w:r>
      <w:bookmarkEnd w:id="301"/>
      <w:bookmarkEnd w:id="302"/>
      <w:bookmarkEnd w:id="303"/>
      <w:bookmarkEnd w:id="304"/>
    </w:p>
    <w:p w:rsidR="00FE1046" w:rsidRPr="006D71C7" w:rsidRDefault="00FE1046" w:rsidP="006D71C7">
      <w:pPr>
        <w:autoSpaceDE w:val="0"/>
        <w:autoSpaceDN w:val="0"/>
        <w:adjustRightInd w:val="0"/>
        <w:spacing w:after="0"/>
        <w:jc w:val="both"/>
        <w:rPr>
          <w:rFonts w:eastAsia="Calibri"/>
          <w:szCs w:val="24"/>
        </w:rPr>
      </w:pPr>
    </w:p>
    <w:p w:rsidR="002163AC" w:rsidRPr="006D71C7" w:rsidRDefault="002163AC" w:rsidP="006D71C7">
      <w:pPr>
        <w:autoSpaceDE w:val="0"/>
        <w:autoSpaceDN w:val="0"/>
        <w:adjustRightInd w:val="0"/>
        <w:spacing w:after="0"/>
        <w:jc w:val="both"/>
        <w:rPr>
          <w:rFonts w:eastAsia="Calibri"/>
          <w:szCs w:val="24"/>
        </w:rPr>
      </w:pPr>
      <w:r w:rsidRPr="006D71C7">
        <w:rPr>
          <w:rFonts w:eastAsia="Calibri"/>
          <w:szCs w:val="24"/>
        </w:rPr>
        <w:t xml:space="preserve">Ponad </w:t>
      </w:r>
      <w:r w:rsidRPr="006D71C7">
        <w:rPr>
          <w:rFonts w:eastAsia="Calibri"/>
          <w:b/>
          <w:bCs/>
          <w:szCs w:val="24"/>
        </w:rPr>
        <w:t>87%</w:t>
      </w:r>
      <w:r w:rsidR="00A9483D" w:rsidRPr="006D71C7">
        <w:rPr>
          <w:rFonts w:eastAsia="Calibri"/>
          <w:b/>
          <w:bCs/>
          <w:szCs w:val="24"/>
        </w:rPr>
        <w:t xml:space="preserve"> </w:t>
      </w:r>
      <w:r w:rsidRPr="006D71C7">
        <w:rPr>
          <w:rFonts w:eastAsia="Calibri"/>
          <w:szCs w:val="24"/>
        </w:rPr>
        <w:t xml:space="preserve">środków skierowanych zostało na realizacje inwestycji na obszarach miejskich, natomiast około </w:t>
      </w:r>
      <w:r w:rsidRPr="006D71C7">
        <w:rPr>
          <w:rFonts w:eastAsia="Calibri"/>
          <w:b/>
          <w:bCs/>
          <w:szCs w:val="24"/>
        </w:rPr>
        <w:t xml:space="preserve">12% </w:t>
      </w:r>
      <w:r w:rsidRPr="006D71C7">
        <w:rPr>
          <w:rFonts w:eastAsia="Calibri"/>
          <w:szCs w:val="24"/>
        </w:rPr>
        <w:t>na terenach wiejskich.</w:t>
      </w:r>
    </w:p>
    <w:p w:rsidR="002163AC" w:rsidRPr="006D71C7" w:rsidRDefault="002163AC" w:rsidP="006D71C7">
      <w:pPr>
        <w:autoSpaceDE w:val="0"/>
        <w:autoSpaceDN w:val="0"/>
        <w:adjustRightInd w:val="0"/>
        <w:spacing w:after="0" w:line="240" w:lineRule="auto"/>
        <w:jc w:val="both"/>
        <w:rPr>
          <w:rFonts w:eastAsia="Calibri"/>
          <w:szCs w:val="24"/>
        </w:rPr>
      </w:pPr>
    </w:p>
    <w:p w:rsidR="001915C3" w:rsidRPr="006D71C7" w:rsidRDefault="007338BD" w:rsidP="006D71C7">
      <w:pPr>
        <w:pStyle w:val="Legenda"/>
        <w:jc w:val="both"/>
        <w:rPr>
          <w:b w:val="0"/>
          <w:i/>
          <w:color w:val="auto"/>
          <w:sz w:val="20"/>
          <w:szCs w:val="20"/>
        </w:rPr>
      </w:pPr>
      <w:bookmarkStart w:id="305" w:name="_Toc292793717"/>
      <w:bookmarkStart w:id="306" w:name="_Toc292796304"/>
      <w:bookmarkStart w:id="307" w:name="_Toc292796798"/>
      <w:bookmarkStart w:id="308" w:name="_Toc292889108"/>
      <w:bookmarkStart w:id="309" w:name="_Toc295293411"/>
      <w:bookmarkStart w:id="310" w:name="_Toc324853712"/>
      <w:bookmarkStart w:id="311" w:name="_Toc326046368"/>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16</w:t>
      </w:r>
      <w:r w:rsidR="008F7228" w:rsidRPr="006D71C7">
        <w:rPr>
          <w:color w:val="auto"/>
          <w:sz w:val="20"/>
          <w:szCs w:val="20"/>
        </w:rPr>
        <w:fldChar w:fldCharType="end"/>
      </w:r>
      <w:r w:rsidR="00927C99" w:rsidRPr="006D71C7">
        <w:rPr>
          <w:color w:val="auto"/>
        </w:rPr>
        <w:t xml:space="preserve"> </w:t>
      </w:r>
      <w:r w:rsidR="007A3BAA" w:rsidRPr="006D71C7">
        <w:rPr>
          <w:b w:val="0"/>
          <w:i/>
          <w:color w:val="auto"/>
          <w:sz w:val="20"/>
          <w:szCs w:val="20"/>
        </w:rPr>
        <w:t xml:space="preserve">Rozkład projektów w ramach </w:t>
      </w:r>
      <w:r w:rsidR="00FD6299" w:rsidRPr="006D71C7">
        <w:rPr>
          <w:b w:val="0"/>
          <w:i/>
          <w:color w:val="auto"/>
          <w:sz w:val="20"/>
          <w:szCs w:val="20"/>
        </w:rPr>
        <w:t>p</w:t>
      </w:r>
      <w:r w:rsidR="007A3BAA" w:rsidRPr="006D71C7">
        <w:rPr>
          <w:b w:val="0"/>
          <w:i/>
          <w:color w:val="auto"/>
          <w:sz w:val="20"/>
          <w:szCs w:val="20"/>
        </w:rPr>
        <w:t>riorytetu I w podziale na obszar</w:t>
      </w:r>
      <w:r w:rsidR="00FD6299" w:rsidRPr="006D71C7">
        <w:rPr>
          <w:b w:val="0"/>
          <w:i/>
          <w:color w:val="auto"/>
          <w:sz w:val="20"/>
          <w:szCs w:val="20"/>
        </w:rPr>
        <w:t>y</w:t>
      </w:r>
      <w:r w:rsidR="007A3BAA" w:rsidRPr="006D71C7">
        <w:rPr>
          <w:b w:val="0"/>
          <w:i/>
          <w:color w:val="auto"/>
          <w:sz w:val="20"/>
          <w:szCs w:val="20"/>
        </w:rPr>
        <w:t xml:space="preserve"> (wartość</w:t>
      </w:r>
      <w:r w:rsidR="001E0250" w:rsidRPr="006D71C7">
        <w:rPr>
          <w:b w:val="0"/>
          <w:i/>
          <w:color w:val="auto"/>
          <w:sz w:val="20"/>
          <w:szCs w:val="20"/>
        </w:rPr>
        <w:t xml:space="preserve"> w mln EUR</w:t>
      </w:r>
      <w:r w:rsidR="007A3BAA" w:rsidRPr="006D71C7">
        <w:rPr>
          <w:b w:val="0"/>
          <w:i/>
          <w:color w:val="auto"/>
          <w:sz w:val="20"/>
          <w:szCs w:val="20"/>
        </w:rPr>
        <w:t xml:space="preserve"> i liczba)</w:t>
      </w:r>
      <w:bookmarkEnd w:id="305"/>
      <w:bookmarkEnd w:id="306"/>
      <w:bookmarkEnd w:id="307"/>
      <w:bookmarkEnd w:id="308"/>
      <w:bookmarkEnd w:id="309"/>
      <w:bookmarkEnd w:id="310"/>
      <w:bookmarkEnd w:id="311"/>
    </w:p>
    <w:tbl>
      <w:tblPr>
        <w:tblStyle w:val="redniasiatka2akcent1"/>
        <w:tblW w:w="7806" w:type="dxa"/>
        <w:jc w:val="center"/>
        <w:shd w:val="clear" w:color="auto" w:fill="F4B29B" w:themeFill="accent1" w:themeFillTint="66"/>
        <w:tblLook w:val="04A0" w:firstRow="1" w:lastRow="0" w:firstColumn="1" w:lastColumn="0" w:noHBand="0" w:noVBand="1"/>
      </w:tblPr>
      <w:tblGrid>
        <w:gridCol w:w="1560"/>
        <w:gridCol w:w="1308"/>
        <w:gridCol w:w="2386"/>
        <w:gridCol w:w="2552"/>
      </w:tblGrid>
      <w:tr w:rsidR="007A3BAA" w:rsidRPr="006D71C7" w:rsidTr="007A3BAA">
        <w:trPr>
          <w:cnfStyle w:val="100000000000" w:firstRow="1" w:lastRow="0" w:firstColumn="0" w:lastColumn="0" w:oddVBand="0" w:evenVBand="0" w:oddHBand="0" w:evenHBand="0" w:firstRowFirstColumn="0" w:firstRowLastColumn="0" w:lastRowFirstColumn="0" w:lastRowLastColumn="0"/>
          <w:trHeight w:val="810"/>
          <w:jc w:val="center"/>
        </w:trPr>
        <w:tc>
          <w:tcPr>
            <w:cnfStyle w:val="001000000100" w:firstRow="0" w:lastRow="0" w:firstColumn="1" w:lastColumn="0" w:oddVBand="0" w:evenVBand="0" w:oddHBand="0" w:evenHBand="0" w:firstRowFirstColumn="1" w:firstRowLastColumn="0" w:lastRowFirstColumn="0" w:lastRowLastColumn="0"/>
            <w:tcW w:w="1560" w:type="dxa"/>
            <w:shd w:val="clear" w:color="auto" w:fill="F4B29B" w:themeFill="accent1" w:themeFillTint="66"/>
            <w:vAlign w:val="center"/>
            <w:hideMark/>
          </w:tcPr>
          <w:p w:rsidR="00C43B75" w:rsidRDefault="007A3BAA" w:rsidP="00C43B75">
            <w:pPr>
              <w:spacing w:after="0" w:line="240" w:lineRule="auto"/>
              <w:jc w:val="center"/>
              <w:rPr>
                <w:rFonts w:cs="Times New Roman"/>
                <w:b w:val="0"/>
                <w:bCs w:val="0"/>
                <w:color w:val="auto"/>
                <w:sz w:val="20"/>
                <w:szCs w:val="20"/>
              </w:rPr>
            </w:pPr>
            <w:r w:rsidRPr="006D71C7">
              <w:rPr>
                <w:sz w:val="20"/>
                <w:szCs w:val="20"/>
              </w:rPr>
              <w:t>OBSZAR</w:t>
            </w:r>
          </w:p>
        </w:tc>
        <w:tc>
          <w:tcPr>
            <w:tcW w:w="1308" w:type="dxa"/>
            <w:shd w:val="clear" w:color="auto" w:fill="F4B29B" w:themeFill="accent1" w:themeFillTint="66"/>
            <w:vAlign w:val="center"/>
            <w:hideMark/>
          </w:tcPr>
          <w:p w:rsidR="00C43B75" w:rsidRDefault="007A3BAA"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6D71C7">
              <w:rPr>
                <w:sz w:val="20"/>
                <w:szCs w:val="20"/>
              </w:rPr>
              <w:t>LICZBA</w:t>
            </w:r>
          </w:p>
        </w:tc>
        <w:tc>
          <w:tcPr>
            <w:tcW w:w="2386" w:type="dxa"/>
            <w:shd w:val="clear" w:color="auto" w:fill="F4B29B" w:themeFill="accent1" w:themeFillTint="66"/>
            <w:vAlign w:val="center"/>
            <w:hideMark/>
          </w:tcPr>
          <w:p w:rsidR="00C43B75" w:rsidRDefault="007A3BAA"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6D71C7">
              <w:rPr>
                <w:sz w:val="20"/>
                <w:szCs w:val="20"/>
              </w:rPr>
              <w:t>WARTOŚĆ OGÓŁEM</w:t>
            </w:r>
          </w:p>
        </w:tc>
        <w:tc>
          <w:tcPr>
            <w:tcW w:w="2552" w:type="dxa"/>
            <w:shd w:val="clear" w:color="auto" w:fill="F4B29B" w:themeFill="accent1" w:themeFillTint="66"/>
            <w:vAlign w:val="center"/>
            <w:hideMark/>
          </w:tcPr>
          <w:p w:rsidR="00C43B75" w:rsidRDefault="007A3BAA"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6D71C7">
              <w:rPr>
                <w:sz w:val="20"/>
                <w:szCs w:val="20"/>
              </w:rPr>
              <w:t>DOFINANSOWANIE UE</w:t>
            </w:r>
          </w:p>
        </w:tc>
      </w:tr>
      <w:tr w:rsidR="007A3BAA" w:rsidRPr="006D71C7" w:rsidTr="007A3BA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C43B75" w:rsidRDefault="007A3BAA" w:rsidP="00C43B75">
            <w:pPr>
              <w:spacing w:after="0" w:line="240" w:lineRule="auto"/>
              <w:jc w:val="center"/>
              <w:rPr>
                <w:rFonts w:cs="Times New Roman"/>
                <w:b w:val="0"/>
                <w:bCs w:val="0"/>
                <w:color w:val="auto"/>
                <w:sz w:val="20"/>
                <w:szCs w:val="20"/>
              </w:rPr>
            </w:pPr>
            <w:r w:rsidRPr="006D71C7">
              <w:rPr>
                <w:sz w:val="20"/>
                <w:szCs w:val="20"/>
              </w:rPr>
              <w:t>MIEJSKI</w:t>
            </w:r>
          </w:p>
        </w:tc>
        <w:tc>
          <w:tcPr>
            <w:tcW w:w="1308" w:type="dxa"/>
            <w:shd w:val="clear" w:color="auto" w:fill="F9D8CD" w:themeFill="accent1" w:themeFillTint="33"/>
            <w:vAlign w:val="bottom"/>
            <w:hideMark/>
          </w:tcPr>
          <w:p w:rsidR="00C43B75" w:rsidRDefault="007A3BAA" w:rsidP="00C43B75">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6D71C7">
              <w:rPr>
                <w:sz w:val="20"/>
                <w:szCs w:val="20"/>
              </w:rPr>
              <w:t>1 753</w:t>
            </w:r>
          </w:p>
        </w:tc>
        <w:tc>
          <w:tcPr>
            <w:tcW w:w="2386" w:type="dxa"/>
            <w:shd w:val="clear" w:color="auto" w:fill="F9D8CD" w:themeFill="accent1" w:themeFillTint="33"/>
            <w:vAlign w:val="bottom"/>
            <w:hideMark/>
          </w:tcPr>
          <w:p w:rsidR="00C43B75" w:rsidRDefault="007A3BAA" w:rsidP="00C43B75">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6D71C7">
              <w:rPr>
                <w:sz w:val="20"/>
                <w:szCs w:val="20"/>
              </w:rPr>
              <w:t>291,20</w:t>
            </w:r>
          </w:p>
        </w:tc>
        <w:tc>
          <w:tcPr>
            <w:tcW w:w="2552" w:type="dxa"/>
            <w:shd w:val="clear" w:color="auto" w:fill="F9D8CD" w:themeFill="accent1" w:themeFillTint="33"/>
            <w:vAlign w:val="bottom"/>
            <w:hideMark/>
          </w:tcPr>
          <w:p w:rsidR="00C43B75" w:rsidRDefault="007A3BAA" w:rsidP="00C43B75">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6D71C7">
              <w:rPr>
                <w:sz w:val="20"/>
                <w:szCs w:val="20"/>
              </w:rPr>
              <w:t>131,72</w:t>
            </w:r>
          </w:p>
        </w:tc>
      </w:tr>
      <w:tr w:rsidR="007A3BAA" w:rsidRPr="006D71C7" w:rsidTr="007A3BAA">
        <w:trPr>
          <w:trHeight w:val="63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C43B75" w:rsidRDefault="007A3BAA" w:rsidP="00C43B75">
            <w:pPr>
              <w:spacing w:after="0" w:line="240" w:lineRule="auto"/>
              <w:jc w:val="center"/>
              <w:rPr>
                <w:rFonts w:cs="Times New Roman"/>
                <w:b w:val="0"/>
                <w:bCs w:val="0"/>
                <w:color w:val="auto"/>
                <w:sz w:val="20"/>
                <w:szCs w:val="20"/>
              </w:rPr>
            </w:pPr>
            <w:r w:rsidRPr="006D71C7">
              <w:rPr>
                <w:sz w:val="20"/>
                <w:szCs w:val="20"/>
              </w:rPr>
              <w:t>WIEJSKI</w:t>
            </w:r>
          </w:p>
        </w:tc>
        <w:tc>
          <w:tcPr>
            <w:tcW w:w="1308" w:type="dxa"/>
            <w:shd w:val="clear" w:color="auto" w:fill="F9D8CD" w:themeFill="accent1" w:themeFillTint="33"/>
            <w:vAlign w:val="bottom"/>
            <w:hideMark/>
          </w:tcPr>
          <w:p w:rsidR="00C43B75" w:rsidRDefault="007A3BAA" w:rsidP="00C43B75">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D71C7">
              <w:rPr>
                <w:sz w:val="20"/>
                <w:szCs w:val="20"/>
              </w:rPr>
              <w:t>177</w:t>
            </w:r>
          </w:p>
        </w:tc>
        <w:tc>
          <w:tcPr>
            <w:tcW w:w="2386" w:type="dxa"/>
            <w:shd w:val="clear" w:color="auto" w:fill="F9D8CD" w:themeFill="accent1" w:themeFillTint="33"/>
            <w:vAlign w:val="bottom"/>
            <w:hideMark/>
          </w:tcPr>
          <w:p w:rsidR="00C43B75" w:rsidRDefault="007A3BAA" w:rsidP="00C43B75">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D71C7">
              <w:rPr>
                <w:sz w:val="20"/>
                <w:szCs w:val="20"/>
              </w:rPr>
              <w:t>44,62</w:t>
            </w:r>
          </w:p>
        </w:tc>
        <w:tc>
          <w:tcPr>
            <w:tcW w:w="2552" w:type="dxa"/>
            <w:shd w:val="clear" w:color="auto" w:fill="F9D8CD" w:themeFill="accent1" w:themeFillTint="33"/>
            <w:vAlign w:val="bottom"/>
            <w:hideMark/>
          </w:tcPr>
          <w:p w:rsidR="00C43B75" w:rsidRDefault="007A3BAA" w:rsidP="00C43B75">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6D71C7">
              <w:rPr>
                <w:sz w:val="20"/>
                <w:szCs w:val="20"/>
              </w:rPr>
              <w:t>18,26</w:t>
            </w:r>
          </w:p>
        </w:tc>
      </w:tr>
      <w:tr w:rsidR="007A3BAA" w:rsidRPr="006D71C7" w:rsidTr="007A3BAA">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4B29B" w:themeFill="accent1" w:themeFillTint="66"/>
            <w:vAlign w:val="center"/>
            <w:hideMark/>
          </w:tcPr>
          <w:p w:rsidR="00C43B75" w:rsidRDefault="007A3BAA" w:rsidP="00C43B75">
            <w:pPr>
              <w:spacing w:after="0" w:line="240" w:lineRule="auto"/>
              <w:jc w:val="center"/>
              <w:rPr>
                <w:rFonts w:cs="Times New Roman"/>
                <w:b w:val="0"/>
                <w:bCs w:val="0"/>
                <w:color w:val="auto"/>
                <w:sz w:val="20"/>
                <w:szCs w:val="20"/>
              </w:rPr>
            </w:pPr>
            <w:r w:rsidRPr="006D71C7">
              <w:rPr>
                <w:sz w:val="20"/>
                <w:szCs w:val="20"/>
              </w:rPr>
              <w:t>GÓRSKI</w:t>
            </w:r>
          </w:p>
        </w:tc>
        <w:tc>
          <w:tcPr>
            <w:tcW w:w="1308" w:type="dxa"/>
            <w:shd w:val="clear" w:color="auto" w:fill="F9D8CD" w:themeFill="accent1" w:themeFillTint="33"/>
            <w:vAlign w:val="bottom"/>
            <w:hideMark/>
          </w:tcPr>
          <w:p w:rsidR="00C43B75" w:rsidRDefault="007A3BAA" w:rsidP="00C43B75">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6D71C7">
              <w:rPr>
                <w:sz w:val="20"/>
                <w:szCs w:val="20"/>
              </w:rPr>
              <w:t>6</w:t>
            </w:r>
          </w:p>
        </w:tc>
        <w:tc>
          <w:tcPr>
            <w:tcW w:w="2386" w:type="dxa"/>
            <w:shd w:val="clear" w:color="auto" w:fill="F9D8CD" w:themeFill="accent1" w:themeFillTint="33"/>
            <w:vAlign w:val="bottom"/>
            <w:hideMark/>
          </w:tcPr>
          <w:p w:rsidR="00C43B75" w:rsidRDefault="007A3BAA" w:rsidP="00C43B75">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6D71C7">
              <w:rPr>
                <w:sz w:val="20"/>
                <w:szCs w:val="20"/>
              </w:rPr>
              <w:t>1,61</w:t>
            </w:r>
          </w:p>
        </w:tc>
        <w:tc>
          <w:tcPr>
            <w:tcW w:w="2552" w:type="dxa"/>
            <w:shd w:val="clear" w:color="auto" w:fill="F9D8CD" w:themeFill="accent1" w:themeFillTint="33"/>
            <w:vAlign w:val="bottom"/>
            <w:hideMark/>
          </w:tcPr>
          <w:p w:rsidR="00C43B75" w:rsidRDefault="007A3BAA" w:rsidP="00C43B75">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6D71C7">
              <w:rPr>
                <w:sz w:val="20"/>
                <w:szCs w:val="20"/>
              </w:rPr>
              <w:t>0,65</w:t>
            </w:r>
          </w:p>
        </w:tc>
      </w:tr>
    </w:tbl>
    <w:p w:rsidR="007A3BAA" w:rsidRPr="006D71C7" w:rsidRDefault="007A3BAA" w:rsidP="006D71C7">
      <w:pPr>
        <w:jc w:val="both"/>
      </w:pPr>
    </w:p>
    <w:p w:rsidR="00A6290F" w:rsidRPr="006D71C7" w:rsidRDefault="00A6290F" w:rsidP="006D71C7">
      <w:pPr>
        <w:jc w:val="both"/>
        <w:sectPr w:rsidR="00A6290F" w:rsidRPr="006D71C7" w:rsidSect="00CC06A3">
          <w:endnotePr>
            <w:numFmt w:val="decimal"/>
          </w:endnotePr>
          <w:pgSz w:w="11906" w:h="16838" w:code="9"/>
          <w:pgMar w:top="1134" w:right="1418" w:bottom="1418" w:left="1418" w:header="0" w:footer="726" w:gutter="0"/>
          <w:cols w:space="708"/>
          <w:noEndnote/>
          <w:titlePg/>
          <w:docGrid w:linePitch="326"/>
        </w:sectPr>
      </w:pPr>
    </w:p>
    <w:p w:rsidR="000D2C11" w:rsidRPr="006D71C7" w:rsidRDefault="000D2C11" w:rsidP="006D71C7">
      <w:pPr>
        <w:tabs>
          <w:tab w:val="left" w:pos="1276"/>
        </w:tabs>
        <w:autoSpaceDE w:val="0"/>
        <w:autoSpaceDN w:val="0"/>
        <w:adjustRightInd w:val="0"/>
        <w:spacing w:after="120"/>
        <w:jc w:val="both"/>
        <w:rPr>
          <w:szCs w:val="24"/>
        </w:rPr>
      </w:pPr>
      <w:r w:rsidRPr="006D71C7">
        <w:rPr>
          <w:szCs w:val="24"/>
        </w:rPr>
        <w:t>W ramach priorytetu realizowane są projekty, których wartość dofinansowania kształtuje się w przedziale od 546,65 EUR do 8 836 562,09 EUR. Średnia wartość dofinansowania dla projektu wynosi 59 336,24 EUR, a</w:t>
      </w:r>
      <w:r w:rsidR="00C2783F" w:rsidRPr="006D71C7">
        <w:rPr>
          <w:szCs w:val="24"/>
        </w:rPr>
        <w:t xml:space="preserve"> średnia wartość całkowita projektu to 174 474,19 EUR.</w:t>
      </w:r>
    </w:p>
    <w:p w:rsidR="00017A4A" w:rsidRPr="006D71C7" w:rsidRDefault="00017A4A" w:rsidP="006D71C7">
      <w:pPr>
        <w:autoSpaceDE w:val="0"/>
        <w:autoSpaceDN w:val="0"/>
        <w:adjustRightInd w:val="0"/>
        <w:spacing w:after="120"/>
        <w:jc w:val="both"/>
        <w:rPr>
          <w:szCs w:val="24"/>
        </w:rPr>
      </w:pPr>
      <w:r w:rsidRPr="006D71C7">
        <w:rPr>
          <w:rFonts w:eastAsia="Calibri"/>
          <w:szCs w:val="24"/>
        </w:rPr>
        <w:t xml:space="preserve">Wsparcie w ramach priorytetu I pozyskali </w:t>
      </w:r>
      <w:r w:rsidR="00F66186" w:rsidRPr="006D71C7">
        <w:rPr>
          <w:rFonts w:eastAsia="Calibri"/>
          <w:szCs w:val="24"/>
        </w:rPr>
        <w:t xml:space="preserve">głównie </w:t>
      </w:r>
      <w:r w:rsidRPr="006D71C7">
        <w:rPr>
          <w:rFonts w:eastAsia="Calibri"/>
          <w:szCs w:val="24"/>
        </w:rPr>
        <w:t xml:space="preserve">beneficjenci z centrum i południa województwa. Najwięcej projektów, o najwyższej wartości dofinansowania realizują beneficjenci z </w:t>
      </w:r>
      <w:r w:rsidRPr="006D71C7">
        <w:rPr>
          <w:rFonts w:eastAsia="Calibri"/>
          <w:bCs/>
          <w:szCs w:val="24"/>
        </w:rPr>
        <w:t xml:space="preserve">Miasta Katowice </w:t>
      </w:r>
      <w:r w:rsidRPr="006D71C7">
        <w:rPr>
          <w:rFonts w:eastAsia="Calibri"/>
          <w:szCs w:val="24"/>
        </w:rPr>
        <w:t xml:space="preserve">(193 projekty o wartości dofinansowania 130 mln EUR). </w:t>
      </w:r>
    </w:p>
    <w:p w:rsidR="00D26040" w:rsidRPr="006D71C7" w:rsidRDefault="00017A4A" w:rsidP="006D71C7">
      <w:pPr>
        <w:tabs>
          <w:tab w:val="left" w:pos="1276"/>
        </w:tabs>
        <w:autoSpaceDE w:val="0"/>
        <w:autoSpaceDN w:val="0"/>
        <w:adjustRightInd w:val="0"/>
        <w:spacing w:after="120"/>
        <w:jc w:val="both"/>
        <w:rPr>
          <w:b/>
          <w:i/>
          <w:szCs w:val="24"/>
        </w:rPr>
      </w:pPr>
      <w:r w:rsidRPr="006D71C7">
        <w:rPr>
          <w:b/>
          <w:i/>
          <w:noProof/>
          <w:szCs w:val="24"/>
        </w:rPr>
        <w:drawing>
          <wp:inline distT="0" distB="0" distL="0" distR="0">
            <wp:extent cx="5759450" cy="5361527"/>
            <wp:effectExtent l="19050" t="0" r="0" b="0"/>
            <wp:docPr id="45"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srcRect/>
                    <a:stretch>
                      <a:fillRect/>
                    </a:stretch>
                  </pic:blipFill>
                  <pic:spPr bwMode="auto">
                    <a:xfrm>
                      <a:off x="0" y="0"/>
                      <a:ext cx="5759450" cy="5361527"/>
                    </a:xfrm>
                    <a:prstGeom prst="rect">
                      <a:avLst/>
                    </a:prstGeom>
                    <a:noFill/>
                    <a:ln w="9525">
                      <a:noFill/>
                      <a:miter lim="800000"/>
                      <a:headEnd/>
                      <a:tailEnd/>
                    </a:ln>
                  </pic:spPr>
                </pic:pic>
              </a:graphicData>
            </a:graphic>
          </wp:inline>
        </w:drawing>
      </w:r>
    </w:p>
    <w:p w:rsidR="00245F70" w:rsidRPr="006D71C7" w:rsidRDefault="007338BD" w:rsidP="006D71C7">
      <w:pPr>
        <w:pStyle w:val="Legenda"/>
        <w:jc w:val="both"/>
        <w:rPr>
          <w:b w:val="0"/>
          <w:i/>
          <w:color w:val="auto"/>
          <w:sz w:val="20"/>
          <w:szCs w:val="20"/>
        </w:rPr>
      </w:pPr>
      <w:bookmarkStart w:id="312" w:name="_Toc324786938"/>
      <w:bookmarkStart w:id="313" w:name="_Toc324854703"/>
      <w:bookmarkStart w:id="314" w:name="_Toc324854767"/>
      <w:bookmarkStart w:id="315" w:name="_Toc326055344"/>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26</w:t>
      </w:r>
      <w:r w:rsidR="008F7228">
        <w:rPr>
          <w:color w:val="auto"/>
          <w:sz w:val="20"/>
          <w:szCs w:val="20"/>
        </w:rPr>
        <w:fldChar w:fldCharType="end"/>
      </w:r>
      <w:r w:rsidRPr="006D71C7">
        <w:rPr>
          <w:color w:val="auto"/>
          <w:sz w:val="20"/>
          <w:szCs w:val="20"/>
        </w:rPr>
        <w:t xml:space="preserve"> </w:t>
      </w:r>
      <w:r w:rsidRPr="006D71C7">
        <w:rPr>
          <w:b w:val="0"/>
          <w:i/>
          <w:color w:val="auto"/>
          <w:sz w:val="20"/>
          <w:szCs w:val="20"/>
        </w:rPr>
        <w:t>Rozkład projektów w podziale na powiaty</w:t>
      </w:r>
      <w:bookmarkEnd w:id="312"/>
      <w:bookmarkEnd w:id="313"/>
      <w:bookmarkEnd w:id="314"/>
      <w:bookmarkEnd w:id="315"/>
    </w:p>
    <w:p w:rsidR="007D50E8" w:rsidRPr="006D71C7" w:rsidRDefault="000F467C" w:rsidP="006D71C7">
      <w:pPr>
        <w:tabs>
          <w:tab w:val="left" w:pos="1276"/>
        </w:tabs>
        <w:autoSpaceDE w:val="0"/>
        <w:autoSpaceDN w:val="0"/>
        <w:adjustRightInd w:val="0"/>
        <w:spacing w:after="120"/>
        <w:jc w:val="both"/>
        <w:rPr>
          <w:b/>
          <w:i/>
          <w:szCs w:val="24"/>
        </w:rPr>
      </w:pPr>
      <w:r w:rsidRPr="006D71C7">
        <w:rPr>
          <w:b/>
          <w:i/>
          <w:szCs w:val="24"/>
        </w:rPr>
        <w:t>Analiza wskaźnikowa</w:t>
      </w:r>
    </w:p>
    <w:p w:rsidR="00DF3934" w:rsidRPr="006D71C7" w:rsidRDefault="00DF3934" w:rsidP="006D71C7">
      <w:pPr>
        <w:jc w:val="both"/>
        <w:rPr>
          <w:szCs w:val="24"/>
        </w:rPr>
      </w:pPr>
      <w:r w:rsidRPr="006D71C7">
        <w:rPr>
          <w:rFonts w:eastAsia="Calibri"/>
          <w:szCs w:val="24"/>
        </w:rPr>
        <w:t>W ramach priorytetu założono realizację 9 wskaźników produktu i 3 wskaźników rezultatu.</w:t>
      </w:r>
      <w:r w:rsidRPr="006D71C7">
        <w:rPr>
          <w:szCs w:val="24"/>
        </w:rPr>
        <w:t xml:space="preserve"> </w:t>
      </w:r>
      <w:r w:rsidR="00A813C9" w:rsidRPr="006D71C7">
        <w:t xml:space="preserve">Poziom realizacji wskaźników jest bardzo zróżnicowany. Występują wskaźniki, których realizacja pod koniec okresu sprawozdawczego przekroczyła oczekiwaną wartość docelową, ale są takie których wartości docelowe </w:t>
      </w:r>
      <w:r w:rsidRPr="006D71C7">
        <w:t xml:space="preserve">najprawdopodobniej </w:t>
      </w:r>
      <w:r w:rsidR="00A813C9" w:rsidRPr="006D71C7">
        <w:t xml:space="preserve">nie zostaną </w:t>
      </w:r>
      <w:r w:rsidR="00A813C9" w:rsidRPr="006D71C7">
        <w:rPr>
          <w:szCs w:val="24"/>
        </w:rPr>
        <w:t>osiągnięte.</w:t>
      </w:r>
    </w:p>
    <w:p w:rsidR="00173EAD" w:rsidRPr="006D71C7" w:rsidRDefault="00A813C9" w:rsidP="006D71C7">
      <w:pPr>
        <w:jc w:val="both"/>
      </w:pPr>
      <w:r w:rsidRPr="006D71C7">
        <w:t xml:space="preserve">Przykładem wskaźników z niską realizacją są wskaźniki produktu z zakresu B+R czyli </w:t>
      </w:r>
      <w:r w:rsidRPr="006D71C7">
        <w:rPr>
          <w:i/>
        </w:rPr>
        <w:t xml:space="preserve">Liczba projektów z zakresu B+R </w:t>
      </w:r>
      <w:r w:rsidRPr="006D71C7">
        <w:t xml:space="preserve">oraz </w:t>
      </w:r>
      <w:r w:rsidRPr="006D71C7">
        <w:rPr>
          <w:i/>
        </w:rPr>
        <w:t xml:space="preserve">Liczba instytucji B+R wspartych w ramach RPO. </w:t>
      </w:r>
      <w:r w:rsidRPr="006D71C7">
        <w:t xml:space="preserve">Zakładane, na etapie programowania wartości </w:t>
      </w:r>
      <w:r w:rsidR="00F66186" w:rsidRPr="006D71C7">
        <w:t xml:space="preserve">prawdopodobnie </w:t>
      </w:r>
      <w:r w:rsidRPr="006D71C7">
        <w:t>nie zostaną osiągnięte z dwóch powodów. Po pierwsze projekty z zakresu B+R są projektami o wysokiej wartości dofinansowania. Początkowe założenia przewidywały, iż w ramach 2'go typu projektu w</w:t>
      </w:r>
      <w:r w:rsidR="001E0250" w:rsidRPr="006D71C7">
        <w:t> </w:t>
      </w:r>
      <w:r w:rsidRPr="006D71C7">
        <w:rPr>
          <w:i/>
        </w:rPr>
        <w:t>poddziałaniu 1.2.3,</w:t>
      </w:r>
      <w:r w:rsidRPr="006D71C7">
        <w:t xml:space="preserve"> maksymalna kwota wsparcia to 189 155 EUR. Jednakże wprowadzony przez MRR dokument </w:t>
      </w:r>
      <w:r w:rsidRPr="006D71C7">
        <w:rPr>
          <w:i/>
        </w:rPr>
        <w:t>Linia demarkacyjna</w:t>
      </w:r>
      <w:r w:rsidR="00D846E6" w:rsidRPr="006D71C7">
        <w:t xml:space="preserve"> określiła</w:t>
      </w:r>
      <w:r w:rsidRPr="006D71C7">
        <w:t xml:space="preserve"> maksymalną wartość projektu realizowanych w ramach RPO z zakresu B+R na poziomie 100 000 EUR, co daje maksymalne dofinansowanie w wysokości 60 529 EUR. Spowodowało to rezygnację przedsiębiorców z realizacji projektów w ramach drugiego typu na korzyść pierwszego bądź aplikowanie w ramach Programu Operacyjnego Innowacyjna Gospodarka. Po drugie </w:t>
      </w:r>
      <w:r w:rsidR="00F66186" w:rsidRPr="006D71C7">
        <w:t xml:space="preserve">wskaźniki </w:t>
      </w:r>
      <w:r w:rsidRPr="006D71C7">
        <w:t xml:space="preserve">przyjęte na etapie programowania nie uwzględniały </w:t>
      </w:r>
      <w:r w:rsidR="00D846E6" w:rsidRPr="006D71C7">
        <w:t>trudności wynikających z </w:t>
      </w:r>
      <w:r w:rsidRPr="006D71C7">
        <w:t xml:space="preserve">kwestii udzielania pomocy publicznej, ponieważ nie zakładano na tym etapie udzielania pomocy publicznej dla m.in. instytucji otoczenia biznesu czy jednostek naukowych, które są beneficjentami w ramach działania </w:t>
      </w:r>
      <w:r w:rsidRPr="006D71C7">
        <w:rPr>
          <w:i/>
        </w:rPr>
        <w:t>1.3.Transfer technologii i innowacji</w:t>
      </w:r>
      <w:r w:rsidRPr="006D71C7">
        <w:t xml:space="preserve">. </w:t>
      </w:r>
      <w:r w:rsidR="00173EAD" w:rsidRPr="006D71C7">
        <w:t xml:space="preserve">Należy podkreślić, że IP2 RPO WSL mając na uwadze powyższe podjęła środki zaradcze – zwiększono znaczenie w ramach oceny projektów kryterium </w:t>
      </w:r>
      <w:r w:rsidR="00173EAD" w:rsidRPr="006D71C7">
        <w:rPr>
          <w:i/>
        </w:rPr>
        <w:t xml:space="preserve">wpływ projektów na rozwój sektora B+R </w:t>
      </w:r>
      <w:r w:rsidR="00173EAD" w:rsidRPr="006D71C7">
        <w:t xml:space="preserve">oraz dodano kryterium: </w:t>
      </w:r>
      <w:r w:rsidR="00173EAD" w:rsidRPr="006D71C7">
        <w:rPr>
          <w:i/>
        </w:rPr>
        <w:t xml:space="preserve">projekt dot. obszarów technologicznych wskazanych w PRT oraz działalności o wysokim i średnio – wysokim poziomie i intensywności B+R. </w:t>
      </w:r>
      <w:r w:rsidR="00173EAD" w:rsidRPr="006D71C7">
        <w:t>Ponadto zmieniono zapisy</w:t>
      </w:r>
      <w:r w:rsidR="00173EAD" w:rsidRPr="006D71C7">
        <w:rPr>
          <w:i/>
        </w:rPr>
        <w:t xml:space="preserve"> </w:t>
      </w:r>
      <w:r w:rsidR="00D846E6" w:rsidRPr="006D71C7">
        <w:t xml:space="preserve">dot. kwalifikowalności </w:t>
      </w:r>
      <w:r w:rsidR="00173EAD" w:rsidRPr="006D71C7">
        <w:t>tzn. brak będzie możliwości finansowania prac budowlanych, nabycia nieruchomości celem zwiększenia nakładów przez przedsiębiorców na</w:t>
      </w:r>
      <w:r w:rsidR="001E0250" w:rsidRPr="006D71C7">
        <w:t> </w:t>
      </w:r>
      <w:r w:rsidR="00173EAD" w:rsidRPr="006D71C7">
        <w:t xml:space="preserve">działania typowo innowacyjne oraz B+R. Ww. zmiany zostaną wprowadzone w ramach planowanego w 2012 r. naboru dla </w:t>
      </w:r>
      <w:r w:rsidR="00173EAD" w:rsidRPr="006D71C7">
        <w:rPr>
          <w:i/>
        </w:rPr>
        <w:t>poddziałania 1.2.3.</w:t>
      </w:r>
    </w:p>
    <w:p w:rsidR="00A813C9" w:rsidRPr="006D71C7" w:rsidRDefault="00A813C9" w:rsidP="006D71C7">
      <w:pPr>
        <w:jc w:val="both"/>
      </w:pPr>
      <w:r w:rsidRPr="006D71C7">
        <w:t xml:space="preserve">W trakcie programowania metodologia uległa zmianie, co w konsekwencji spowodowało oczekiwanie na wejście w życie stosownych rozporządzeń, które uregulowały </w:t>
      </w:r>
      <w:r w:rsidR="00D846E6" w:rsidRPr="006D71C7">
        <w:t xml:space="preserve">kwestie </w:t>
      </w:r>
      <w:r w:rsidRPr="006D71C7">
        <w:t xml:space="preserve">związane z pomocą publiczną dla IOB oraz jednostek naukowych. </w:t>
      </w:r>
      <w:r w:rsidRPr="006D71C7">
        <w:rPr>
          <w:i/>
        </w:rPr>
        <w:t>Rozporządzenia Ministerstwa Rozwoju Regionalnego w sprawie udzielania pomocy na wzmacnianie potencjału instytucji otoczenia biznesu w ramach regionalnych programów operacyjnych z dnia 20 maja 2009r</w:t>
      </w:r>
      <w:r w:rsidRPr="006D71C7">
        <w:t xml:space="preserve"> oraz </w:t>
      </w:r>
      <w:r w:rsidRPr="006D71C7">
        <w:rPr>
          <w:i/>
        </w:rPr>
        <w:t>rozporządzenie Ministra Rozwoju Regionalnego w sprawie udzielania pomocy na inwestycje w zakresie: energetyki, infrastruktury telekomunikacyjnej, infrastruktury sfery badawczo-rozwojowej, lecznictwa uzdrowiskowego w ramach regionalnych programów operacyjnych z dnia 7 grudnia 2009r</w:t>
      </w:r>
      <w:r w:rsidRPr="006D71C7">
        <w:t xml:space="preserve">. weszły w życie z końcem 2009r. W związku z powyższym nie było możliwości ogłoszenia konkursu w ramach całego </w:t>
      </w:r>
      <w:r w:rsidRPr="006D71C7">
        <w:rPr>
          <w:i/>
        </w:rPr>
        <w:t>działania 1.3.</w:t>
      </w:r>
      <w:r w:rsidRPr="006D71C7">
        <w:t xml:space="preserve"> przed rokiem 2009 ze względu na brak regulacji w zakresie udzielania pomocy publicznej uwzględniających specyfikę wszystkich potencjalnych beneficjentów. Zainteresowanie dofinansowaniem w ramach </w:t>
      </w:r>
      <w:r w:rsidRPr="006D71C7">
        <w:rPr>
          <w:i/>
        </w:rPr>
        <w:t>działania 1.3.</w:t>
      </w:r>
      <w:r w:rsidRPr="006D71C7">
        <w:t xml:space="preserve"> oraz ilość złożonych wniosków związana jest ściśle z ograniczonym dofinansowaniem wynikającym z regulacji w zakresie udzielania pomocy publicznej. Większość jednostek naukowych, szkół wyższych jak i IOB nie jest w stanie wnieść wkładu własnego w wysokości 60% co automatycznie przekłada się na niewielką ilość wybranych wniosków do dofinansowania, z niską realizacj</w:t>
      </w:r>
      <w:r w:rsidR="00F66186" w:rsidRPr="006D71C7">
        <w:t>ę</w:t>
      </w:r>
      <w:r w:rsidRPr="006D71C7">
        <w:t xml:space="preserve"> wskaźników.</w:t>
      </w:r>
      <w:r w:rsidR="00D846E6" w:rsidRPr="006D71C7">
        <w:t xml:space="preserve"> S</w:t>
      </w:r>
      <w:r w:rsidRPr="006D71C7">
        <w:t>pore ograniczenia związane wynikają z zapisów linii demarkacyjnej: szczególnie zapisu dotyczącego wspierania powiązań kooperacyjnych leżących na terenie województwa.  W praktyce wspieranie powiązań kooperacyjnych w województwie śląskim</w:t>
      </w:r>
      <w:r w:rsidR="00F66186" w:rsidRPr="006D71C7">
        <w:t>,</w:t>
      </w:r>
      <w:r w:rsidRPr="006D71C7">
        <w:t xml:space="preserve"> stosując przesłaną interpretację MRR</w:t>
      </w:r>
      <w:r w:rsidR="00F66186" w:rsidRPr="006D71C7">
        <w:t>,</w:t>
      </w:r>
      <w:r w:rsidRPr="006D71C7">
        <w:t xml:space="preserve"> jest mocno utrudnione. W związku z powyższym pomimo zainteresowania </w:t>
      </w:r>
      <w:r w:rsidR="00F66186" w:rsidRPr="006D71C7">
        <w:t xml:space="preserve">ze strony </w:t>
      </w:r>
      <w:r w:rsidRPr="006D71C7">
        <w:t>klastr</w:t>
      </w:r>
      <w:r w:rsidR="00F66186" w:rsidRPr="006D71C7">
        <w:t>ów</w:t>
      </w:r>
      <w:r w:rsidRPr="006D71C7">
        <w:t xml:space="preserve"> już istniejące</w:t>
      </w:r>
      <w:r w:rsidR="00F66186" w:rsidRPr="006D71C7">
        <w:t xml:space="preserve">, podmioty te </w:t>
      </w:r>
      <w:r w:rsidRPr="006D71C7">
        <w:t>często nie miały możliwości ubiegania się o wsparcie w RPO ze względu na zapis: "w ramach RPO wspierane będą powiązania kooperacyjne leżące na terenie 1</w:t>
      </w:r>
      <w:r w:rsidR="001E0250" w:rsidRPr="006D71C7">
        <w:t> </w:t>
      </w:r>
      <w:r w:rsidRPr="006D71C7">
        <w:t xml:space="preserve">województwa”, który do tej pory budzi wątpliwości interpretacyjne.  </w:t>
      </w:r>
    </w:p>
    <w:p w:rsidR="00A813C9" w:rsidRDefault="00A813C9" w:rsidP="006D71C7">
      <w:pPr>
        <w:jc w:val="both"/>
      </w:pPr>
      <w:r w:rsidRPr="006D71C7">
        <w:rPr>
          <w:i/>
        </w:rPr>
        <w:t>Liczba projektów z zakresu bezpośredniego wsparcia inwestycyjnego dla MSP</w:t>
      </w:r>
      <w:r w:rsidRPr="006D71C7">
        <w:t xml:space="preserve"> oraz </w:t>
      </w:r>
      <w:r w:rsidRPr="006D71C7">
        <w:rPr>
          <w:i/>
        </w:rPr>
        <w:t>Liczba wspartych przedsiębiorstw</w:t>
      </w:r>
      <w:r w:rsidR="00DF3934" w:rsidRPr="006D71C7">
        <w:rPr>
          <w:i/>
        </w:rPr>
        <w:t xml:space="preserve"> </w:t>
      </w:r>
      <w:r w:rsidR="00DF3934" w:rsidRPr="006D71C7">
        <w:t>to wskaźniki</w:t>
      </w:r>
      <w:r w:rsidR="00245C09" w:rsidRPr="006D71C7">
        <w:t xml:space="preserve"> których realizacja idzie bardzo sprawnie</w:t>
      </w:r>
      <w:r w:rsidRPr="006D71C7">
        <w:rPr>
          <w:i/>
        </w:rPr>
        <w:t>.</w:t>
      </w:r>
      <w:r w:rsidRPr="006D71C7">
        <w:t xml:space="preserve"> </w:t>
      </w:r>
      <w:r w:rsidR="00245C09" w:rsidRPr="006D71C7">
        <w:t>Wartość docelowa</w:t>
      </w:r>
      <w:r w:rsidRPr="006D71C7">
        <w:t xml:space="preserve"> </w:t>
      </w:r>
      <w:r w:rsidR="00F37714" w:rsidRPr="006D71C7">
        <w:t>pierwszego ze </w:t>
      </w:r>
      <w:r w:rsidRPr="006D71C7">
        <w:t>wskaźników, na koniec okresu sprawozdawczego, osiągnęła 64%,</w:t>
      </w:r>
      <w:r w:rsidR="00245C09" w:rsidRPr="006D71C7">
        <w:t xml:space="preserve"> a </w:t>
      </w:r>
      <w:r w:rsidRPr="006D71C7">
        <w:t>szacowana realizacja dla 2015 roku na podstawie zakontraktowanych do końca 2011r. środków jest na poziomie 92% wartości docelowej ws</w:t>
      </w:r>
      <w:r w:rsidR="004B131A">
        <w:t>kaźnika. Realizacja drugiego ze </w:t>
      </w:r>
      <w:r w:rsidRPr="006D71C7">
        <w:t>wskaźników na koniec 2011 roku wynosiła 55% na</w:t>
      </w:r>
      <w:r w:rsidR="004B131A">
        <w:t>tomiast szacowana realizacja na </w:t>
      </w:r>
      <w:r w:rsidRPr="006D71C7">
        <w:t>poziomie 90% wartości docelowej dla roku 2015. Wart</w:t>
      </w:r>
      <w:r w:rsidR="004B131A">
        <w:t>o zaznaczyć, iż oba wskaźniki w </w:t>
      </w:r>
      <w:r w:rsidRPr="006D71C7">
        <w:t>przeciągu roku zwiększyły swoją realizację niemal dwukrotnie. Odnosząc</w:t>
      </w:r>
      <w:r w:rsidR="00245C09" w:rsidRPr="006D71C7">
        <w:t xml:space="preserve"> się do analizy SWOT zawartej w </w:t>
      </w:r>
      <w:r w:rsidRPr="006D71C7">
        <w:t>RPO WSL realizacja wskaźników</w:t>
      </w:r>
      <w:r w:rsidRPr="006D71C7">
        <w:rPr>
          <w:i/>
        </w:rPr>
        <w:t xml:space="preserve"> Liczba projektów z zakresu bezpośredniego wsparcia inwestycyjnego dla MSP</w:t>
      </w:r>
      <w:r w:rsidRPr="006D71C7">
        <w:t xml:space="preserve"> oraz </w:t>
      </w:r>
      <w:r w:rsidRPr="006D71C7">
        <w:rPr>
          <w:i/>
        </w:rPr>
        <w:t>Liczba wspartych przedsiębiorstw</w:t>
      </w:r>
      <w:r w:rsidRPr="006D71C7">
        <w:t xml:space="preserve"> stanowi odpowiedź </w:t>
      </w:r>
      <w:r w:rsidR="00DF3934" w:rsidRPr="006D71C7">
        <w:t>na słabą stronę przedstawioną w </w:t>
      </w:r>
      <w:r w:rsidRPr="006D71C7">
        <w:t xml:space="preserve">ww. analizie </w:t>
      </w:r>
      <w:r w:rsidR="00F66186" w:rsidRPr="006D71C7">
        <w:t>(</w:t>
      </w:r>
      <w:r w:rsidRPr="006D71C7">
        <w:t>spadek nakładów inwestycyjnych w sektorze MSP</w:t>
      </w:r>
      <w:r w:rsidR="00F66186" w:rsidRPr="006D71C7">
        <w:t>,</w:t>
      </w:r>
      <w:r w:rsidRPr="006D71C7">
        <w:t xml:space="preserve"> czy niski potencjał rozwojowy mikro przedsiębiorstw, które są większością wśród podmiotów gospodarczych</w:t>
      </w:r>
      <w:r w:rsidR="00F66186" w:rsidRPr="006D71C7">
        <w:t>)</w:t>
      </w:r>
      <w:r w:rsidRPr="006D71C7">
        <w:t xml:space="preserve">. </w:t>
      </w:r>
      <w:r w:rsidR="00F66186" w:rsidRPr="006D71C7">
        <w:t xml:space="preserve">Z kolei </w:t>
      </w:r>
      <w:r w:rsidRPr="006D71C7">
        <w:rPr>
          <w:i/>
        </w:rPr>
        <w:t xml:space="preserve">Liczba przedsiębiorstw objętych wsparciem w zakresie innowacji </w:t>
      </w:r>
      <w:r w:rsidR="00F66186" w:rsidRPr="006D71C7">
        <w:t xml:space="preserve">odpowiada </w:t>
      </w:r>
      <w:r w:rsidR="00DF3934" w:rsidRPr="006D71C7">
        <w:t>na </w:t>
      </w:r>
      <w:r w:rsidRPr="006D71C7">
        <w:t>malejący</w:t>
      </w:r>
      <w:r w:rsidR="004B131A">
        <w:t xml:space="preserve"> poziom wdrożeń innowacyjnych w </w:t>
      </w:r>
      <w:r w:rsidRPr="006D71C7">
        <w:t>MSP, a dzięki realizacj</w:t>
      </w:r>
      <w:r w:rsidR="00F66186" w:rsidRPr="006D71C7">
        <w:t>i</w:t>
      </w:r>
      <w:r w:rsidRPr="006D71C7">
        <w:t xml:space="preserve"> projektów targowych przez przedsiębiorstwa </w:t>
      </w:r>
      <w:r w:rsidR="00245C09" w:rsidRPr="006D71C7">
        <w:t xml:space="preserve">wzrasta </w:t>
      </w:r>
      <w:r w:rsidR="00F66186" w:rsidRPr="006D71C7">
        <w:t xml:space="preserve">zidentyfikowany </w:t>
      </w:r>
      <w:r w:rsidR="00245C09" w:rsidRPr="006D71C7">
        <w:t>niski udział eksportu w </w:t>
      </w:r>
      <w:r w:rsidRPr="006D71C7">
        <w:t xml:space="preserve">ogólnej sprzedaży MSP. </w:t>
      </w:r>
    </w:p>
    <w:p w:rsidR="00CE21FB" w:rsidRPr="003030BD" w:rsidRDefault="00CE21FB" w:rsidP="00CE21FB">
      <w:pPr>
        <w:autoSpaceDE w:val="0"/>
        <w:autoSpaceDN w:val="0"/>
        <w:adjustRightInd w:val="0"/>
        <w:spacing w:after="0"/>
        <w:jc w:val="both"/>
        <w:rPr>
          <w:iCs/>
        </w:rPr>
      </w:pPr>
      <w:r>
        <w:rPr>
          <w:iCs/>
        </w:rPr>
        <w:t xml:space="preserve">Realizacja wskaźnika </w:t>
      </w:r>
      <w:r w:rsidR="00D20EE2">
        <w:rPr>
          <w:i/>
          <w:iCs/>
        </w:rPr>
        <w:t>Liczba bezpośrednio</w:t>
      </w:r>
      <w:r>
        <w:rPr>
          <w:iCs/>
        </w:rPr>
        <w:t xml:space="preserve"> </w:t>
      </w:r>
      <w:r>
        <w:rPr>
          <w:i/>
          <w:iCs/>
        </w:rPr>
        <w:t>utworzonych nowych</w:t>
      </w:r>
      <w:r w:rsidRPr="00D3287B">
        <w:rPr>
          <w:i/>
          <w:iCs/>
        </w:rPr>
        <w:t xml:space="preserve"> miejsca pracy </w:t>
      </w:r>
      <w:r>
        <w:rPr>
          <w:i/>
          <w:iCs/>
        </w:rPr>
        <w:t xml:space="preserve">(EPC) </w:t>
      </w:r>
      <w:r>
        <w:rPr>
          <w:iCs/>
        </w:rPr>
        <w:t xml:space="preserve">w podziale na kobiety i mężczyzn wskazuje na większą liczbę utworzonych miejsc prac dla mężczyzn. W </w:t>
      </w:r>
      <w:r w:rsidRPr="003030BD">
        <w:rPr>
          <w:i/>
          <w:iCs/>
        </w:rPr>
        <w:t>działaniu 1.2 Mikroprzedsiębiorstwa i MŚP</w:t>
      </w:r>
      <w:r>
        <w:rPr>
          <w:iCs/>
        </w:rPr>
        <w:t xml:space="preserve">, gdzie dla mężczyzn utworzonych zostało 1355, a dla kobiet 540 nowych etatów. </w:t>
      </w:r>
      <w:r w:rsidRPr="0003480C">
        <w:rPr>
          <w:rFonts w:eastAsia="Calibri"/>
          <w:szCs w:val="24"/>
        </w:rPr>
        <w:t>Równość szans kobiet i mężczyzn jest w</w:t>
      </w:r>
      <w:r>
        <w:rPr>
          <w:rFonts w:eastAsia="Calibri"/>
          <w:szCs w:val="24"/>
        </w:rPr>
        <w:t>ażnym</w:t>
      </w:r>
      <w:r w:rsidRPr="0003480C">
        <w:rPr>
          <w:rFonts w:eastAsia="Calibri"/>
          <w:szCs w:val="24"/>
        </w:rPr>
        <w:t xml:space="preserve"> elementem szerszej kwestii równości szans, której przestrzeganie stanowi jedn</w:t>
      </w:r>
      <w:r>
        <w:rPr>
          <w:rFonts w:eastAsia="Calibri"/>
          <w:szCs w:val="24"/>
        </w:rPr>
        <w:t>ą z </w:t>
      </w:r>
      <w:r w:rsidRPr="0003480C">
        <w:rPr>
          <w:rFonts w:eastAsia="Calibri"/>
          <w:szCs w:val="24"/>
        </w:rPr>
        <w:t>podstawowych zasad</w:t>
      </w:r>
      <w:r>
        <w:rPr>
          <w:rFonts w:eastAsia="Calibri"/>
          <w:szCs w:val="24"/>
        </w:rPr>
        <w:t xml:space="preserve"> RPO WSL. Przy programowaniu zostały założone podwskaźniki: miejsca pracy w podziale na płeć na równym poziomie, b</w:t>
      </w:r>
      <w:r w:rsidR="004B131A">
        <w:rPr>
          <w:rFonts w:eastAsia="Calibri"/>
          <w:szCs w:val="24"/>
        </w:rPr>
        <w:t>eneficjenci składając wnioski o </w:t>
      </w:r>
      <w:r>
        <w:rPr>
          <w:rFonts w:eastAsia="Calibri"/>
          <w:szCs w:val="24"/>
        </w:rPr>
        <w:t xml:space="preserve">dofinansowanie nie deklarują kogo zatrudnią, gdyż zostałaby zaburzona omawiana zasada, każdy ma mieć równy dostęp do zatrudnienia. Analizując </w:t>
      </w:r>
      <w:r w:rsidR="004B131A">
        <w:rPr>
          <w:rFonts w:eastAsia="Calibri"/>
          <w:szCs w:val="24"/>
        </w:rPr>
        <w:t>omawiany wskaźnik w podziale na </w:t>
      </w:r>
      <w:r>
        <w:rPr>
          <w:rFonts w:eastAsia="Calibri"/>
          <w:szCs w:val="24"/>
        </w:rPr>
        <w:t>priorytety można zaobserwować, że w jednych zatrud</w:t>
      </w:r>
      <w:r w:rsidR="004B131A">
        <w:rPr>
          <w:rFonts w:eastAsia="Calibri"/>
          <w:szCs w:val="24"/>
        </w:rPr>
        <w:t>nionych zostało więcej kobiet w </w:t>
      </w:r>
      <w:r>
        <w:rPr>
          <w:rFonts w:eastAsia="Calibri"/>
          <w:szCs w:val="24"/>
        </w:rPr>
        <w:t xml:space="preserve">innych mężczyzn. </w:t>
      </w:r>
      <w:r w:rsidRPr="00DE3312">
        <w:rPr>
          <w:iCs/>
        </w:rPr>
        <w:t>IZ RPO WSL przyjęła odpowiedn</w:t>
      </w:r>
      <w:r w:rsidR="004B131A">
        <w:rPr>
          <w:iCs/>
        </w:rPr>
        <w:t>ie kryteria wyboru projektów do </w:t>
      </w:r>
      <w:r w:rsidRPr="00DE3312">
        <w:rPr>
          <w:iCs/>
        </w:rPr>
        <w:t>dofinansowania dot. polityk horyzontalnych (ok</w:t>
      </w:r>
      <w:r w:rsidRPr="00DE3312">
        <w:t>reślenie stopnia realizacji polityki równych szans, polityki ochrony środowiska, wpływ projektu na utworzenie nowych miejsc pracy</w:t>
      </w:r>
      <w:r>
        <w:t>). P</w:t>
      </w:r>
      <w:r w:rsidRPr="00DE3312">
        <w:t>rojekt mający pozytywny wpływ na realizacje poszczególnych polityk horyzontalnych otrzymuje dodatkowe punkty w trakcie przeprowadzanej oceny merytoryczno-technicznej, co</w:t>
      </w:r>
      <w:r w:rsidR="004B131A">
        <w:t> </w:t>
      </w:r>
      <w:r w:rsidRPr="00DE3312">
        <w:t>w</w:t>
      </w:r>
      <w:r>
        <w:t xml:space="preserve"> </w:t>
      </w:r>
      <w:r w:rsidRPr="00DE3312">
        <w:t>konsekwencji zwiększa jego szansę na otrzymanie dofinansowania</w:t>
      </w:r>
      <w:r>
        <w:t>.</w:t>
      </w:r>
    </w:p>
    <w:p w:rsidR="00A813C9" w:rsidRPr="006D71C7" w:rsidRDefault="00061FDC" w:rsidP="006D71C7">
      <w:pPr>
        <w:spacing w:after="0"/>
        <w:jc w:val="both"/>
      </w:pPr>
      <w:r w:rsidRPr="006D71C7">
        <w:t xml:space="preserve">W ramach priorytetu realizowane się </w:t>
      </w:r>
      <w:r w:rsidR="00A813C9" w:rsidRPr="006D71C7">
        <w:t xml:space="preserve">wskaźniki Komisji Europejskiej tzw. </w:t>
      </w:r>
      <w:r w:rsidR="00A813C9" w:rsidRPr="006D71C7">
        <w:rPr>
          <w:i/>
        </w:rPr>
        <w:t>Core Indicators</w:t>
      </w:r>
      <w:r w:rsidR="00A813C9" w:rsidRPr="006D71C7">
        <w:t>, są to:</w:t>
      </w:r>
    </w:p>
    <w:p w:rsidR="00A813C9" w:rsidRPr="006D71C7" w:rsidRDefault="00061FDC" w:rsidP="00BA2FE7">
      <w:pPr>
        <w:pStyle w:val="Akapitzlist"/>
        <w:numPr>
          <w:ilvl w:val="0"/>
          <w:numId w:val="83"/>
        </w:numPr>
        <w:spacing w:after="0"/>
        <w:jc w:val="both"/>
        <w:rPr>
          <w:i/>
        </w:rPr>
      </w:pPr>
      <w:r w:rsidRPr="006D71C7">
        <w:rPr>
          <w:i/>
        </w:rPr>
        <w:t xml:space="preserve">Liczba bezpośrednio utworzonych nowych </w:t>
      </w:r>
      <w:r w:rsidR="00D94DC4" w:rsidRPr="006D71C7">
        <w:rPr>
          <w:i/>
        </w:rPr>
        <w:t>miejsc (EPC) w tym:</w:t>
      </w:r>
    </w:p>
    <w:p w:rsidR="00D94DC4" w:rsidRPr="006D71C7" w:rsidRDefault="00FD6299" w:rsidP="00BA2FE7">
      <w:pPr>
        <w:pStyle w:val="Akapitzlist"/>
        <w:numPr>
          <w:ilvl w:val="0"/>
          <w:numId w:val="85"/>
        </w:numPr>
        <w:spacing w:after="0"/>
        <w:jc w:val="both"/>
        <w:rPr>
          <w:i/>
        </w:rPr>
      </w:pPr>
      <w:r w:rsidRPr="006D71C7">
        <w:rPr>
          <w:i/>
        </w:rPr>
        <w:t>k</w:t>
      </w:r>
      <w:r w:rsidR="00D94DC4" w:rsidRPr="006D71C7">
        <w:rPr>
          <w:i/>
        </w:rPr>
        <w:t>obiety,</w:t>
      </w:r>
    </w:p>
    <w:p w:rsidR="00A813C9" w:rsidRPr="006D71C7" w:rsidRDefault="00D94DC4" w:rsidP="00BA2FE7">
      <w:pPr>
        <w:pStyle w:val="Akapitzlist"/>
        <w:numPr>
          <w:ilvl w:val="0"/>
          <w:numId w:val="85"/>
        </w:numPr>
        <w:spacing w:after="0"/>
        <w:jc w:val="both"/>
        <w:rPr>
          <w:i/>
        </w:rPr>
      </w:pPr>
      <w:r w:rsidRPr="006D71C7">
        <w:rPr>
          <w:i/>
        </w:rPr>
        <w:t>mężczyźni</w:t>
      </w:r>
    </w:p>
    <w:p w:rsidR="00A813C9" w:rsidRPr="006D71C7" w:rsidRDefault="00A813C9" w:rsidP="00BA2FE7">
      <w:pPr>
        <w:pStyle w:val="Akapitzlist"/>
        <w:numPr>
          <w:ilvl w:val="0"/>
          <w:numId w:val="83"/>
        </w:numPr>
        <w:jc w:val="both"/>
        <w:rPr>
          <w:i/>
        </w:rPr>
      </w:pPr>
      <w:r w:rsidRPr="006D71C7">
        <w:rPr>
          <w:i/>
        </w:rPr>
        <w:t xml:space="preserve">Liczba projektów z </w:t>
      </w:r>
      <w:r w:rsidR="00D94DC4" w:rsidRPr="006D71C7">
        <w:rPr>
          <w:i/>
        </w:rPr>
        <w:t>zakresu</w:t>
      </w:r>
      <w:r w:rsidRPr="006D71C7">
        <w:rPr>
          <w:i/>
        </w:rPr>
        <w:t xml:space="preserve"> B+R</w:t>
      </w:r>
    </w:p>
    <w:p w:rsidR="00A813C9" w:rsidRPr="006D71C7" w:rsidRDefault="00A813C9" w:rsidP="00BA2FE7">
      <w:pPr>
        <w:pStyle w:val="Akapitzlist"/>
        <w:numPr>
          <w:ilvl w:val="0"/>
          <w:numId w:val="83"/>
        </w:numPr>
        <w:jc w:val="both"/>
        <w:rPr>
          <w:i/>
        </w:rPr>
      </w:pPr>
      <w:r w:rsidRPr="006D71C7">
        <w:rPr>
          <w:i/>
        </w:rPr>
        <w:t>Liczba projektów współpracy pomiędzy przedsiębiorstwami a jednostkami badawczymi</w:t>
      </w:r>
    </w:p>
    <w:p w:rsidR="00A813C9" w:rsidRPr="006D71C7" w:rsidRDefault="00A813C9" w:rsidP="00BA2FE7">
      <w:pPr>
        <w:pStyle w:val="Akapitzlist"/>
        <w:numPr>
          <w:ilvl w:val="0"/>
          <w:numId w:val="83"/>
        </w:numPr>
        <w:jc w:val="both"/>
        <w:rPr>
          <w:i/>
        </w:rPr>
      </w:pPr>
      <w:r w:rsidRPr="006D71C7">
        <w:rPr>
          <w:i/>
        </w:rPr>
        <w:t xml:space="preserve">Liczba projektów </w:t>
      </w:r>
      <w:r w:rsidR="00D94DC4" w:rsidRPr="006D71C7">
        <w:rPr>
          <w:i/>
        </w:rPr>
        <w:t>dot. infrastruktury</w:t>
      </w:r>
      <w:r w:rsidRPr="006D71C7">
        <w:rPr>
          <w:i/>
        </w:rPr>
        <w:t xml:space="preserve"> społeczeństwa informacyjnego</w:t>
      </w:r>
    </w:p>
    <w:p w:rsidR="00A813C9" w:rsidRPr="006D71C7" w:rsidRDefault="00A813C9" w:rsidP="006D71C7">
      <w:pPr>
        <w:spacing w:after="120"/>
        <w:jc w:val="both"/>
        <w:rPr>
          <w:szCs w:val="24"/>
        </w:rPr>
      </w:pPr>
      <w:r w:rsidRPr="006D71C7">
        <w:rPr>
          <w:szCs w:val="24"/>
        </w:rPr>
        <w:t xml:space="preserve">Na etapie renegocjacji </w:t>
      </w:r>
      <w:r w:rsidRPr="006D71C7">
        <w:rPr>
          <w:i/>
          <w:szCs w:val="24"/>
        </w:rPr>
        <w:t>Programu</w:t>
      </w:r>
      <w:r w:rsidRPr="006D71C7">
        <w:rPr>
          <w:szCs w:val="24"/>
        </w:rPr>
        <w:t xml:space="preserve">, w </w:t>
      </w:r>
      <w:r w:rsidR="00DF3934" w:rsidRPr="006D71C7">
        <w:rPr>
          <w:szCs w:val="24"/>
        </w:rPr>
        <w:t>ramach p</w:t>
      </w:r>
      <w:r w:rsidRPr="006D71C7">
        <w:rPr>
          <w:szCs w:val="24"/>
        </w:rPr>
        <w:t>riorytetu I dokonano następujących zmian:</w:t>
      </w:r>
    </w:p>
    <w:p w:rsidR="00DF3934" w:rsidRPr="006D71C7" w:rsidRDefault="00A813C9" w:rsidP="00BA2FE7">
      <w:pPr>
        <w:pStyle w:val="Akapitzlist"/>
        <w:numPr>
          <w:ilvl w:val="0"/>
          <w:numId w:val="84"/>
        </w:numPr>
        <w:spacing w:after="0"/>
        <w:jc w:val="both"/>
        <w:rPr>
          <w:szCs w:val="24"/>
        </w:rPr>
      </w:pPr>
      <w:r w:rsidRPr="006D71C7">
        <w:rPr>
          <w:szCs w:val="24"/>
        </w:rPr>
        <w:t>uporządkowano wskaźniki z zakresu MŚP</w:t>
      </w:r>
      <w:r w:rsidR="00DF3934" w:rsidRPr="006D71C7">
        <w:rPr>
          <w:szCs w:val="24"/>
        </w:rPr>
        <w:t>,</w:t>
      </w:r>
    </w:p>
    <w:p w:rsidR="00DF3934" w:rsidRPr="006D71C7" w:rsidRDefault="00A813C9" w:rsidP="00BA2FE7">
      <w:pPr>
        <w:pStyle w:val="Akapitzlist"/>
        <w:numPr>
          <w:ilvl w:val="0"/>
          <w:numId w:val="84"/>
        </w:numPr>
        <w:spacing w:after="0"/>
        <w:jc w:val="both"/>
        <w:rPr>
          <w:szCs w:val="24"/>
        </w:rPr>
      </w:pPr>
      <w:r w:rsidRPr="006D71C7">
        <w:rPr>
          <w:szCs w:val="24"/>
        </w:rPr>
        <w:t xml:space="preserve">zwiększono wartość docelową wskaźnika </w:t>
      </w:r>
      <w:r w:rsidRPr="006D71C7">
        <w:rPr>
          <w:i/>
          <w:szCs w:val="24"/>
        </w:rPr>
        <w:t>Liczba projektów z zakresu bezpośredniego wsparcia inwestycyjnego dla MŚP</w:t>
      </w:r>
      <w:r w:rsidRPr="006D71C7">
        <w:rPr>
          <w:szCs w:val="24"/>
        </w:rPr>
        <w:t xml:space="preserve"> z 584</w:t>
      </w:r>
      <w:r w:rsidR="00D97AE2" w:rsidRPr="006D71C7">
        <w:rPr>
          <w:szCs w:val="24"/>
        </w:rPr>
        <w:t xml:space="preserve"> do</w:t>
      </w:r>
      <w:r w:rsidRPr="006D71C7">
        <w:rPr>
          <w:szCs w:val="24"/>
        </w:rPr>
        <w:t xml:space="preserve"> 2000</w:t>
      </w:r>
      <w:r w:rsidR="00D97AE2" w:rsidRPr="006D71C7">
        <w:rPr>
          <w:szCs w:val="24"/>
        </w:rPr>
        <w:t xml:space="preserve"> w</w:t>
      </w:r>
      <w:r w:rsidR="00D846E6" w:rsidRPr="006D71C7">
        <w:rPr>
          <w:szCs w:val="24"/>
        </w:rPr>
        <w:t xml:space="preserve"> roku</w:t>
      </w:r>
      <w:r w:rsidR="00D97AE2" w:rsidRPr="006D71C7">
        <w:rPr>
          <w:szCs w:val="24"/>
        </w:rPr>
        <w:t xml:space="preserve"> 2015</w:t>
      </w:r>
      <w:r w:rsidR="00DF3934" w:rsidRPr="006D71C7">
        <w:rPr>
          <w:szCs w:val="24"/>
        </w:rPr>
        <w:t>,</w:t>
      </w:r>
    </w:p>
    <w:p w:rsidR="00E062FC" w:rsidRPr="006D71C7" w:rsidRDefault="00A813C9" w:rsidP="00BA2FE7">
      <w:pPr>
        <w:pStyle w:val="Akapitzlist"/>
        <w:numPr>
          <w:ilvl w:val="0"/>
          <w:numId w:val="84"/>
        </w:numPr>
        <w:spacing w:after="0"/>
        <w:jc w:val="both"/>
        <w:rPr>
          <w:szCs w:val="24"/>
        </w:rPr>
      </w:pPr>
      <w:r w:rsidRPr="006D71C7">
        <w:rPr>
          <w:szCs w:val="24"/>
        </w:rPr>
        <w:t xml:space="preserve">zmniejszono wartość docelową wskaźnika </w:t>
      </w:r>
      <w:r w:rsidRPr="006D71C7">
        <w:rPr>
          <w:rFonts w:eastAsiaTheme="minorHAnsi"/>
          <w:i/>
          <w:szCs w:val="24"/>
          <w:lang w:eastAsia="en-US"/>
        </w:rPr>
        <w:t xml:space="preserve">Liczba przedsiębiorstw objętych wsparciem w zakresie innowacji </w:t>
      </w:r>
      <w:r w:rsidRPr="006D71C7">
        <w:rPr>
          <w:rFonts w:eastAsiaTheme="minorHAnsi"/>
          <w:szCs w:val="24"/>
          <w:lang w:eastAsia="en-US"/>
        </w:rPr>
        <w:t>z 600 do 558 w 2015 roku</w:t>
      </w:r>
      <w:r w:rsidR="00061FDC" w:rsidRPr="006D71C7">
        <w:rPr>
          <w:rFonts w:eastAsiaTheme="minorHAnsi"/>
          <w:szCs w:val="24"/>
          <w:lang w:eastAsia="en-US"/>
        </w:rPr>
        <w:t xml:space="preserve"> w związku</w:t>
      </w:r>
      <w:r w:rsidR="00DF3934" w:rsidRPr="006D71C7">
        <w:rPr>
          <w:rFonts w:eastAsiaTheme="minorHAnsi"/>
          <w:szCs w:val="24"/>
          <w:lang w:eastAsia="en-US"/>
        </w:rPr>
        <w:t xml:space="preserve"> </w:t>
      </w:r>
      <w:r w:rsidR="00061FDC" w:rsidRPr="006D71C7">
        <w:rPr>
          <w:rFonts w:eastAsiaTheme="minorHAnsi"/>
          <w:szCs w:val="24"/>
          <w:lang w:eastAsia="en-US"/>
        </w:rPr>
        <w:t>z realokacją</w:t>
      </w:r>
      <w:r w:rsidR="00DF3934" w:rsidRPr="006D71C7">
        <w:rPr>
          <w:rFonts w:eastAsiaTheme="minorHAnsi"/>
          <w:szCs w:val="24"/>
          <w:lang w:eastAsia="en-US"/>
        </w:rPr>
        <w:t xml:space="preserve"> w wysokości 7% pierw</w:t>
      </w:r>
      <w:r w:rsidR="00061FDC" w:rsidRPr="006D71C7">
        <w:rPr>
          <w:rFonts w:eastAsiaTheme="minorHAnsi"/>
          <w:szCs w:val="24"/>
          <w:lang w:eastAsia="en-US"/>
        </w:rPr>
        <w:t xml:space="preserve">otnej kwoty przeznaczonej na </w:t>
      </w:r>
      <w:r w:rsidR="007338BD" w:rsidRPr="006D71C7">
        <w:rPr>
          <w:rFonts w:eastAsiaTheme="minorHAnsi"/>
          <w:i/>
          <w:szCs w:val="24"/>
          <w:lang w:eastAsia="en-US"/>
        </w:rPr>
        <w:t>poddziałanie 1.2.3,</w:t>
      </w:r>
    </w:p>
    <w:p w:rsidR="00245F70" w:rsidRPr="006D71C7" w:rsidRDefault="007338BD" w:rsidP="00BA2FE7">
      <w:pPr>
        <w:pStyle w:val="Akapitzlist"/>
        <w:numPr>
          <w:ilvl w:val="0"/>
          <w:numId w:val="84"/>
        </w:numPr>
        <w:spacing w:after="120"/>
        <w:ind w:left="714" w:hanging="357"/>
        <w:jc w:val="both"/>
        <w:rPr>
          <w:rFonts w:eastAsiaTheme="minorHAnsi"/>
          <w:szCs w:val="24"/>
          <w:lang w:eastAsia="en-US"/>
        </w:rPr>
      </w:pPr>
      <w:r w:rsidRPr="006D71C7">
        <w:rPr>
          <w:rFonts w:eastAsiaTheme="minorHAnsi"/>
          <w:szCs w:val="24"/>
          <w:lang w:eastAsia="en-US"/>
        </w:rPr>
        <w:t xml:space="preserve">zmniejszono wartości docelowe </w:t>
      </w:r>
      <w:r w:rsidRPr="006D71C7">
        <w:rPr>
          <w:rFonts w:eastAsiaTheme="minorHAnsi"/>
          <w:i/>
          <w:szCs w:val="24"/>
          <w:lang w:eastAsia="en-US"/>
        </w:rPr>
        <w:t>Liczba bezpośrednio utworzonych nowych miejsc pracy (EPC)</w:t>
      </w:r>
      <w:r w:rsidRPr="006D71C7">
        <w:rPr>
          <w:rFonts w:eastAsiaTheme="minorHAnsi"/>
          <w:szCs w:val="24"/>
          <w:lang w:eastAsia="en-US"/>
        </w:rPr>
        <w:t xml:space="preserve"> z 8950 do 8055 (powodem zmiany wskaźnika jest ujednolicenie jego nazwy ze wskaźnikiem kluczowym KSI (SIMIK 07-13)). Ponadto na etapie szacowania wartości docelowych, zakładano, że wskaźnik </w:t>
      </w:r>
      <w:r w:rsidRPr="006D71C7">
        <w:rPr>
          <w:rFonts w:eastAsiaTheme="minorHAnsi"/>
          <w:i/>
          <w:szCs w:val="24"/>
          <w:lang w:eastAsia="en-US"/>
        </w:rPr>
        <w:t>Utworzone miejsca pracy brutto</w:t>
      </w:r>
      <w:r w:rsidRPr="006D71C7">
        <w:rPr>
          <w:rFonts w:eastAsiaTheme="minorHAnsi"/>
          <w:szCs w:val="24"/>
          <w:lang w:eastAsia="en-US"/>
        </w:rPr>
        <w:t xml:space="preserve"> miał równać się liczbie zatrudnionych osób (niezależnie od wymiaru czasu pracy). </w:t>
      </w:r>
      <w:r w:rsidR="00E062FC" w:rsidRPr="006D71C7">
        <w:rPr>
          <w:rFonts w:eastAsiaTheme="minorHAnsi"/>
          <w:szCs w:val="24"/>
          <w:lang w:eastAsia="en-US"/>
        </w:rPr>
        <w:t>Zgodnie z zapisami</w:t>
      </w:r>
      <w:r w:rsidRPr="006D71C7">
        <w:rPr>
          <w:rFonts w:eastAsiaTheme="minorHAnsi"/>
          <w:szCs w:val="24"/>
          <w:lang w:eastAsia="en-US"/>
        </w:rPr>
        <w:t xml:space="preserve"> </w:t>
      </w:r>
      <w:r w:rsidRPr="006D71C7">
        <w:rPr>
          <w:rFonts w:eastAsiaTheme="minorHAnsi"/>
          <w:i/>
          <w:szCs w:val="24"/>
          <w:lang w:eastAsia="en-US"/>
        </w:rPr>
        <w:t>wytycznych w zakresie warunków gromadzenia i przekazywania danych w formie elektronicznej</w:t>
      </w:r>
      <w:r w:rsidRPr="006D71C7">
        <w:rPr>
          <w:rFonts w:eastAsiaTheme="minorHAnsi"/>
          <w:szCs w:val="24"/>
          <w:lang w:eastAsia="en-US"/>
        </w:rPr>
        <w:t xml:space="preserve"> liczb</w:t>
      </w:r>
      <w:r w:rsidR="00E35BE4" w:rsidRPr="006D71C7">
        <w:rPr>
          <w:rFonts w:eastAsiaTheme="minorHAnsi"/>
          <w:szCs w:val="24"/>
          <w:lang w:eastAsia="en-US"/>
        </w:rPr>
        <w:t>ę</w:t>
      </w:r>
      <w:r w:rsidRPr="006D71C7">
        <w:rPr>
          <w:rFonts w:eastAsiaTheme="minorHAnsi"/>
          <w:szCs w:val="24"/>
          <w:lang w:eastAsia="en-US"/>
        </w:rPr>
        <w:t xml:space="preserve"> miejsc pracy należy wykazywać w ekwiwalencie pełnego czasu pracy, okazało się sprzeczne z</w:t>
      </w:r>
      <w:r w:rsidR="00E35BE4" w:rsidRPr="006D71C7">
        <w:rPr>
          <w:rFonts w:eastAsiaTheme="minorHAnsi"/>
          <w:szCs w:val="24"/>
          <w:lang w:eastAsia="en-US"/>
        </w:rPr>
        <w:t> </w:t>
      </w:r>
      <w:r w:rsidRPr="006D71C7">
        <w:rPr>
          <w:rFonts w:eastAsiaTheme="minorHAnsi"/>
          <w:szCs w:val="24"/>
          <w:lang w:eastAsia="en-US"/>
        </w:rPr>
        <w:t xml:space="preserve">pierwotnymi założeniami i wymusiło zmianę wartości docelowej. </w:t>
      </w:r>
      <w:r w:rsidR="00E35BE4" w:rsidRPr="006D71C7">
        <w:rPr>
          <w:rFonts w:eastAsiaTheme="minorHAnsi"/>
          <w:szCs w:val="24"/>
          <w:lang w:eastAsia="en-US"/>
        </w:rPr>
        <w:t>iż zmiana podejścia zdecydowanie wywołała problemy w osiągnięciu zakładanej wartości oraz w agregacji danych.</w:t>
      </w:r>
      <w:r w:rsidRPr="006D71C7">
        <w:rPr>
          <w:rFonts w:eastAsiaTheme="minorHAnsi"/>
          <w:szCs w:val="24"/>
          <w:lang w:eastAsia="en-US"/>
        </w:rPr>
        <w:t xml:space="preserve"> </w:t>
      </w:r>
    </w:p>
    <w:p w:rsidR="00245F70" w:rsidRPr="006D71C7" w:rsidRDefault="007338BD" w:rsidP="006D71C7">
      <w:pPr>
        <w:spacing w:after="0"/>
        <w:jc w:val="both"/>
        <w:rPr>
          <w:rFonts w:eastAsiaTheme="minorHAnsi"/>
          <w:i/>
          <w:szCs w:val="24"/>
          <w:lang w:eastAsia="en-US"/>
        </w:rPr>
      </w:pPr>
      <w:r w:rsidRPr="006D71C7">
        <w:rPr>
          <w:rFonts w:eastAsiaTheme="minorHAnsi"/>
          <w:szCs w:val="24"/>
          <w:lang w:eastAsia="en-US"/>
        </w:rPr>
        <w:t>Tabela postępu priorytetu I zn</w:t>
      </w:r>
      <w:r w:rsidRPr="006D71C7">
        <w:rPr>
          <w:rFonts w:eastAsiaTheme="minorHAnsi"/>
          <w:i/>
          <w:szCs w:val="24"/>
          <w:lang w:eastAsia="en-US"/>
        </w:rPr>
        <w:t>ajduje się w załączniku nr IV do niniejszego Sprawozdania.</w:t>
      </w:r>
    </w:p>
    <w:p w:rsidR="00245F70" w:rsidRPr="006D71C7" w:rsidRDefault="00245F70" w:rsidP="006D71C7">
      <w:pPr>
        <w:spacing w:after="0"/>
        <w:jc w:val="both"/>
        <w:rPr>
          <w:rFonts w:eastAsiaTheme="minorHAnsi"/>
          <w:szCs w:val="24"/>
          <w:lang w:eastAsia="en-US"/>
        </w:rPr>
      </w:pPr>
    </w:p>
    <w:p w:rsidR="00DD3B0C" w:rsidRPr="006D71C7" w:rsidRDefault="007338BD" w:rsidP="006D71C7">
      <w:pPr>
        <w:spacing w:after="120"/>
        <w:jc w:val="both"/>
        <w:rPr>
          <w:rFonts w:eastAsiaTheme="minorHAnsi"/>
          <w:szCs w:val="24"/>
          <w:lang w:eastAsia="en-US"/>
        </w:rPr>
      </w:pPr>
      <w:r w:rsidRPr="006D71C7">
        <w:rPr>
          <w:rFonts w:eastAsiaTheme="minorHAnsi"/>
          <w:b/>
          <w:bCs/>
          <w:i/>
          <w:szCs w:val="24"/>
          <w:lang w:eastAsia="en-US"/>
        </w:rPr>
        <w:t>Realizacja ewentualnych zaleceń i rekomendacji KE odnoszące się do priorytetu I:</w:t>
      </w:r>
    </w:p>
    <w:p w:rsidR="00DD3B0C" w:rsidRPr="006D71C7" w:rsidRDefault="007338BD" w:rsidP="006D71C7">
      <w:pPr>
        <w:pStyle w:val="Akapitzlist"/>
        <w:numPr>
          <w:ilvl w:val="0"/>
          <w:numId w:val="6"/>
        </w:numPr>
        <w:spacing w:after="120"/>
        <w:jc w:val="both"/>
        <w:rPr>
          <w:rFonts w:eastAsiaTheme="minorHAnsi"/>
          <w:bCs/>
          <w:szCs w:val="24"/>
          <w:lang w:eastAsia="en-US"/>
        </w:rPr>
      </w:pPr>
      <w:r w:rsidRPr="006D71C7">
        <w:rPr>
          <w:rFonts w:eastAsiaTheme="minorHAnsi"/>
          <w:spacing w:val="-4"/>
          <w:szCs w:val="24"/>
          <w:lang w:eastAsia="en-US"/>
        </w:rPr>
        <w:t>analiza koncentruje się wokół celu/celów priorytetu I,</w:t>
      </w:r>
    </w:p>
    <w:p w:rsidR="001E0250" w:rsidRPr="006D71C7" w:rsidRDefault="007338BD" w:rsidP="006D71C7">
      <w:pPr>
        <w:pStyle w:val="Akapitzlist"/>
        <w:numPr>
          <w:ilvl w:val="0"/>
          <w:numId w:val="6"/>
        </w:numPr>
        <w:spacing w:after="120"/>
        <w:jc w:val="both"/>
        <w:rPr>
          <w:rFonts w:eastAsiaTheme="minorHAnsi"/>
          <w:bCs/>
          <w:szCs w:val="24"/>
          <w:lang w:eastAsia="en-US"/>
        </w:rPr>
      </w:pPr>
      <w:r w:rsidRPr="006D71C7">
        <w:rPr>
          <w:rFonts w:eastAsiaTheme="minorHAnsi"/>
          <w:spacing w:val="-4"/>
          <w:szCs w:val="24"/>
          <w:lang w:eastAsia="en-US"/>
        </w:rPr>
        <w:t>zmiana prezentacji danych wskaźnikowych,</w:t>
      </w:r>
    </w:p>
    <w:p w:rsidR="00DD3B0C" w:rsidRPr="006D71C7" w:rsidRDefault="007338BD" w:rsidP="006D71C7">
      <w:pPr>
        <w:pStyle w:val="Akapitzlist"/>
        <w:numPr>
          <w:ilvl w:val="0"/>
          <w:numId w:val="6"/>
        </w:numPr>
        <w:spacing w:after="120"/>
        <w:jc w:val="both"/>
        <w:rPr>
          <w:rFonts w:eastAsiaTheme="minorHAnsi"/>
          <w:bCs/>
          <w:szCs w:val="24"/>
          <w:lang w:eastAsia="en-US"/>
        </w:rPr>
      </w:pPr>
      <w:r w:rsidRPr="006D71C7">
        <w:rPr>
          <w:rFonts w:eastAsiaTheme="minorHAnsi"/>
          <w:bCs/>
          <w:szCs w:val="24"/>
          <w:lang w:eastAsia="en-US"/>
        </w:rPr>
        <w:t>zamieszczo</w:t>
      </w:r>
      <w:r w:rsidRPr="006D71C7">
        <w:rPr>
          <w:rFonts w:eastAsiaTheme="minorHAnsi"/>
          <w:bCs/>
          <w:i/>
          <w:szCs w:val="24"/>
          <w:lang w:eastAsia="en-US"/>
        </w:rPr>
        <w:t xml:space="preserve">no informacje o postępie prac </w:t>
      </w:r>
      <w:r w:rsidRPr="006D71C7">
        <w:rPr>
          <w:rFonts w:eastAsiaTheme="minorHAnsi"/>
          <w:bCs/>
          <w:szCs w:val="24"/>
          <w:lang w:eastAsia="en-US"/>
        </w:rPr>
        <w:t xml:space="preserve">nad </w:t>
      </w:r>
      <w:r w:rsidRPr="006D71C7">
        <w:rPr>
          <w:rFonts w:eastAsiaTheme="minorHAnsi"/>
          <w:bCs/>
          <w:i/>
          <w:szCs w:val="24"/>
          <w:lang w:eastAsia="en-US"/>
        </w:rPr>
        <w:t>Programem Rozwoju Technologii Województwa Śląskiego na lata 2010 -2020</w:t>
      </w:r>
      <w:r w:rsidRPr="006D71C7">
        <w:rPr>
          <w:rFonts w:eastAsiaTheme="minorHAnsi"/>
          <w:bCs/>
          <w:szCs w:val="24"/>
          <w:lang w:eastAsia="en-US"/>
        </w:rPr>
        <w:t>.</w:t>
      </w:r>
    </w:p>
    <w:p w:rsidR="00DD3B0C" w:rsidRPr="006D71C7" w:rsidRDefault="00DD3B0C" w:rsidP="006D71C7">
      <w:pPr>
        <w:pStyle w:val="Akapitzlist"/>
        <w:spacing w:after="120"/>
        <w:jc w:val="both"/>
        <w:rPr>
          <w:rFonts w:eastAsiaTheme="minorHAnsi"/>
          <w:bCs/>
          <w:szCs w:val="24"/>
          <w:lang w:eastAsia="en-US"/>
        </w:rPr>
      </w:pPr>
    </w:p>
    <w:p w:rsidR="00DD3B0C" w:rsidRPr="006D71C7" w:rsidRDefault="007338BD" w:rsidP="006D71C7">
      <w:pPr>
        <w:pStyle w:val="Akapitzlist"/>
        <w:spacing w:after="120"/>
        <w:ind w:left="0"/>
        <w:jc w:val="both"/>
        <w:rPr>
          <w:rFonts w:eastAsiaTheme="minorHAnsi"/>
          <w:b/>
          <w:bCs/>
          <w:i/>
          <w:szCs w:val="24"/>
          <w:lang w:eastAsia="en-US"/>
        </w:rPr>
      </w:pPr>
      <w:r w:rsidRPr="006D71C7">
        <w:rPr>
          <w:rFonts w:eastAsiaTheme="minorHAnsi"/>
          <w:b/>
          <w:bCs/>
          <w:i/>
          <w:szCs w:val="24"/>
          <w:lang w:eastAsia="en-US"/>
        </w:rPr>
        <w:t>Rekomendacje IZ odnośnie do dalszego przebiegu realizacji priorytetu:</w:t>
      </w:r>
    </w:p>
    <w:p w:rsidR="00DD3B0C" w:rsidRPr="006D71C7" w:rsidRDefault="007338BD" w:rsidP="006D71C7">
      <w:pPr>
        <w:spacing w:after="0"/>
        <w:jc w:val="both"/>
        <w:rPr>
          <w:b/>
          <w:i/>
          <w:szCs w:val="24"/>
        </w:rPr>
      </w:pPr>
      <w:r w:rsidRPr="006D71C7">
        <w:rPr>
          <w:rFonts w:eastAsiaTheme="minorHAnsi"/>
          <w:i/>
          <w:szCs w:val="24"/>
          <w:lang w:eastAsia="en-US"/>
        </w:rPr>
        <w:t>IZ RPO WSL na bieżąco monitoruje postęp wdrażania prioryt</w:t>
      </w:r>
      <w:r w:rsidRPr="006D71C7">
        <w:rPr>
          <w:rFonts w:eastAsiaTheme="minorHAnsi"/>
          <w:szCs w:val="24"/>
          <w:lang w:eastAsia="en-US"/>
        </w:rPr>
        <w:t>etu I zarówno w zakresie postępu finansowego</w:t>
      </w:r>
      <w:r w:rsidR="007030FF" w:rsidRPr="006D71C7">
        <w:rPr>
          <w:rFonts w:eastAsiaTheme="minorHAnsi"/>
          <w:szCs w:val="24"/>
          <w:lang w:eastAsia="en-US"/>
        </w:rPr>
        <w:t>,</w:t>
      </w:r>
      <w:r w:rsidRPr="006D71C7">
        <w:rPr>
          <w:rFonts w:eastAsiaTheme="minorHAnsi"/>
          <w:szCs w:val="24"/>
          <w:lang w:eastAsia="en-US"/>
        </w:rPr>
        <w:t xml:space="preserve"> jak i rzeczowego. Biorąc pod uwagę projekty wybrane do dofinansowania, IZ RPO WSL uznaje że przekazane wsparcie w pełni realizuje cele, jakie zostały założone na etapie programowania, uwzględniając wyniki diagnozy społeczno-gospodarczej ujętej w Programie. W kolejnym okresie sprawozdawczym Zarząd Województ</w:t>
      </w:r>
      <w:r w:rsidR="00DD3B0C" w:rsidRPr="006D71C7">
        <w:rPr>
          <w:rFonts w:eastAsia="Calibri"/>
          <w:szCs w:val="24"/>
        </w:rPr>
        <w:t xml:space="preserve">wa Śląskiego (Instytucja Zarządzająca RPO WSL) planuje wpisać 3 terminy nowych naborów wniosków w ramach przedmiotowego priorytetu. Nowe konkursy są efektem niewykorzystanych środków w ramach </w:t>
      </w:r>
      <w:r w:rsidR="00DD3B0C" w:rsidRPr="006D71C7">
        <w:rPr>
          <w:rFonts w:eastAsia="Calibri"/>
          <w:i/>
          <w:szCs w:val="24"/>
        </w:rPr>
        <w:t>działania 1.3</w:t>
      </w:r>
      <w:r w:rsidR="00DD3B0C" w:rsidRPr="006D71C7">
        <w:rPr>
          <w:rFonts w:eastAsia="Calibri"/>
          <w:szCs w:val="24"/>
        </w:rPr>
        <w:t xml:space="preserve"> i </w:t>
      </w:r>
      <w:r w:rsidR="00DD3B0C" w:rsidRPr="006D71C7">
        <w:rPr>
          <w:rFonts w:eastAsia="Calibri"/>
          <w:i/>
          <w:szCs w:val="24"/>
        </w:rPr>
        <w:t>poddziałania 1.1.1.</w:t>
      </w:r>
      <w:r w:rsidR="00DD3B0C" w:rsidRPr="006D71C7">
        <w:rPr>
          <w:rFonts w:eastAsia="Calibri"/>
          <w:szCs w:val="24"/>
        </w:rPr>
        <w:t xml:space="preserve"> </w:t>
      </w:r>
    </w:p>
    <w:p w:rsidR="00DD3B0C" w:rsidRPr="006D71C7" w:rsidRDefault="00DD3B0C" w:rsidP="006D71C7">
      <w:pPr>
        <w:tabs>
          <w:tab w:val="left" w:pos="1276"/>
        </w:tabs>
        <w:autoSpaceDE w:val="0"/>
        <w:autoSpaceDN w:val="0"/>
        <w:adjustRightInd w:val="0"/>
        <w:spacing w:after="120"/>
        <w:jc w:val="both"/>
        <w:rPr>
          <w:b/>
          <w:i/>
          <w:szCs w:val="24"/>
        </w:rPr>
      </w:pPr>
    </w:p>
    <w:p w:rsidR="00004ED0" w:rsidRPr="006D71C7" w:rsidRDefault="000D436A" w:rsidP="006D71C7">
      <w:pPr>
        <w:tabs>
          <w:tab w:val="left" w:pos="1276"/>
        </w:tabs>
        <w:autoSpaceDE w:val="0"/>
        <w:autoSpaceDN w:val="0"/>
        <w:adjustRightInd w:val="0"/>
        <w:spacing w:after="120"/>
        <w:jc w:val="both"/>
        <w:rPr>
          <w:b/>
          <w:i/>
          <w:szCs w:val="24"/>
        </w:rPr>
      </w:pPr>
      <w:r w:rsidRPr="006D71C7">
        <w:rPr>
          <w:b/>
          <w:i/>
          <w:szCs w:val="24"/>
        </w:rPr>
        <w:t xml:space="preserve">Analiza </w:t>
      </w:r>
      <w:r w:rsidR="00AF7C0F" w:rsidRPr="006D71C7">
        <w:rPr>
          <w:b/>
          <w:i/>
          <w:szCs w:val="24"/>
        </w:rPr>
        <w:t>jakościowa</w:t>
      </w:r>
    </w:p>
    <w:p w:rsidR="00CD39CB" w:rsidRPr="006D71C7" w:rsidRDefault="00410E73" w:rsidP="006D71C7">
      <w:pPr>
        <w:autoSpaceDE w:val="0"/>
        <w:autoSpaceDN w:val="0"/>
        <w:adjustRightInd w:val="0"/>
        <w:spacing w:after="0"/>
        <w:jc w:val="both"/>
        <w:rPr>
          <w:rFonts w:eastAsia="Calibri"/>
          <w:szCs w:val="24"/>
        </w:rPr>
      </w:pPr>
      <w:r w:rsidRPr="006D71C7">
        <w:rPr>
          <w:rFonts w:eastAsia="Calibri"/>
          <w:szCs w:val="24"/>
        </w:rPr>
        <w:t xml:space="preserve">Rozwój oparty na wiedzy i innowacji to klucz do zdobycia przewagi konkurencyjnej firm, regionów, całych gospodarek. </w:t>
      </w:r>
      <w:r w:rsidR="00CD39CB" w:rsidRPr="006D71C7">
        <w:rPr>
          <w:rFonts w:eastAsia="Calibri"/>
          <w:szCs w:val="24"/>
        </w:rPr>
        <w:t>Województwo śląskie należy do czołówki polskich regionów, w którym skoncentrowana jest baza ośrodków innowacji i przedsiębiorczości wspierających rozwój nowoczesnej gospodarki wiedzy. Koncentracja instytucji wsparcia w województwie śląskim świadczy o jego dużym potencjale gospodarczym i silnym rynku.</w:t>
      </w:r>
      <w:r w:rsidR="00DC30E5" w:rsidRPr="006D71C7">
        <w:rPr>
          <w:rFonts w:eastAsia="Calibri"/>
          <w:szCs w:val="24"/>
        </w:rPr>
        <w:t xml:space="preserve"> Duża liczba uczelni wyższych i śląska kultura pracy sprawiają, że region ma szansę by</w:t>
      </w:r>
      <w:r w:rsidR="00D846E6" w:rsidRPr="006D71C7">
        <w:rPr>
          <w:rFonts w:eastAsia="Calibri"/>
          <w:szCs w:val="24"/>
        </w:rPr>
        <w:t>ć liderem w obszarze innowacji.</w:t>
      </w:r>
    </w:p>
    <w:p w:rsidR="00CD39CB" w:rsidRPr="006D71C7" w:rsidRDefault="00CD39CB" w:rsidP="006D71C7">
      <w:pPr>
        <w:jc w:val="both"/>
        <w:rPr>
          <w:szCs w:val="24"/>
        </w:rPr>
      </w:pPr>
      <w:r w:rsidRPr="006D71C7">
        <w:rPr>
          <w:rFonts w:eastAsia="Calibri"/>
          <w:szCs w:val="24"/>
        </w:rPr>
        <w:t xml:space="preserve">W województwie śląskim powstał </w:t>
      </w:r>
      <w:r w:rsidR="00DC30E5" w:rsidRPr="006D71C7">
        <w:rPr>
          <w:rFonts w:eastAsia="Calibri"/>
          <w:szCs w:val="24"/>
        </w:rPr>
        <w:t xml:space="preserve">dokument operacyjny </w:t>
      </w:r>
      <w:r w:rsidRPr="006D71C7">
        <w:rPr>
          <w:rFonts w:eastAsia="Calibri"/>
          <w:b/>
          <w:bCs/>
          <w:i/>
        </w:rPr>
        <w:t>Programu Rozwoju Technologii</w:t>
      </w:r>
      <w:r w:rsidR="00DC30E5" w:rsidRPr="006D71C7">
        <w:rPr>
          <w:rFonts w:eastAsia="Calibri"/>
          <w:b/>
          <w:bCs/>
          <w:i/>
        </w:rPr>
        <w:t xml:space="preserve"> Województwa Śląskiego na lata 2010 -2020</w:t>
      </w:r>
      <w:r w:rsidR="00DC30E5" w:rsidRPr="006D71C7">
        <w:rPr>
          <w:rFonts w:eastAsia="Calibri"/>
          <w:bCs/>
        </w:rPr>
        <w:t>,</w:t>
      </w:r>
      <w:r w:rsidRPr="006D71C7">
        <w:rPr>
          <w:rFonts w:eastAsia="Calibri"/>
          <w:b/>
          <w:bCs/>
        </w:rPr>
        <w:t xml:space="preserve"> </w:t>
      </w:r>
      <w:r w:rsidRPr="006D71C7">
        <w:rPr>
          <w:rFonts w:eastAsia="Calibri"/>
          <w:bCs/>
        </w:rPr>
        <w:t>którego celem jest</w:t>
      </w:r>
      <w:r w:rsidRPr="006D71C7">
        <w:rPr>
          <w:rFonts w:eastAsia="Calibri"/>
        </w:rPr>
        <w:t xml:space="preserve"> </w:t>
      </w:r>
      <w:r w:rsidRPr="006D71C7">
        <w:rPr>
          <w:rFonts w:eastAsia="Calibri"/>
          <w:bCs/>
          <w:szCs w:val="24"/>
        </w:rPr>
        <w:t>identyfikacja potencjału regionu z uwzględnieniem przyszłego okresu programowania</w:t>
      </w:r>
      <w:r w:rsidR="00D846E6" w:rsidRPr="006D71C7">
        <w:rPr>
          <w:rFonts w:eastAsia="Calibri"/>
          <w:bCs/>
          <w:szCs w:val="24"/>
        </w:rPr>
        <w:t>,</w:t>
      </w:r>
      <w:r w:rsidR="00F4309D" w:rsidRPr="006D71C7">
        <w:rPr>
          <w:rFonts w:eastAsia="Calibri"/>
          <w:bCs/>
          <w:szCs w:val="24"/>
        </w:rPr>
        <w:t xml:space="preserve"> </w:t>
      </w:r>
      <w:r w:rsidR="00F4309D" w:rsidRPr="006D71C7">
        <w:rPr>
          <w:sz w:val="23"/>
          <w:szCs w:val="23"/>
        </w:rPr>
        <w:t xml:space="preserve">wpisujący się w szeroką paletę działań realizowanych w ramach </w:t>
      </w:r>
      <w:r w:rsidR="00F4309D" w:rsidRPr="006D71C7">
        <w:rPr>
          <w:i/>
          <w:sz w:val="23"/>
          <w:szCs w:val="23"/>
        </w:rPr>
        <w:t>Regionalnej Strategii Innowacji</w:t>
      </w:r>
      <w:r w:rsidRPr="006D71C7">
        <w:rPr>
          <w:rFonts w:eastAsia="Calibri"/>
          <w:bCs/>
          <w:szCs w:val="24"/>
        </w:rPr>
        <w:t>.</w:t>
      </w:r>
      <w:r w:rsidRPr="006D71C7">
        <w:rPr>
          <w:rFonts w:eastAsia="Calibri"/>
          <w:b/>
          <w:bCs/>
          <w:szCs w:val="24"/>
        </w:rPr>
        <w:t xml:space="preserve"> </w:t>
      </w:r>
      <w:r w:rsidR="00F4309D" w:rsidRPr="006D71C7">
        <w:rPr>
          <w:i/>
        </w:rPr>
        <w:t>Program Rozwoju Technologii Województwa Śląskiego na lata 2010-2020 (PRT)</w:t>
      </w:r>
      <w:r w:rsidR="00F4309D" w:rsidRPr="006D71C7">
        <w:t xml:space="preserve"> jest integralnym elementem projektu pn. </w:t>
      </w:r>
      <w:r w:rsidR="00F4309D" w:rsidRPr="006D71C7">
        <w:rPr>
          <w:bCs/>
          <w:i/>
        </w:rPr>
        <w:t xml:space="preserve">Zarządzanie, wdrażanie i monitorowanie Regionalnej Strategii Innowacji Województwa Śląskiego </w:t>
      </w:r>
      <w:r w:rsidR="00F4309D" w:rsidRPr="006D71C7">
        <w:rPr>
          <w:i/>
        </w:rPr>
        <w:t>realizowanego w ramach Programu Operacyjnego Kapitał Ludzki, Priorytetu VIII Regionalne kadry gospodarki, Działania 8.2 Transfer wiedzy, Poddziałania 8.2.2 Regionalnej Strategii Innowacj</w:t>
      </w:r>
      <w:r w:rsidR="00F4309D" w:rsidRPr="006D71C7">
        <w:t>i. Liderem projektu jest Województwo Śląs</w:t>
      </w:r>
      <w:r w:rsidR="00031736" w:rsidRPr="006D71C7">
        <w:t>kie, a </w:t>
      </w:r>
      <w:r w:rsidR="00F4309D" w:rsidRPr="006D71C7">
        <w:t>partnerami projektu są: Politechnika Śląska w Gliwicach,  Akademia Sztuk</w:t>
      </w:r>
      <w:r w:rsidR="00031736" w:rsidRPr="006D71C7">
        <w:t xml:space="preserve"> Pięknych w </w:t>
      </w:r>
      <w:r w:rsidR="00F4309D" w:rsidRPr="006D71C7">
        <w:t>Katowicach, Główny Instytut Górnictwa, Uniwersytet</w:t>
      </w:r>
      <w:r w:rsidR="00031736" w:rsidRPr="006D71C7">
        <w:t xml:space="preserve"> Ekonomiczny w Katowicach</w:t>
      </w:r>
      <w:r w:rsidR="00F4309D" w:rsidRPr="006D71C7">
        <w:t xml:space="preserve">. Konsultacje społeczne powyższego dokumentu trwały od 2 lutego 2011r. do 8 marca 2011r. </w:t>
      </w:r>
      <w:r w:rsidR="00F4309D" w:rsidRPr="006D71C7">
        <w:rPr>
          <w:rStyle w:val="Pogrubienie"/>
          <w:b w:val="0"/>
        </w:rPr>
        <w:t xml:space="preserve">W dniu 11 marca 2011r. </w:t>
      </w:r>
      <w:r w:rsidR="00F4309D" w:rsidRPr="006D71C7">
        <w:rPr>
          <w:rStyle w:val="Pogrubienie"/>
          <w:b w:val="0"/>
          <w:i/>
        </w:rPr>
        <w:t>Program</w:t>
      </w:r>
      <w:r w:rsidR="00F4309D" w:rsidRPr="006D71C7">
        <w:rPr>
          <w:rStyle w:val="Pogrubienie"/>
          <w:b w:val="0"/>
        </w:rPr>
        <w:t xml:space="preserve"> został przyjęty przez Komitet Sterujący Regionalnej Strategii Innowacji</w:t>
      </w:r>
      <w:r w:rsidR="00031736" w:rsidRPr="006D71C7">
        <w:rPr>
          <w:rStyle w:val="Pogrubienie"/>
          <w:b w:val="0"/>
        </w:rPr>
        <w:t>,</w:t>
      </w:r>
      <w:r w:rsidR="00F4309D" w:rsidRPr="006D71C7">
        <w:rPr>
          <w:rStyle w:val="Pogrubienie"/>
          <w:b w:val="0"/>
        </w:rPr>
        <w:t> a 29 marca 2011 r. został przyjęty przez Zarząd Województwa</w:t>
      </w:r>
      <w:r w:rsidR="00031736" w:rsidRPr="006D71C7">
        <w:rPr>
          <w:rStyle w:val="Pogrubienie"/>
          <w:b w:val="0"/>
        </w:rPr>
        <w:t xml:space="preserve"> Śląskiego</w:t>
      </w:r>
      <w:r w:rsidR="00F4309D" w:rsidRPr="006D71C7">
        <w:rPr>
          <w:rStyle w:val="Pogrubienie"/>
          <w:b w:val="0"/>
        </w:rPr>
        <w:t>.</w:t>
      </w:r>
      <w:r w:rsidR="00F4309D" w:rsidRPr="006D71C7">
        <w:rPr>
          <w:rFonts w:eastAsia="Calibri"/>
          <w:bCs/>
        </w:rPr>
        <w:t xml:space="preserve"> </w:t>
      </w:r>
      <w:r w:rsidR="00F4309D" w:rsidRPr="006D71C7">
        <w:rPr>
          <w:rFonts w:eastAsia="Calibri"/>
          <w:bCs/>
          <w:i/>
        </w:rPr>
        <w:t>Program</w:t>
      </w:r>
      <w:r w:rsidR="00F4309D" w:rsidRPr="006D71C7">
        <w:rPr>
          <w:rFonts w:eastAsia="Calibri"/>
          <w:bCs/>
        </w:rPr>
        <w:t xml:space="preserve"> m</w:t>
      </w:r>
      <w:r w:rsidR="00DC30E5" w:rsidRPr="006D71C7">
        <w:rPr>
          <w:rFonts w:eastAsia="Calibri"/>
          <w:bCs/>
        </w:rPr>
        <w:t xml:space="preserve">a służyć </w:t>
      </w:r>
      <w:r w:rsidR="00DC30E5" w:rsidRPr="006D71C7">
        <w:rPr>
          <w:rFonts w:eastAsia="Calibri"/>
          <w:bCs/>
          <w:szCs w:val="24"/>
        </w:rPr>
        <w:t>i</w:t>
      </w:r>
      <w:r w:rsidR="00F4309D" w:rsidRPr="006D71C7">
        <w:rPr>
          <w:rFonts w:eastAsia="Calibri"/>
          <w:bCs/>
          <w:szCs w:val="24"/>
        </w:rPr>
        <w:t>dentyfikacji potrzeb i </w:t>
      </w:r>
      <w:r w:rsidR="0011735D" w:rsidRPr="006D71C7">
        <w:rPr>
          <w:rFonts w:eastAsia="Calibri"/>
          <w:bCs/>
          <w:szCs w:val="24"/>
        </w:rPr>
        <w:t>potencja</w:t>
      </w:r>
      <w:r w:rsidR="00031736" w:rsidRPr="006D71C7">
        <w:rPr>
          <w:rFonts w:eastAsia="Calibri"/>
          <w:bCs/>
          <w:szCs w:val="24"/>
        </w:rPr>
        <w:t xml:space="preserve">łu </w:t>
      </w:r>
      <w:r w:rsidR="0011735D" w:rsidRPr="006D71C7">
        <w:rPr>
          <w:rFonts w:eastAsia="Calibri"/>
          <w:bCs/>
          <w:szCs w:val="24"/>
        </w:rPr>
        <w:t>m.in. przedsiębiorców, jednostek badawczo-rozwojowych,</w:t>
      </w:r>
      <w:r w:rsidR="00DC30E5" w:rsidRPr="006D71C7">
        <w:rPr>
          <w:rFonts w:eastAsia="Calibri"/>
          <w:bCs/>
          <w:szCs w:val="24"/>
        </w:rPr>
        <w:t xml:space="preserve"> w</w:t>
      </w:r>
      <w:r w:rsidR="0011735D" w:rsidRPr="006D71C7">
        <w:rPr>
          <w:rFonts w:eastAsia="Calibri"/>
          <w:bCs/>
          <w:szCs w:val="24"/>
        </w:rPr>
        <w:t>yznaczeniu nowych kierunków rozwoju edukacji (wsparcie zawodów krytycznych),</w:t>
      </w:r>
      <w:r w:rsidR="00DC30E5" w:rsidRPr="006D71C7">
        <w:rPr>
          <w:rFonts w:eastAsia="Calibri"/>
          <w:bCs/>
        </w:rPr>
        <w:t xml:space="preserve"> </w:t>
      </w:r>
      <w:r w:rsidR="00DC30E5" w:rsidRPr="006D71C7">
        <w:rPr>
          <w:rFonts w:eastAsia="Calibri"/>
          <w:bCs/>
          <w:szCs w:val="24"/>
        </w:rPr>
        <w:t>d</w:t>
      </w:r>
      <w:r w:rsidR="0011735D" w:rsidRPr="006D71C7">
        <w:rPr>
          <w:rFonts w:eastAsia="Calibri"/>
          <w:bCs/>
          <w:szCs w:val="24"/>
        </w:rPr>
        <w:t xml:space="preserve">ostosowaniu systemu edukacji do  potrzeb rynku pracy oraz </w:t>
      </w:r>
      <w:r w:rsidR="0011735D" w:rsidRPr="006D71C7">
        <w:rPr>
          <w:rFonts w:eastAsia="Calibri"/>
          <w:bCs/>
          <w:i/>
          <w:iCs/>
          <w:szCs w:val="24"/>
        </w:rPr>
        <w:t>technology society,</w:t>
      </w:r>
      <w:r w:rsidR="00DC30E5" w:rsidRPr="006D71C7">
        <w:rPr>
          <w:rFonts w:eastAsia="Calibri"/>
          <w:bCs/>
        </w:rPr>
        <w:t xml:space="preserve"> o</w:t>
      </w:r>
      <w:r w:rsidR="0011735D" w:rsidRPr="006D71C7">
        <w:rPr>
          <w:rFonts w:eastAsia="Calibri"/>
          <w:bCs/>
          <w:szCs w:val="24"/>
        </w:rPr>
        <w:t>kreśleniu kryteriów wyboru projektów innowacyjnych w przyszłym okresie programowania</w:t>
      </w:r>
      <w:r w:rsidR="00DC30E5" w:rsidRPr="006D71C7">
        <w:rPr>
          <w:rFonts w:eastAsia="Calibri"/>
          <w:bCs/>
          <w:szCs w:val="24"/>
        </w:rPr>
        <w:t>.</w:t>
      </w:r>
      <w:r w:rsidR="00DC30E5" w:rsidRPr="006D71C7">
        <w:rPr>
          <w:rFonts w:eastAsia="Calibri"/>
          <w:bCs/>
        </w:rPr>
        <w:t xml:space="preserve"> </w:t>
      </w:r>
      <w:r w:rsidR="00F4309D" w:rsidRPr="006D71C7">
        <w:rPr>
          <w:szCs w:val="24"/>
        </w:rPr>
        <w:t xml:space="preserve">Inteligentna specjalizacja Śląska opiera się obecnie na ośmiu kluczowych obszarach – są to technologie medyczne, informacyjne i komunikacyjne, energetyka i górnictwo, ochrona środowiska, produkcja </w:t>
      </w:r>
      <w:r w:rsidR="00F4309D" w:rsidRPr="006D71C7">
        <w:t>i przetwarzanie</w:t>
      </w:r>
      <w:r w:rsidR="00F4309D" w:rsidRPr="006D71C7">
        <w:rPr>
          <w:szCs w:val="24"/>
        </w:rPr>
        <w:t xml:space="preserve"> materiałów, transport i infrastruktura transportowa, przemysł maszynowy, samochodowy, lotniczy i górniczy oraz nanotechnologie i nanomateriały. PRT zawiera kryteria priorytetyzacji obszarów technologicznych, co umożliwia budowanie specjalizacji branżowej Śląska </w:t>
      </w:r>
      <w:r w:rsidR="0091272A" w:rsidRPr="006D71C7">
        <w:rPr>
          <w:szCs w:val="24"/>
        </w:rPr>
        <w:t>wpisując się w</w:t>
      </w:r>
      <w:r w:rsidR="00FD6299" w:rsidRPr="006D71C7">
        <w:rPr>
          <w:szCs w:val="24"/>
        </w:rPr>
        <w:t> </w:t>
      </w:r>
      <w:r w:rsidR="0091272A" w:rsidRPr="006D71C7">
        <w:rPr>
          <w:szCs w:val="24"/>
        </w:rPr>
        <w:t xml:space="preserve">wytyczne dla </w:t>
      </w:r>
      <w:r w:rsidR="00F4309D" w:rsidRPr="006D71C7">
        <w:rPr>
          <w:szCs w:val="24"/>
        </w:rPr>
        <w:t xml:space="preserve"> funduszy europejskich po 2013 roku.</w:t>
      </w:r>
      <w:r w:rsidR="00F4309D" w:rsidRPr="006D71C7">
        <w:t xml:space="preserve"> </w:t>
      </w:r>
      <w:r w:rsidR="00F4309D" w:rsidRPr="006D71C7">
        <w:rPr>
          <w:szCs w:val="24"/>
        </w:rPr>
        <w:t>Śląsk to jak na razie jedyn</w:t>
      </w:r>
      <w:r w:rsidR="00031736" w:rsidRPr="006D71C7">
        <w:rPr>
          <w:szCs w:val="24"/>
        </w:rPr>
        <w:t>y polski region, który podjął</w:t>
      </w:r>
      <w:r w:rsidR="00F4309D" w:rsidRPr="006D71C7">
        <w:rPr>
          <w:szCs w:val="24"/>
        </w:rPr>
        <w:t xml:space="preserve"> działania służące wdrożeniu koncepcji inteligentnej specjalizacji poprzez opracowanie </w:t>
      </w:r>
      <w:r w:rsidR="00F4309D" w:rsidRPr="006D71C7">
        <w:rPr>
          <w:i/>
          <w:szCs w:val="24"/>
        </w:rPr>
        <w:t>Programu Rozwoju Technologii na lata 2010–2020</w:t>
      </w:r>
      <w:r w:rsidR="00F4309D" w:rsidRPr="006D71C7">
        <w:rPr>
          <w:szCs w:val="24"/>
        </w:rPr>
        <w:t xml:space="preserve">. Inteligentna specjalizacja Śląska </w:t>
      </w:r>
      <w:r w:rsidR="0091272A" w:rsidRPr="006D71C7">
        <w:rPr>
          <w:szCs w:val="24"/>
        </w:rPr>
        <w:t xml:space="preserve">ramowo </w:t>
      </w:r>
      <w:r w:rsidR="00F4309D" w:rsidRPr="006D71C7">
        <w:rPr>
          <w:szCs w:val="24"/>
        </w:rPr>
        <w:t xml:space="preserve">wynika </w:t>
      </w:r>
      <w:r w:rsidR="00031736" w:rsidRPr="006D71C7">
        <w:rPr>
          <w:szCs w:val="24"/>
        </w:rPr>
        <w:t>z określonych w </w:t>
      </w:r>
      <w:r w:rsidR="00F4309D" w:rsidRPr="006D71C7">
        <w:rPr>
          <w:szCs w:val="24"/>
        </w:rPr>
        <w:t xml:space="preserve">PRT ośmiu obszarów technologicznych. </w:t>
      </w:r>
      <w:r w:rsidR="0091272A" w:rsidRPr="006D71C7">
        <w:rPr>
          <w:szCs w:val="24"/>
        </w:rPr>
        <w:t xml:space="preserve">W chwili obecnej </w:t>
      </w:r>
      <w:r w:rsidR="00031736" w:rsidRPr="006D71C7">
        <w:rPr>
          <w:szCs w:val="24"/>
        </w:rPr>
        <w:t xml:space="preserve">region </w:t>
      </w:r>
      <w:r w:rsidR="0091272A" w:rsidRPr="006D71C7">
        <w:rPr>
          <w:szCs w:val="24"/>
        </w:rPr>
        <w:t xml:space="preserve">w ramach tworzenia nowej generacji RSI </w:t>
      </w:r>
      <w:r w:rsidR="00031736" w:rsidRPr="006D71C7">
        <w:rPr>
          <w:szCs w:val="24"/>
        </w:rPr>
        <w:t xml:space="preserve">dąży </w:t>
      </w:r>
      <w:r w:rsidR="00F4309D" w:rsidRPr="006D71C7">
        <w:rPr>
          <w:szCs w:val="24"/>
        </w:rPr>
        <w:t>do ograniczenia priorytetów do</w:t>
      </w:r>
      <w:r w:rsidR="0058229F" w:rsidRPr="006D71C7">
        <w:rPr>
          <w:szCs w:val="24"/>
        </w:rPr>
        <w:t> </w:t>
      </w:r>
      <w:r w:rsidR="00F4309D" w:rsidRPr="006D71C7">
        <w:rPr>
          <w:szCs w:val="24"/>
        </w:rPr>
        <w:t xml:space="preserve">trzech, czterech </w:t>
      </w:r>
      <w:r w:rsidR="0091272A" w:rsidRPr="006D71C7">
        <w:rPr>
          <w:szCs w:val="24"/>
        </w:rPr>
        <w:t xml:space="preserve">specjalizacji </w:t>
      </w:r>
      <w:r w:rsidR="00F4309D" w:rsidRPr="006D71C7">
        <w:rPr>
          <w:szCs w:val="24"/>
        </w:rPr>
        <w:t>strategicznych. </w:t>
      </w:r>
      <w:r w:rsidR="00DC30E5" w:rsidRPr="006D71C7">
        <w:rPr>
          <w:rFonts w:eastAsia="Calibri"/>
          <w:bCs/>
          <w:szCs w:val="24"/>
        </w:rPr>
        <w:t xml:space="preserve">W obecnej perspektywie </w:t>
      </w:r>
      <w:r w:rsidR="0091272A" w:rsidRPr="006D71C7">
        <w:rPr>
          <w:rFonts w:eastAsia="Calibri"/>
          <w:bCs/>
          <w:szCs w:val="24"/>
        </w:rPr>
        <w:t xml:space="preserve">PRT </w:t>
      </w:r>
      <w:r w:rsidR="00DC30E5" w:rsidRPr="006D71C7">
        <w:rPr>
          <w:rFonts w:eastAsia="Calibri"/>
          <w:bCs/>
          <w:szCs w:val="24"/>
        </w:rPr>
        <w:t xml:space="preserve">wdrażany jest </w:t>
      </w:r>
      <w:r w:rsidR="0091272A" w:rsidRPr="006D71C7">
        <w:rPr>
          <w:rFonts w:eastAsia="Calibri"/>
          <w:bCs/>
          <w:szCs w:val="24"/>
        </w:rPr>
        <w:t>w</w:t>
      </w:r>
      <w:r w:rsidR="00FD6299" w:rsidRPr="006D71C7">
        <w:rPr>
          <w:rFonts w:eastAsia="Calibri"/>
          <w:bCs/>
          <w:szCs w:val="24"/>
        </w:rPr>
        <w:t> </w:t>
      </w:r>
      <w:r w:rsidR="0091272A" w:rsidRPr="006D71C7">
        <w:rPr>
          <w:rFonts w:eastAsia="Calibri"/>
          <w:bCs/>
          <w:szCs w:val="24"/>
        </w:rPr>
        <w:t xml:space="preserve">ramach </w:t>
      </w:r>
      <w:r w:rsidR="00DC30E5" w:rsidRPr="006D71C7">
        <w:rPr>
          <w:rFonts w:eastAsia="Calibri"/>
          <w:bCs/>
          <w:szCs w:val="24"/>
        </w:rPr>
        <w:t>RPO WSL</w:t>
      </w:r>
      <w:r w:rsidR="0011735D" w:rsidRPr="006D71C7">
        <w:rPr>
          <w:rFonts w:eastAsia="Calibri"/>
          <w:bCs/>
          <w:szCs w:val="24"/>
        </w:rPr>
        <w:t xml:space="preserve"> </w:t>
      </w:r>
      <w:r w:rsidR="0091272A" w:rsidRPr="006D71C7">
        <w:rPr>
          <w:rFonts w:eastAsia="Calibri"/>
          <w:bCs/>
          <w:szCs w:val="24"/>
        </w:rPr>
        <w:t xml:space="preserve">z wykorzystaniem </w:t>
      </w:r>
      <w:r w:rsidR="0011735D" w:rsidRPr="006D71C7">
        <w:rPr>
          <w:rFonts w:eastAsia="Calibri"/>
          <w:bCs/>
          <w:szCs w:val="24"/>
        </w:rPr>
        <w:t>kryteri</w:t>
      </w:r>
      <w:r w:rsidR="0091272A" w:rsidRPr="006D71C7">
        <w:rPr>
          <w:rFonts w:eastAsia="Calibri"/>
          <w:bCs/>
          <w:szCs w:val="24"/>
        </w:rPr>
        <w:t>ów</w:t>
      </w:r>
      <w:r w:rsidR="0011735D" w:rsidRPr="006D71C7">
        <w:rPr>
          <w:rFonts w:eastAsia="Calibri"/>
          <w:bCs/>
          <w:szCs w:val="24"/>
        </w:rPr>
        <w:t xml:space="preserve"> wyboru projektów</w:t>
      </w:r>
      <w:r w:rsidR="00DC30E5" w:rsidRPr="006D71C7">
        <w:rPr>
          <w:rFonts w:eastAsia="Calibri"/>
          <w:bCs/>
          <w:szCs w:val="24"/>
        </w:rPr>
        <w:t>.</w:t>
      </w:r>
    </w:p>
    <w:p w:rsidR="000D436A" w:rsidRPr="006D71C7" w:rsidRDefault="00566149" w:rsidP="006D71C7">
      <w:pPr>
        <w:autoSpaceDE w:val="0"/>
        <w:autoSpaceDN w:val="0"/>
        <w:adjustRightInd w:val="0"/>
        <w:spacing w:after="0"/>
        <w:jc w:val="both"/>
        <w:rPr>
          <w:rFonts w:eastAsia="Calibri"/>
          <w:szCs w:val="24"/>
        </w:rPr>
      </w:pPr>
      <w:r w:rsidRPr="006D71C7">
        <w:rPr>
          <w:rFonts w:eastAsia="Calibri"/>
          <w:szCs w:val="24"/>
        </w:rPr>
        <w:t>G</w:t>
      </w:r>
      <w:r w:rsidR="006F3783" w:rsidRPr="006D71C7">
        <w:rPr>
          <w:rFonts w:eastAsia="Calibri"/>
          <w:szCs w:val="24"/>
        </w:rPr>
        <w:t xml:space="preserve">łównym celem </w:t>
      </w:r>
      <w:r w:rsidRPr="006D71C7">
        <w:rPr>
          <w:rFonts w:eastAsia="Calibri"/>
          <w:szCs w:val="24"/>
        </w:rPr>
        <w:t xml:space="preserve">priorytetu I RPO WSL </w:t>
      </w:r>
      <w:r w:rsidR="006F3783" w:rsidRPr="006D71C7">
        <w:rPr>
          <w:rFonts w:eastAsia="Calibri"/>
          <w:szCs w:val="24"/>
        </w:rPr>
        <w:t>jest wzrost konkurencyjności regionalnej gospodarki opartej na wiedzy.</w:t>
      </w:r>
      <w:r w:rsidR="00BE15C1" w:rsidRPr="006D71C7">
        <w:rPr>
          <w:rFonts w:eastAsia="Calibri"/>
          <w:szCs w:val="24"/>
        </w:rPr>
        <w:t xml:space="preserve"> </w:t>
      </w:r>
      <w:r w:rsidR="00BE15C1" w:rsidRPr="006D71C7">
        <w:t xml:space="preserve">Sektor małych i średnich przedsiębiorstw </w:t>
      </w:r>
      <w:r w:rsidRPr="006D71C7">
        <w:t>harmonijnie wpisuje się w</w:t>
      </w:r>
      <w:r w:rsidR="0058229F" w:rsidRPr="006D71C7">
        <w:t> </w:t>
      </w:r>
      <w:r w:rsidRPr="006D71C7">
        <w:t>to</w:t>
      </w:r>
      <w:r w:rsidR="0058229F" w:rsidRPr="006D71C7">
        <w:t> </w:t>
      </w:r>
      <w:r w:rsidRPr="006D71C7">
        <w:t xml:space="preserve">założenie i </w:t>
      </w:r>
      <w:r w:rsidR="00BE15C1" w:rsidRPr="006D71C7">
        <w:t xml:space="preserve">pełni </w:t>
      </w:r>
      <w:r w:rsidRPr="006D71C7">
        <w:t xml:space="preserve">kluczową </w:t>
      </w:r>
      <w:r w:rsidR="00BE15C1" w:rsidRPr="006D71C7">
        <w:t>rolę w gospodarce regionu, wpływając na tak istotne kwestie, jak: wzrost gospodarczy, konkurencyjność, zmiany struktury zatrudnienia.</w:t>
      </w:r>
      <w:r w:rsidR="00DD3162" w:rsidRPr="006D71C7">
        <w:t xml:space="preserve"> Dzięki</w:t>
      </w:r>
      <w:r w:rsidR="006B3435" w:rsidRPr="006D71C7">
        <w:t xml:space="preserve"> środkom pochodzącym z </w:t>
      </w:r>
      <w:r w:rsidR="00DD3162" w:rsidRPr="006D71C7">
        <w:t xml:space="preserve">RPO WSL przedsiębiorcy mają możliwość uzyskania wsparcia </w:t>
      </w:r>
      <w:r w:rsidR="00405BC8" w:rsidRPr="006D71C7">
        <w:rPr>
          <w:rFonts w:eastAsia="Calibri"/>
        </w:rPr>
        <w:t>na inwestycje z zakresu rozbudowy i modernizacji mikro, małych i średnich przedsiębiorstw oraz zakup</w:t>
      </w:r>
      <w:r w:rsidR="000D436A" w:rsidRPr="006D71C7">
        <w:rPr>
          <w:rFonts w:eastAsia="Calibri"/>
        </w:rPr>
        <w:t>u</w:t>
      </w:r>
      <w:r w:rsidR="00405BC8" w:rsidRPr="006D71C7">
        <w:rPr>
          <w:rFonts w:eastAsia="Calibri"/>
        </w:rPr>
        <w:t xml:space="preserve"> usług doradczych.</w:t>
      </w:r>
      <w:r w:rsidR="00753CC3" w:rsidRPr="006D71C7">
        <w:rPr>
          <w:rFonts w:eastAsia="Calibri"/>
        </w:rPr>
        <w:t xml:space="preserve"> Zainteresowanie ze strony przedsiębiorców jest bardzo duże</w:t>
      </w:r>
      <w:r w:rsidRPr="006D71C7">
        <w:rPr>
          <w:rFonts w:eastAsia="Calibri"/>
        </w:rPr>
        <w:t>,</w:t>
      </w:r>
      <w:r w:rsidR="00753CC3" w:rsidRPr="006D71C7">
        <w:rPr>
          <w:rFonts w:eastAsia="Calibri"/>
        </w:rPr>
        <w:t xml:space="preserve"> świadczy o</w:t>
      </w:r>
      <w:r w:rsidR="003D6481" w:rsidRPr="006D71C7">
        <w:rPr>
          <w:rFonts w:eastAsia="Calibri"/>
        </w:rPr>
        <w:t> </w:t>
      </w:r>
      <w:r w:rsidR="00753CC3" w:rsidRPr="006D71C7">
        <w:rPr>
          <w:rFonts w:eastAsia="Calibri"/>
        </w:rPr>
        <w:t xml:space="preserve">tym </w:t>
      </w:r>
      <w:r w:rsidR="000D436A" w:rsidRPr="006D71C7">
        <w:rPr>
          <w:rFonts w:eastAsia="Calibri"/>
        </w:rPr>
        <w:t>liczba</w:t>
      </w:r>
      <w:r w:rsidR="00753CC3" w:rsidRPr="006D71C7">
        <w:rPr>
          <w:rFonts w:eastAsia="Calibri"/>
        </w:rPr>
        <w:t xml:space="preserve"> składanych wniosków.</w:t>
      </w:r>
      <w:r w:rsidR="00405BC8" w:rsidRPr="006D71C7">
        <w:rPr>
          <w:rFonts w:ascii="Verdana" w:eastAsia="Calibri" w:hAnsi="Verdana" w:cs="Verdana"/>
          <w:sz w:val="20"/>
          <w:szCs w:val="20"/>
        </w:rPr>
        <w:t xml:space="preserve"> </w:t>
      </w:r>
      <w:r w:rsidR="00753CC3" w:rsidRPr="006D71C7">
        <w:t>P</w:t>
      </w:r>
      <w:r w:rsidR="00DD3162" w:rsidRPr="006D71C7">
        <w:t>rawie połowa projektów, które otrzymały dofinansowanie realiz</w:t>
      </w:r>
      <w:r w:rsidR="00A270AD" w:rsidRPr="006D71C7">
        <w:t>owana jest w gminach poniżej 50 </w:t>
      </w:r>
      <w:r w:rsidR="00DD3162" w:rsidRPr="006D71C7">
        <w:t xml:space="preserve">tys. mieszkańców. </w:t>
      </w:r>
      <w:r w:rsidR="001A72B4" w:rsidRPr="006D71C7">
        <w:t>Rozkład przedsiębiorstw według siedziby powiatów wskazuje, że</w:t>
      </w:r>
      <w:r w:rsidR="0058229F" w:rsidRPr="006D71C7">
        <w:t> </w:t>
      </w:r>
      <w:r w:rsidR="001A72B4" w:rsidRPr="006D71C7">
        <w:t>najchętniej i najskuteczniej o dofinansowanie z RPO WSL aplikują przedsiębiorcy z</w:t>
      </w:r>
      <w:r w:rsidR="0058229F" w:rsidRPr="006D71C7">
        <w:t> </w:t>
      </w:r>
      <w:r w:rsidR="001A72B4" w:rsidRPr="006D71C7">
        <w:t>bardzo dużych miast na prawach powiatu (liczących ponad 150 tys. mieszkańców)</w:t>
      </w:r>
      <w:r w:rsidR="0098519F" w:rsidRPr="006D71C7">
        <w:t xml:space="preserve"> ok. 31%</w:t>
      </w:r>
      <w:r w:rsidR="001A72B4" w:rsidRPr="006D71C7">
        <w:t>.</w:t>
      </w:r>
      <w:r w:rsidR="001A72B4" w:rsidRPr="006D71C7">
        <w:rPr>
          <w:sz w:val="20"/>
          <w:szCs w:val="20"/>
        </w:rPr>
        <w:t xml:space="preserve"> </w:t>
      </w:r>
      <w:r w:rsidR="001A72B4" w:rsidRPr="006D71C7">
        <w:t>N</w:t>
      </w:r>
      <w:r w:rsidR="00DD3162" w:rsidRPr="006D71C7">
        <w:t xml:space="preserve">ajwięcej projektów pod względem ilościowym </w:t>
      </w:r>
      <w:r w:rsidR="001A72B4" w:rsidRPr="006D71C7">
        <w:t>złożyli p</w:t>
      </w:r>
      <w:r w:rsidR="0098519F" w:rsidRPr="006D71C7">
        <w:t>rzedsiębiorcy mający siedzibę w </w:t>
      </w:r>
      <w:r w:rsidR="00DD3162" w:rsidRPr="006D71C7">
        <w:t>Częstochowie (161), natomiast biorąc pod uwagę wartość EFRR to przoduje Bielsko – Biała (31,83 mln EUR).</w:t>
      </w:r>
      <w:r w:rsidR="0098519F" w:rsidRPr="006D71C7">
        <w:t xml:space="preserve"> </w:t>
      </w:r>
      <w:r w:rsidR="00A11D5A" w:rsidRPr="006D71C7">
        <w:t xml:space="preserve">Według przeprowadzonego badania ewaluacyjnego </w:t>
      </w:r>
      <w:r w:rsidR="00A11D5A" w:rsidRPr="006D71C7">
        <w:rPr>
          <w:i/>
        </w:rPr>
        <w:t>Ocena wsparcia udzielanego przedsiębiorcom w ramach Regionalnego Programu Operacyjnego Województwa Śląskiego na lata 2007-2013</w:t>
      </w:r>
      <w:r w:rsidR="00D97AE2" w:rsidRPr="006D71C7">
        <w:rPr>
          <w:i/>
        </w:rPr>
        <w:t xml:space="preserve"> </w:t>
      </w:r>
      <w:r w:rsidR="00D97AE2" w:rsidRPr="006D71C7">
        <w:rPr>
          <w:bCs/>
        </w:rPr>
        <w:t>w wyniku realizacji projektów najwięcej pracowników</w:t>
      </w:r>
      <w:r w:rsidR="00A11D5A" w:rsidRPr="006D71C7">
        <w:rPr>
          <w:bCs/>
        </w:rPr>
        <w:t xml:space="preserve"> zatrudniono </w:t>
      </w:r>
      <w:r w:rsidR="00D97AE2" w:rsidRPr="006D71C7">
        <w:rPr>
          <w:bCs/>
        </w:rPr>
        <w:t>na </w:t>
      </w:r>
      <w:r w:rsidR="00A11D5A" w:rsidRPr="006D71C7">
        <w:rPr>
          <w:bCs/>
        </w:rPr>
        <w:t>stanowisko wysoko wykwalifikowanego specjalisty</w:t>
      </w:r>
      <w:r w:rsidR="00A11D5A" w:rsidRPr="006D71C7">
        <w:rPr>
          <w:b/>
          <w:bCs/>
        </w:rPr>
        <w:t xml:space="preserve"> </w:t>
      </w:r>
      <w:r w:rsidR="00A11D5A" w:rsidRPr="006D71C7">
        <w:t>(ok. 25% nowo utworzonych miejsc pracy), operatora, montera maszyn i urządzeń (23%) oraz technika i inne stanowiska średniego personelu (22%). Na pozostałe stanowiska nowe osoby były zatrudniane stosunkowo rzadziej.</w:t>
      </w:r>
    </w:p>
    <w:p w:rsidR="009147F8" w:rsidRPr="006D71C7" w:rsidRDefault="000D436A" w:rsidP="006D71C7">
      <w:pPr>
        <w:pStyle w:val="Default"/>
        <w:spacing w:after="120" w:line="276" w:lineRule="auto"/>
        <w:jc w:val="both"/>
        <w:rPr>
          <w:color w:val="auto"/>
          <w:sz w:val="20"/>
          <w:szCs w:val="20"/>
        </w:rPr>
      </w:pPr>
      <w:r w:rsidRPr="006D71C7">
        <w:rPr>
          <w:color w:val="auto"/>
        </w:rPr>
        <w:t xml:space="preserve">Kolejnym obszarem wspieranym w ramach przedmiotowego priorytetu jest </w:t>
      </w:r>
      <w:r w:rsidR="00A270AD" w:rsidRPr="006D71C7">
        <w:rPr>
          <w:color w:val="auto"/>
        </w:rPr>
        <w:t xml:space="preserve">obszar </w:t>
      </w:r>
      <w:r w:rsidRPr="006D71C7">
        <w:rPr>
          <w:color w:val="auto"/>
        </w:rPr>
        <w:t>B+R i</w:t>
      </w:r>
      <w:r w:rsidR="00A270AD" w:rsidRPr="006D71C7">
        <w:rPr>
          <w:color w:val="auto"/>
        </w:rPr>
        <w:t> </w:t>
      </w:r>
      <w:r w:rsidRPr="006D71C7">
        <w:rPr>
          <w:color w:val="auto"/>
        </w:rPr>
        <w:t>innowacje</w:t>
      </w:r>
      <w:r w:rsidR="00A270AD" w:rsidRPr="006D71C7">
        <w:rPr>
          <w:color w:val="auto"/>
        </w:rPr>
        <w:t>, który realizowany jest</w:t>
      </w:r>
      <w:r w:rsidR="0098519F" w:rsidRPr="006D71C7">
        <w:rPr>
          <w:color w:val="auto"/>
        </w:rPr>
        <w:t xml:space="preserve"> </w:t>
      </w:r>
      <w:r w:rsidR="00A270AD" w:rsidRPr="006D71C7">
        <w:rPr>
          <w:color w:val="auto"/>
        </w:rPr>
        <w:t xml:space="preserve">przez </w:t>
      </w:r>
      <w:r w:rsidR="00A270AD" w:rsidRPr="006D71C7">
        <w:rPr>
          <w:i/>
          <w:color w:val="auto"/>
        </w:rPr>
        <w:t>poddziałanie 1.2.3</w:t>
      </w:r>
      <w:r w:rsidR="00A270AD" w:rsidRPr="006D71C7">
        <w:rPr>
          <w:color w:val="auto"/>
        </w:rPr>
        <w:t xml:space="preserve"> i </w:t>
      </w:r>
      <w:r w:rsidR="00A270AD" w:rsidRPr="006D71C7">
        <w:rPr>
          <w:i/>
          <w:color w:val="auto"/>
        </w:rPr>
        <w:t>działanie 1.3</w:t>
      </w:r>
      <w:r w:rsidRPr="006D71C7">
        <w:rPr>
          <w:color w:val="auto"/>
        </w:rPr>
        <w:t>. P</w:t>
      </w:r>
      <w:r w:rsidR="00A270AD" w:rsidRPr="006D71C7">
        <w:rPr>
          <w:color w:val="auto"/>
        </w:rPr>
        <w:t>rojekty realizowane w </w:t>
      </w:r>
      <w:r w:rsidR="0098519F" w:rsidRPr="006D71C7">
        <w:rPr>
          <w:color w:val="auto"/>
        </w:rPr>
        <w:t xml:space="preserve">ramach </w:t>
      </w:r>
      <w:r w:rsidR="0098519F" w:rsidRPr="006D71C7">
        <w:rPr>
          <w:i/>
          <w:color w:val="auto"/>
        </w:rPr>
        <w:t>p</w:t>
      </w:r>
      <w:r w:rsidR="001A72B4" w:rsidRPr="006D71C7">
        <w:rPr>
          <w:i/>
          <w:color w:val="auto"/>
        </w:rPr>
        <w:t>oddziałania 1.2.3</w:t>
      </w:r>
      <w:r w:rsidR="001A72B4" w:rsidRPr="006D71C7">
        <w:rPr>
          <w:color w:val="auto"/>
        </w:rPr>
        <w:t xml:space="preserve"> można sklasyfikować według </w:t>
      </w:r>
      <w:r w:rsidR="001A72B4" w:rsidRPr="006D71C7">
        <w:rPr>
          <w:bCs/>
          <w:color w:val="auto"/>
        </w:rPr>
        <w:t>charakteru wdrażanej innowacji</w:t>
      </w:r>
      <w:r w:rsidR="0098519F" w:rsidRPr="006D71C7">
        <w:rPr>
          <w:color w:val="auto"/>
        </w:rPr>
        <w:t xml:space="preserve">. Wszystkie projekty z </w:t>
      </w:r>
      <w:r w:rsidR="0098519F" w:rsidRPr="006D71C7">
        <w:rPr>
          <w:i/>
          <w:color w:val="auto"/>
        </w:rPr>
        <w:t>p</w:t>
      </w:r>
      <w:r w:rsidR="001A72B4" w:rsidRPr="006D71C7">
        <w:rPr>
          <w:i/>
          <w:color w:val="auto"/>
        </w:rPr>
        <w:t>oddziałania 1.2.3</w:t>
      </w:r>
      <w:r w:rsidR="001A72B4" w:rsidRPr="006D71C7">
        <w:rPr>
          <w:color w:val="auto"/>
        </w:rPr>
        <w:t xml:space="preserve"> są projektami innowacyjnymi, zakładającymi podjęcie lub rozwój działalności B+R w mikro, małych i średnich przedsiębiorstwach oraz wdrażanie i komercjalizację technologii i produktów innowacyjnych. Według przeprowadzonego badania ewaluacyjnego </w:t>
      </w:r>
      <w:r w:rsidR="001A72B4" w:rsidRPr="006D71C7">
        <w:rPr>
          <w:i/>
          <w:color w:val="auto"/>
        </w:rPr>
        <w:t>Ocena wsparci</w:t>
      </w:r>
      <w:r w:rsidR="00A270AD" w:rsidRPr="006D71C7">
        <w:rPr>
          <w:i/>
          <w:color w:val="auto"/>
        </w:rPr>
        <w:t>a udzielanego przedsiębiorcom w </w:t>
      </w:r>
      <w:r w:rsidR="001A72B4" w:rsidRPr="006D71C7">
        <w:rPr>
          <w:i/>
          <w:color w:val="auto"/>
        </w:rPr>
        <w:t xml:space="preserve">ramach Regionalnego Programu Operacyjnego Województwa Śląskiego na lata 2007-2013 </w:t>
      </w:r>
      <w:r w:rsidR="001A72B4" w:rsidRPr="006D71C7">
        <w:rPr>
          <w:color w:val="auto"/>
        </w:rPr>
        <w:t>najczęściej wdrażane innowacj</w:t>
      </w:r>
      <w:r w:rsidR="00361BD6" w:rsidRPr="006D71C7">
        <w:rPr>
          <w:color w:val="auto"/>
        </w:rPr>
        <w:t>e</w:t>
      </w:r>
      <w:r w:rsidR="001A72B4" w:rsidRPr="006D71C7">
        <w:rPr>
          <w:color w:val="auto"/>
        </w:rPr>
        <w:t xml:space="preserve"> </w:t>
      </w:r>
      <w:r w:rsidR="00361BD6" w:rsidRPr="006D71C7">
        <w:rPr>
          <w:color w:val="auto"/>
        </w:rPr>
        <w:t xml:space="preserve">mają charakter </w:t>
      </w:r>
      <w:r w:rsidR="001A72B4" w:rsidRPr="006D71C7">
        <w:rPr>
          <w:color w:val="auto"/>
        </w:rPr>
        <w:t xml:space="preserve">procesowy (ponad 46%). W przypadku prawie 20% innowacyjnych projektów można mówić o innowacji produktowej. Warto zwrócić uwagę, że przedsiębiorstwa w województwie śląskim częściej starają się podnosić efektywność procesów, w celu zapewnienia doskonałości organizacyjnej oraz ograniczenia kosztów ponoszonych przez firmę, niż wprowadzać innowacyjne produkty. </w:t>
      </w:r>
      <w:r w:rsidR="00361BD6" w:rsidRPr="006D71C7">
        <w:rPr>
          <w:color w:val="auto"/>
        </w:rPr>
        <w:t>W</w:t>
      </w:r>
      <w:r w:rsidR="001A72B4" w:rsidRPr="006D71C7">
        <w:rPr>
          <w:color w:val="auto"/>
        </w:rPr>
        <w:t xml:space="preserve">drażane przez firmy </w:t>
      </w:r>
      <w:r w:rsidR="00361BD6" w:rsidRPr="006D71C7">
        <w:rPr>
          <w:color w:val="auto"/>
        </w:rPr>
        <w:t xml:space="preserve">innowacje procesowe </w:t>
      </w:r>
      <w:r w:rsidR="001A72B4" w:rsidRPr="006D71C7">
        <w:rPr>
          <w:color w:val="auto"/>
        </w:rPr>
        <w:t>często nie są wido</w:t>
      </w:r>
      <w:r w:rsidR="00A270AD" w:rsidRPr="006D71C7">
        <w:rPr>
          <w:color w:val="auto"/>
        </w:rPr>
        <w:t>czne dla ich klientów, jednak w </w:t>
      </w:r>
      <w:r w:rsidR="001A72B4" w:rsidRPr="006D71C7">
        <w:rPr>
          <w:color w:val="auto"/>
        </w:rPr>
        <w:t>znaczącym stopniu przyczyniają się do zwiększenia zysków przedsiębiorstwa. Natomiast innowacje produktowe wymagają znacznych nakładów ponoszonych na rozwój i marketing wdrażanej innowacji. Należy dodać, że innowacyjność około 34% projektów ma jednocześnie charakter procesowy i produktowy.</w:t>
      </w:r>
      <w:r w:rsidR="001A72B4" w:rsidRPr="006D71C7">
        <w:rPr>
          <w:color w:val="auto"/>
          <w:sz w:val="20"/>
          <w:szCs w:val="20"/>
        </w:rPr>
        <w:t xml:space="preserve"> </w:t>
      </w:r>
    </w:p>
    <w:p w:rsidR="00AF7C0F" w:rsidRDefault="00AF7C0F" w:rsidP="006D71C7">
      <w:pPr>
        <w:autoSpaceDE w:val="0"/>
        <w:autoSpaceDN w:val="0"/>
        <w:adjustRightInd w:val="0"/>
        <w:spacing w:after="0"/>
        <w:jc w:val="both"/>
        <w:rPr>
          <w:szCs w:val="24"/>
        </w:rPr>
      </w:pPr>
      <w:r w:rsidRPr="006D71C7">
        <w:rPr>
          <w:szCs w:val="24"/>
        </w:rPr>
        <w:t xml:space="preserve">Na uwagę zasługuje projekt firmy BESKID PLUS z Cieszyna </w:t>
      </w:r>
      <w:r w:rsidRPr="006D71C7">
        <w:rPr>
          <w:b/>
          <w:i/>
          <w:szCs w:val="24"/>
        </w:rPr>
        <w:t>Innowacyjny system produkcji opakowań dla archiwistyki w Beskid Plus w Cieszynie</w:t>
      </w:r>
      <w:r w:rsidRPr="006D71C7">
        <w:rPr>
          <w:noProof/>
          <w:szCs w:val="24"/>
        </w:rPr>
        <w:drawing>
          <wp:anchor distT="0" distB="0" distL="114300" distR="114300" simplePos="0" relativeHeight="251758080" behindDoc="1" locked="0" layoutInCell="1" allowOverlap="1">
            <wp:simplePos x="0" y="0"/>
            <wp:positionH relativeFrom="column">
              <wp:posOffset>22860</wp:posOffset>
            </wp:positionH>
            <wp:positionV relativeFrom="paragraph">
              <wp:posOffset>840740</wp:posOffset>
            </wp:positionV>
            <wp:extent cx="2713355" cy="1849755"/>
            <wp:effectExtent l="19050" t="0" r="0" b="0"/>
            <wp:wrapTight wrapText="bothSides">
              <wp:wrapPolygon edited="0">
                <wp:start x="-152" y="0"/>
                <wp:lineTo x="-152" y="21355"/>
                <wp:lineTo x="21534" y="21355"/>
                <wp:lineTo x="21534" y="0"/>
                <wp:lineTo x="-152" y="0"/>
              </wp:wrapPolygon>
            </wp:wrapTight>
            <wp:docPr id="41" name="zdj1" descr="http://rpo.slaskie.pl/zalaczniki/2012/02/29/1330525468.jpg">
              <a:hlinkClick xmlns:a="http://schemas.openxmlformats.org/drawingml/2006/main" r:id="rId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2/02/29/1330525468.jpg">
                      <a:hlinkClick r:id="rId73" tooltip="&quot;&quot;"/>
                    </pic:cNvPr>
                    <pic:cNvPicPr>
                      <a:picLocks noChangeAspect="1" noChangeArrowheads="1"/>
                    </pic:cNvPicPr>
                  </pic:nvPicPr>
                  <pic:blipFill>
                    <a:blip r:embed="rId74" cstate="print"/>
                    <a:srcRect/>
                    <a:stretch>
                      <a:fillRect/>
                    </a:stretch>
                  </pic:blipFill>
                  <pic:spPr bwMode="auto">
                    <a:xfrm>
                      <a:off x="0" y="0"/>
                      <a:ext cx="2713355" cy="1849755"/>
                    </a:xfrm>
                    <a:prstGeom prst="rect">
                      <a:avLst/>
                    </a:prstGeom>
                    <a:noFill/>
                    <a:ln w="9525">
                      <a:noFill/>
                      <a:miter lim="800000"/>
                      <a:headEnd/>
                      <a:tailEnd/>
                    </a:ln>
                  </pic:spPr>
                </pic:pic>
              </a:graphicData>
            </a:graphic>
          </wp:anchor>
        </w:drawing>
      </w:r>
      <w:r w:rsidR="00BB74E3">
        <w:rPr>
          <w:b/>
          <w:i/>
          <w:szCs w:val="24"/>
        </w:rPr>
        <w:t>, który realizuje Strategię EU 2020</w:t>
      </w:r>
      <w:r w:rsidRPr="006D71C7">
        <w:rPr>
          <w:b/>
          <w:i/>
          <w:szCs w:val="24"/>
        </w:rPr>
        <w:t xml:space="preserve">. </w:t>
      </w:r>
      <w:r w:rsidRPr="006D71C7">
        <w:rPr>
          <w:szCs w:val="24"/>
        </w:rPr>
        <w:t>Firma istnieje na rynku od ponad 20 lat. Jest pionierem bra</w:t>
      </w:r>
      <w:r w:rsidR="004218CA">
        <w:rPr>
          <w:szCs w:val="24"/>
        </w:rPr>
        <w:t>nży opakowań archiwizacyjnych w </w:t>
      </w:r>
      <w:r w:rsidRPr="006D71C7">
        <w:rPr>
          <w:szCs w:val="24"/>
        </w:rPr>
        <w:t>naszym kraju – jako pierwsza wprowadziła na rynek polski specjalistyczne opakowania do pr</w:t>
      </w:r>
      <w:r w:rsidR="004218CA">
        <w:rPr>
          <w:szCs w:val="24"/>
        </w:rPr>
        <w:t>zechowywania zbiorów wykonane z </w:t>
      </w:r>
      <w:r w:rsidRPr="006D71C7">
        <w:rPr>
          <w:szCs w:val="24"/>
        </w:rPr>
        <w:t>materiałów bezkwasowych. Obecnie jest liderem sp</w:t>
      </w:r>
      <w:r w:rsidR="004218CA">
        <w:rPr>
          <w:szCs w:val="24"/>
        </w:rPr>
        <w:t>rzedaży w tej branży w Polsce i </w:t>
      </w:r>
      <w:r w:rsidRPr="006D71C7">
        <w:rPr>
          <w:szCs w:val="24"/>
        </w:rPr>
        <w:t xml:space="preserve">głównym dostawcą dla Archiwów Państwowych. Do grona jej klientów należą największe polskie biblioteki, muzea i uniwersytety. Stworzony przez nią – w ramach projektu dofinansowanego z RPO WSL - </w:t>
      </w:r>
      <w:r w:rsidRPr="006D71C7">
        <w:rPr>
          <w:rStyle w:val="Pogrubienie"/>
          <w:b w:val="0"/>
          <w:szCs w:val="24"/>
        </w:rPr>
        <w:t>system OMNI–BOX</w:t>
      </w:r>
      <w:r w:rsidRPr="006D71C7">
        <w:rPr>
          <w:szCs w:val="24"/>
        </w:rPr>
        <w:t xml:space="preserve"> jest innowacyjną na polskim rynku ofertą produkcji opakowań o jednostkowych wymiarach wykonanych przy pomocy cyfrowego plotera tnąco – bigującego. Szeroki wybór konstrukcji opakowań i dopasowanie ich wielkości pod indywidualne rozmiary pozwala dobrać optymalne rozwiązanie przy zabezpieczaniu archiwaliów: inkunabułów, starodruków, książek, map, planów, grafik, dokumentów, obiektów muzealnych. Uzupełnieniem oferty systemu OMNI–BOX jest nieodpłatnie wypożyczany </w:t>
      </w:r>
      <w:r w:rsidRPr="006D71C7">
        <w:rPr>
          <w:rStyle w:val="Pogrubienie"/>
          <w:b w:val="0"/>
          <w:szCs w:val="24"/>
        </w:rPr>
        <w:t>instrument pomiarowy – Bookmetr</w:t>
      </w:r>
      <w:r w:rsidRPr="006D71C7">
        <w:rPr>
          <w:b/>
          <w:szCs w:val="24"/>
        </w:rPr>
        <w:t>.</w:t>
      </w:r>
      <w:r w:rsidRPr="006D71C7">
        <w:rPr>
          <w:szCs w:val="24"/>
        </w:rPr>
        <w:t xml:space="preserve"> Bookmetr umożliwia precyzyjny obmiar obiektów przeznaczonych do zabezpieczenia w opakowaniach bezkwasowych. Bezprzewodowy system przesyłu danych do komputera (technologia Bluetooth) usprawnia pracę i eliminuje możliwość pomyłki. Ploter tnąco-bigujący pozwala na</w:t>
      </w:r>
      <w:r w:rsidR="0058229F" w:rsidRPr="006D71C7">
        <w:rPr>
          <w:szCs w:val="24"/>
        </w:rPr>
        <w:t> </w:t>
      </w:r>
      <w:r w:rsidRPr="006D71C7">
        <w:rPr>
          <w:szCs w:val="24"/>
        </w:rPr>
        <w:t xml:space="preserve">precyzyjne wycinanie opakowań z różnego rodzaju materiałów oraz bigowanie – zaznaczanie miejsc zgięć. </w:t>
      </w:r>
    </w:p>
    <w:p w:rsidR="0060162D" w:rsidRDefault="0060162D" w:rsidP="006D71C7">
      <w:pPr>
        <w:autoSpaceDE w:val="0"/>
        <w:autoSpaceDN w:val="0"/>
        <w:adjustRightInd w:val="0"/>
        <w:spacing w:after="0"/>
        <w:jc w:val="both"/>
        <w:rPr>
          <w:szCs w:val="24"/>
        </w:rPr>
      </w:pPr>
    </w:p>
    <w:p w:rsidR="0060162D" w:rsidRPr="006D71C7" w:rsidRDefault="0060162D" w:rsidP="006D71C7">
      <w:pPr>
        <w:autoSpaceDE w:val="0"/>
        <w:autoSpaceDN w:val="0"/>
        <w:adjustRightInd w:val="0"/>
        <w:spacing w:after="0"/>
        <w:jc w:val="both"/>
        <w:rPr>
          <w:szCs w:val="24"/>
        </w:rPr>
      </w:pPr>
      <w:r>
        <w:rPr>
          <w:szCs w:val="24"/>
        </w:rPr>
        <w:t xml:space="preserve">W ramach przedmiotowego obszaru tj. przedsiębiorczość, B+R na terenie województwa śląskiego realizowane są także projekty w ramach dwóch krajowych programów operacyjnych. Szczegółowe informacje zostały przedstawione w pkt. 2.1.6.2 niniejszego </w:t>
      </w:r>
      <w:r w:rsidRPr="0060162D">
        <w:rPr>
          <w:i/>
          <w:szCs w:val="24"/>
        </w:rPr>
        <w:t>Sprawozdania.</w:t>
      </w:r>
    </w:p>
    <w:p w:rsidR="00D26040" w:rsidRPr="006D71C7" w:rsidRDefault="0005410E" w:rsidP="00BA2FE7">
      <w:pPr>
        <w:pStyle w:val="Nagwek1"/>
        <w:numPr>
          <w:ilvl w:val="2"/>
          <w:numId w:val="61"/>
        </w:numPr>
        <w:tabs>
          <w:tab w:val="left" w:pos="142"/>
        </w:tabs>
        <w:spacing w:after="120"/>
        <w:ind w:left="426" w:hanging="426"/>
        <w:jc w:val="both"/>
      </w:pPr>
      <w:bookmarkStart w:id="316" w:name="_Toc262031895"/>
      <w:bookmarkStart w:id="317" w:name="_Toc292789280"/>
      <w:bookmarkStart w:id="318" w:name="_Toc292793573"/>
      <w:bookmarkStart w:id="319" w:name="_Toc324853897"/>
      <w:bookmarkStart w:id="320" w:name="_Toc327259249"/>
      <w:r w:rsidRPr="006D71C7">
        <w:rPr>
          <w:bCs w:val="0"/>
          <w:szCs w:val="24"/>
        </w:rPr>
        <w:t xml:space="preserve">Opis istotnych problemów we wdrażaniu wraz z podjętymi środkami </w:t>
      </w:r>
      <w:r w:rsidRPr="006D71C7">
        <w:t>zaradczymi</w:t>
      </w:r>
      <w:bookmarkEnd w:id="316"/>
      <w:bookmarkEnd w:id="317"/>
      <w:bookmarkEnd w:id="318"/>
      <w:bookmarkEnd w:id="319"/>
      <w:bookmarkEnd w:id="320"/>
    </w:p>
    <w:p w:rsidR="00D26040" w:rsidRPr="006D71C7" w:rsidRDefault="00D26040" w:rsidP="006D71C7">
      <w:pPr>
        <w:jc w:val="both"/>
        <w:rPr>
          <w:i/>
        </w:rPr>
      </w:pPr>
      <w:r w:rsidRPr="006D71C7">
        <w:t>W okresie sprawozdawczym nie wystąpiły żadne problemy z wdrażaniem priorytetu.</w:t>
      </w:r>
      <w:r w:rsidR="0066614A" w:rsidRPr="006D71C7">
        <w:rPr>
          <w:szCs w:val="24"/>
        </w:rPr>
        <w:t xml:space="preserve"> IZ RPO WSL podjęła jedynie działania mające na celu szybsze i efektywniejsze wdrażanie środków </w:t>
      </w:r>
      <w:r w:rsidR="00361BD6" w:rsidRPr="006D71C7">
        <w:rPr>
          <w:szCs w:val="24"/>
        </w:rPr>
        <w:t xml:space="preserve">finansowych </w:t>
      </w:r>
      <w:r w:rsidR="0066614A" w:rsidRPr="006D71C7">
        <w:rPr>
          <w:szCs w:val="24"/>
        </w:rPr>
        <w:t xml:space="preserve">m.in. zorganizowano dodatkowe szkolenia dla beneficjentów z zakresu tematyki </w:t>
      </w:r>
      <w:r w:rsidR="0066614A" w:rsidRPr="006D71C7">
        <w:rPr>
          <w:i/>
          <w:szCs w:val="24"/>
        </w:rPr>
        <w:t>działania 1.3.</w:t>
      </w:r>
    </w:p>
    <w:p w:rsidR="007D50E8" w:rsidRPr="006D71C7" w:rsidRDefault="00D26040" w:rsidP="00BA2FE7">
      <w:pPr>
        <w:pStyle w:val="Nagwek1"/>
        <w:numPr>
          <w:ilvl w:val="1"/>
          <w:numId w:val="62"/>
        </w:numPr>
        <w:pBdr>
          <w:top w:val="single" w:sz="24" w:space="1" w:color="DE6A5C" w:themeColor="accent2" w:themeTint="99"/>
          <w:left w:val="single" w:sz="24" w:space="4" w:color="DE6A5C" w:themeColor="accent2" w:themeTint="99"/>
          <w:bottom w:val="single" w:sz="24" w:space="1" w:color="DE6A5C" w:themeColor="accent2" w:themeTint="99"/>
          <w:right w:val="single" w:sz="24" w:space="4" w:color="DE6A5C" w:themeColor="accent2" w:themeTint="99"/>
        </w:pBdr>
        <w:tabs>
          <w:tab w:val="left" w:pos="1560"/>
        </w:tabs>
        <w:spacing w:after="120"/>
        <w:ind w:left="357" w:hanging="357"/>
        <w:jc w:val="both"/>
      </w:pPr>
      <w:bookmarkStart w:id="321" w:name="_Toc327259250"/>
      <w:r w:rsidRPr="006D71C7">
        <w:t>PRIORYTET II SPOŁECZEŃSTWO INFORMACYJNE</w:t>
      </w:r>
      <w:bookmarkEnd w:id="321"/>
    </w:p>
    <w:p w:rsidR="004A2760" w:rsidRPr="006D71C7" w:rsidRDefault="004A2760" w:rsidP="00BA2FE7">
      <w:pPr>
        <w:pStyle w:val="Nagwek1"/>
        <w:numPr>
          <w:ilvl w:val="2"/>
          <w:numId w:val="62"/>
        </w:numPr>
        <w:tabs>
          <w:tab w:val="left" w:pos="1560"/>
        </w:tabs>
        <w:spacing w:after="120"/>
        <w:jc w:val="both"/>
      </w:pPr>
      <w:bookmarkStart w:id="322" w:name="_Toc292793575"/>
      <w:bookmarkStart w:id="323" w:name="_Toc324853899"/>
      <w:bookmarkStart w:id="324" w:name="_Toc327259251"/>
      <w:r w:rsidRPr="006D71C7">
        <w:t>Osiągnięcie celów i analiza postępów</w:t>
      </w:r>
      <w:bookmarkEnd w:id="322"/>
      <w:bookmarkEnd w:id="323"/>
      <w:bookmarkEnd w:id="324"/>
    </w:p>
    <w:p w:rsidR="00F346A6" w:rsidRPr="006D71C7" w:rsidRDefault="00F346A6" w:rsidP="00BA2FE7">
      <w:pPr>
        <w:pStyle w:val="Nagwek1"/>
        <w:numPr>
          <w:ilvl w:val="3"/>
          <w:numId w:val="62"/>
        </w:numPr>
        <w:tabs>
          <w:tab w:val="left" w:pos="1560"/>
        </w:tabs>
        <w:spacing w:before="120" w:after="120"/>
        <w:jc w:val="both"/>
        <w:rPr>
          <w:szCs w:val="24"/>
        </w:rPr>
      </w:pPr>
      <w:bookmarkStart w:id="325" w:name="_Toc292789282"/>
      <w:bookmarkStart w:id="326" w:name="_Toc292793576"/>
      <w:bookmarkStart w:id="327" w:name="_Toc292888958"/>
      <w:bookmarkStart w:id="328" w:name="_Toc324853900"/>
      <w:bookmarkStart w:id="329" w:name="_Toc327259252"/>
      <w:r w:rsidRPr="006D71C7">
        <w:rPr>
          <w:szCs w:val="24"/>
        </w:rPr>
        <w:t>Informacje na temat fizycznych i finansowych postępów priorytetu</w:t>
      </w:r>
      <w:bookmarkEnd w:id="325"/>
      <w:bookmarkEnd w:id="326"/>
      <w:bookmarkEnd w:id="327"/>
      <w:bookmarkEnd w:id="328"/>
      <w:bookmarkEnd w:id="329"/>
    </w:p>
    <w:p w:rsidR="00907F1A" w:rsidRPr="006D71C7" w:rsidRDefault="00907F1A" w:rsidP="006D71C7">
      <w:pPr>
        <w:pStyle w:val="Nagwek2"/>
        <w:numPr>
          <w:ilvl w:val="0"/>
          <w:numId w:val="0"/>
        </w:numPr>
        <w:spacing w:before="0" w:beforeAutospacing="0" w:after="120" w:afterAutospacing="0" w:line="276" w:lineRule="auto"/>
        <w:jc w:val="both"/>
        <w:rPr>
          <w:b w:val="0"/>
          <w:sz w:val="24"/>
          <w:szCs w:val="24"/>
        </w:rPr>
      </w:pPr>
      <w:bookmarkStart w:id="330" w:name="_Toc324786844"/>
      <w:bookmarkStart w:id="331" w:name="_Toc324853901"/>
      <w:bookmarkStart w:id="332" w:name="_Toc327259253"/>
      <w:r w:rsidRPr="006D71C7">
        <w:rPr>
          <w:b w:val="0"/>
          <w:sz w:val="24"/>
          <w:szCs w:val="24"/>
        </w:rPr>
        <w:t>W załącznik</w:t>
      </w:r>
      <w:r w:rsidR="00B87083"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dla priorytetu II, dla kolejnych lat w ujęciu kumulatywnym. Przedstawione informacje prezentowane są według stanu na koniec 2011 roku oparte na danych dotyczących operacji zakończonych. Określone zostały wartości docelowe dla 2010, 2013 i 2015 roku oraz zaprezentowano szacowaną wartość na podstawie podpisanych umów o dofinansowanie. Przedstawiono także wskaźniki przedmiotowego priorytetu w podziale na działania i poddziałania.</w:t>
      </w:r>
      <w:bookmarkEnd w:id="330"/>
      <w:bookmarkEnd w:id="331"/>
      <w:bookmarkEnd w:id="332"/>
    </w:p>
    <w:p w:rsidR="007D50E8" w:rsidRPr="006D71C7" w:rsidRDefault="007D50E8" w:rsidP="00BA2FE7">
      <w:pPr>
        <w:pStyle w:val="Nagwek1"/>
        <w:numPr>
          <w:ilvl w:val="3"/>
          <w:numId w:val="62"/>
        </w:numPr>
        <w:tabs>
          <w:tab w:val="left" w:pos="1560"/>
        </w:tabs>
        <w:spacing w:before="120" w:after="120"/>
        <w:jc w:val="both"/>
      </w:pPr>
      <w:bookmarkStart w:id="333" w:name="_Toc324853902"/>
      <w:bookmarkStart w:id="334" w:name="_Toc327259254"/>
      <w:r w:rsidRPr="006D71C7">
        <w:t>Analiza jakościowa (poziom priorytetu)</w:t>
      </w:r>
      <w:bookmarkEnd w:id="333"/>
      <w:bookmarkEnd w:id="334"/>
    </w:p>
    <w:p w:rsidR="00E16EC5" w:rsidRPr="006D71C7" w:rsidRDefault="00E16EC5" w:rsidP="006D71C7">
      <w:pPr>
        <w:spacing w:before="240"/>
        <w:jc w:val="both"/>
        <w:rPr>
          <w:b/>
          <w:i/>
          <w:szCs w:val="24"/>
        </w:rPr>
      </w:pPr>
      <w:r w:rsidRPr="006D71C7">
        <w:rPr>
          <w:b/>
          <w:i/>
          <w:szCs w:val="24"/>
        </w:rPr>
        <w:t>Informacje ogólne</w:t>
      </w:r>
    </w:p>
    <w:p w:rsidR="00F346A6" w:rsidRPr="006D71C7" w:rsidRDefault="00FD4E72" w:rsidP="006D71C7">
      <w:pPr>
        <w:spacing w:before="240"/>
        <w:jc w:val="both"/>
        <w:rPr>
          <w:szCs w:val="24"/>
        </w:rPr>
      </w:pPr>
      <w:r w:rsidRPr="006D71C7">
        <w:rPr>
          <w:szCs w:val="24"/>
        </w:rPr>
        <w:t>Celem głównym p</w:t>
      </w:r>
      <w:r w:rsidR="00F346A6" w:rsidRPr="006D71C7">
        <w:rPr>
          <w:szCs w:val="24"/>
        </w:rPr>
        <w:t xml:space="preserve">riorytetu II jest </w:t>
      </w:r>
      <w:r w:rsidR="00F346A6" w:rsidRPr="006D71C7">
        <w:rPr>
          <w:i/>
          <w:szCs w:val="24"/>
        </w:rPr>
        <w:t>stworzenie warunków do rozwoju społeczeństwa informacyjnego w regionie</w:t>
      </w:r>
      <w:r w:rsidR="00F346A6" w:rsidRPr="006D71C7">
        <w:rPr>
          <w:szCs w:val="24"/>
        </w:rPr>
        <w:t xml:space="preserve">. W ramach priorytetu wspierane </w:t>
      </w:r>
      <w:r w:rsidR="00B87083" w:rsidRPr="006D71C7">
        <w:rPr>
          <w:szCs w:val="24"/>
        </w:rPr>
        <w:t xml:space="preserve">są </w:t>
      </w:r>
      <w:r w:rsidR="00F346A6" w:rsidRPr="006D71C7">
        <w:rPr>
          <w:szCs w:val="24"/>
        </w:rPr>
        <w:t>działania w zakresie zapewnienia szybkiego i bezpiecznego dostępu do Internetu, a także rozwój usług publicznych świadczonych drogą elektroniczną.</w:t>
      </w:r>
    </w:p>
    <w:p w:rsidR="00F346A6" w:rsidRPr="006D71C7" w:rsidRDefault="00F346A6" w:rsidP="006D71C7">
      <w:pPr>
        <w:spacing w:after="120"/>
        <w:jc w:val="both"/>
        <w:rPr>
          <w:szCs w:val="24"/>
        </w:rPr>
      </w:pPr>
      <w:r w:rsidRPr="006D71C7">
        <w:rPr>
          <w:szCs w:val="24"/>
        </w:rPr>
        <w:t>Realiz</w:t>
      </w:r>
      <w:r w:rsidR="003F1C31" w:rsidRPr="006D71C7">
        <w:rPr>
          <w:szCs w:val="24"/>
        </w:rPr>
        <w:t>acji p</w:t>
      </w:r>
      <w:r w:rsidR="00C1573B" w:rsidRPr="006D71C7">
        <w:rPr>
          <w:szCs w:val="24"/>
        </w:rPr>
        <w:t>riorytetu służą</w:t>
      </w:r>
      <w:r w:rsidRPr="006D71C7">
        <w:rPr>
          <w:szCs w:val="24"/>
        </w:rPr>
        <w:t xml:space="preserve"> dwa działania:</w:t>
      </w:r>
    </w:p>
    <w:p w:rsidR="00F346A6" w:rsidRPr="006D71C7" w:rsidRDefault="00F346A6" w:rsidP="006D71C7">
      <w:pPr>
        <w:pStyle w:val="Akapitzlist"/>
        <w:numPr>
          <w:ilvl w:val="0"/>
          <w:numId w:val="4"/>
        </w:numPr>
        <w:spacing w:after="0"/>
        <w:jc w:val="both"/>
        <w:rPr>
          <w:i/>
          <w:szCs w:val="24"/>
        </w:rPr>
      </w:pPr>
      <w:r w:rsidRPr="006D71C7">
        <w:rPr>
          <w:i/>
          <w:szCs w:val="24"/>
        </w:rPr>
        <w:t>2.1 Infrastruktura społeczeństwa informacyjnego,</w:t>
      </w:r>
    </w:p>
    <w:p w:rsidR="00F346A6" w:rsidRPr="006D71C7" w:rsidRDefault="00F346A6" w:rsidP="006D71C7">
      <w:pPr>
        <w:pStyle w:val="Akapitzlist"/>
        <w:numPr>
          <w:ilvl w:val="0"/>
          <w:numId w:val="4"/>
        </w:numPr>
        <w:spacing w:after="120"/>
        <w:ind w:left="714" w:hanging="357"/>
        <w:jc w:val="both"/>
        <w:rPr>
          <w:szCs w:val="24"/>
        </w:rPr>
      </w:pPr>
      <w:r w:rsidRPr="006D71C7">
        <w:rPr>
          <w:i/>
          <w:szCs w:val="24"/>
        </w:rPr>
        <w:t>2.2 Rozwój elektronicznych usług publicznych</w:t>
      </w:r>
      <w:r w:rsidR="00FD4E72" w:rsidRPr="006D71C7">
        <w:rPr>
          <w:szCs w:val="24"/>
        </w:rPr>
        <w:t>.</w:t>
      </w:r>
    </w:p>
    <w:p w:rsidR="00F346A6" w:rsidRPr="006D71C7" w:rsidRDefault="00F346A6" w:rsidP="006D71C7">
      <w:pPr>
        <w:jc w:val="both"/>
        <w:rPr>
          <w:szCs w:val="24"/>
        </w:rPr>
      </w:pPr>
      <w:r w:rsidRPr="006D71C7">
        <w:rPr>
          <w:szCs w:val="24"/>
        </w:rPr>
        <w:t xml:space="preserve">Na realizację </w:t>
      </w:r>
      <w:r w:rsidR="0058229F" w:rsidRPr="006D71C7">
        <w:rPr>
          <w:szCs w:val="24"/>
        </w:rPr>
        <w:t>p</w:t>
      </w:r>
      <w:r w:rsidRPr="006D71C7">
        <w:rPr>
          <w:szCs w:val="24"/>
        </w:rPr>
        <w:t>riorytetu II alokowano 150 000 000 EUR poc</w:t>
      </w:r>
      <w:r w:rsidR="00FD4E72" w:rsidRPr="006D71C7">
        <w:rPr>
          <w:szCs w:val="24"/>
        </w:rPr>
        <w:t>hodzących z EFRR, co stanowi 8,59</w:t>
      </w:r>
      <w:r w:rsidRPr="006D71C7">
        <w:rPr>
          <w:szCs w:val="24"/>
        </w:rPr>
        <w:t xml:space="preserve">% wartości </w:t>
      </w:r>
      <w:r w:rsidRPr="006D71C7">
        <w:rPr>
          <w:i/>
          <w:szCs w:val="24"/>
        </w:rPr>
        <w:t>Programu</w:t>
      </w:r>
      <w:r w:rsidRPr="006D71C7">
        <w:rPr>
          <w:szCs w:val="24"/>
        </w:rPr>
        <w:t>.</w:t>
      </w:r>
    </w:p>
    <w:p w:rsidR="00FD4E72" w:rsidRPr="006D71C7" w:rsidRDefault="00FD4E72" w:rsidP="006D71C7">
      <w:pPr>
        <w:autoSpaceDE w:val="0"/>
        <w:autoSpaceDN w:val="0"/>
        <w:adjustRightInd w:val="0"/>
        <w:spacing w:after="240"/>
        <w:jc w:val="both"/>
        <w:rPr>
          <w:rFonts w:eastAsia="Calibri"/>
          <w:szCs w:val="24"/>
        </w:rPr>
      </w:pPr>
      <w:r w:rsidRPr="006D71C7">
        <w:rPr>
          <w:rFonts w:eastAsia="Calibri"/>
          <w:szCs w:val="24"/>
        </w:rPr>
        <w:t xml:space="preserve">Na realizację Strategii Europa 2020 przeznaczono środki EFRR stanowiące </w:t>
      </w:r>
      <w:r w:rsidRPr="006D71C7">
        <w:rPr>
          <w:rFonts w:eastAsia="Calibri"/>
          <w:bCs/>
          <w:szCs w:val="24"/>
        </w:rPr>
        <w:t>100%</w:t>
      </w:r>
      <w:r w:rsidRPr="006D71C7">
        <w:rPr>
          <w:rFonts w:eastAsia="Calibri"/>
          <w:b/>
          <w:bCs/>
          <w:szCs w:val="24"/>
        </w:rPr>
        <w:t xml:space="preserve"> </w:t>
      </w:r>
      <w:r w:rsidRPr="006D71C7">
        <w:rPr>
          <w:rFonts w:eastAsia="Calibri"/>
          <w:szCs w:val="24"/>
        </w:rPr>
        <w:t>alokacji w ramach całego priorytetu II.</w:t>
      </w:r>
    </w:p>
    <w:p w:rsidR="00FA491E" w:rsidRPr="006D71C7" w:rsidRDefault="00FA491E" w:rsidP="006D71C7">
      <w:pPr>
        <w:widowControl w:val="0"/>
        <w:autoSpaceDE w:val="0"/>
        <w:autoSpaceDN w:val="0"/>
        <w:adjustRightInd w:val="0"/>
        <w:spacing w:after="240"/>
        <w:ind w:right="-23"/>
        <w:jc w:val="both"/>
        <w:rPr>
          <w:szCs w:val="24"/>
        </w:rPr>
      </w:pPr>
      <w:r w:rsidRPr="006D71C7">
        <w:rPr>
          <w:szCs w:val="24"/>
        </w:rPr>
        <w:t xml:space="preserve">Opis wkładu osi priorytetowej w promowanie równości szans kobiet i mężczyzn znajduje się w pkt. 2.2.1 </w:t>
      </w:r>
      <w:r w:rsidRPr="006D71C7">
        <w:rPr>
          <w:i/>
          <w:szCs w:val="24"/>
        </w:rPr>
        <w:t>Sprawozdania.</w:t>
      </w:r>
    </w:p>
    <w:p w:rsidR="00FA491E" w:rsidRPr="006D71C7" w:rsidRDefault="00FA491E" w:rsidP="006D71C7">
      <w:pPr>
        <w:widowControl w:val="0"/>
        <w:autoSpaceDE w:val="0"/>
        <w:autoSpaceDN w:val="0"/>
        <w:adjustRightInd w:val="0"/>
        <w:spacing w:after="240"/>
        <w:ind w:right="-23"/>
        <w:jc w:val="both"/>
        <w:rPr>
          <w:szCs w:val="24"/>
        </w:rPr>
      </w:pPr>
      <w:r w:rsidRPr="006D71C7">
        <w:rPr>
          <w:szCs w:val="24"/>
        </w:rPr>
        <w:t xml:space="preserve">Informacje nt. zasady cross – financing realizowanej w ramach przedmiotowego priorytetu znajdują się w pkt. 2.6.3 </w:t>
      </w:r>
      <w:r w:rsidRPr="006D71C7">
        <w:rPr>
          <w:i/>
          <w:szCs w:val="24"/>
        </w:rPr>
        <w:t>Sprawozdania.</w:t>
      </w:r>
    </w:p>
    <w:p w:rsidR="00FA491E" w:rsidRPr="006D71C7" w:rsidRDefault="00FA491E" w:rsidP="006D71C7">
      <w:pPr>
        <w:widowControl w:val="0"/>
        <w:autoSpaceDE w:val="0"/>
        <w:autoSpaceDN w:val="0"/>
        <w:adjustRightInd w:val="0"/>
        <w:spacing w:after="240"/>
        <w:ind w:right="-23"/>
        <w:jc w:val="both"/>
        <w:rPr>
          <w:szCs w:val="24"/>
        </w:rPr>
      </w:pPr>
      <w:r w:rsidRPr="006D71C7">
        <w:rPr>
          <w:szCs w:val="24"/>
        </w:rPr>
        <w:t>IZ RPO WSL nie planuje żadnych zmian w alokacji priorytetu.</w:t>
      </w:r>
    </w:p>
    <w:p w:rsidR="00FA491E" w:rsidRPr="006D71C7" w:rsidRDefault="00FA491E" w:rsidP="006D71C7">
      <w:pPr>
        <w:widowControl w:val="0"/>
        <w:autoSpaceDE w:val="0"/>
        <w:autoSpaceDN w:val="0"/>
        <w:adjustRightInd w:val="0"/>
        <w:spacing w:after="240"/>
        <w:ind w:right="-23"/>
        <w:jc w:val="both"/>
        <w:rPr>
          <w:szCs w:val="24"/>
        </w:rPr>
      </w:pPr>
      <w:r w:rsidRPr="006D71C7">
        <w:t>Do końca okresu sprawozdawczego nie zostały wykonane żadne badania ewaluacyjne dot. wsparcia w ramach przedmiotowego priorytetu</w:t>
      </w:r>
      <w:r w:rsidR="000C0725" w:rsidRPr="006D71C7">
        <w:t xml:space="preserve"> (ewaluacja w zakresie e-usług zaplanowana jest na 2012 rok)</w:t>
      </w:r>
      <w:r w:rsidRPr="006D71C7">
        <w:t>.</w:t>
      </w:r>
    </w:p>
    <w:p w:rsidR="008B4113" w:rsidRPr="006D71C7" w:rsidRDefault="00E16EC5" w:rsidP="006D71C7">
      <w:pPr>
        <w:jc w:val="both"/>
        <w:rPr>
          <w:b/>
          <w:i/>
          <w:szCs w:val="24"/>
        </w:rPr>
      </w:pPr>
      <w:r w:rsidRPr="006D71C7">
        <w:rPr>
          <w:b/>
          <w:i/>
          <w:szCs w:val="24"/>
        </w:rPr>
        <w:t>Postęp wdrażania</w:t>
      </w:r>
      <w:r w:rsidR="0028774B" w:rsidRPr="006D71C7">
        <w:rPr>
          <w:b/>
          <w:i/>
          <w:szCs w:val="24"/>
        </w:rPr>
        <w:t xml:space="preserve"> priorytetu II</w:t>
      </w:r>
    </w:p>
    <w:p w:rsidR="00555F67" w:rsidRPr="006D71C7" w:rsidRDefault="008B4113" w:rsidP="006D71C7">
      <w:pPr>
        <w:spacing w:after="0"/>
        <w:jc w:val="both"/>
        <w:rPr>
          <w:szCs w:val="24"/>
        </w:rPr>
      </w:pPr>
      <w:r w:rsidRPr="006D71C7">
        <w:rPr>
          <w:szCs w:val="24"/>
        </w:rPr>
        <w:t>Wszystkie zmienne przedstawione na poniższym wykresie wykazują dodatnią dynamikę wzrostu</w:t>
      </w:r>
      <w:r w:rsidR="00594361" w:rsidRPr="006D71C7">
        <w:rPr>
          <w:szCs w:val="24"/>
        </w:rPr>
        <w:t xml:space="preserve">. </w:t>
      </w:r>
      <w:r w:rsidRPr="006D71C7">
        <w:rPr>
          <w:szCs w:val="24"/>
        </w:rPr>
        <w:t>W okresie sprawozdawczym zatwierdzono ponad 50% wniosków do dofinansowania z wszystkich dotychczas zatwierdzonych</w:t>
      </w:r>
      <w:r w:rsidR="00594361" w:rsidRPr="006D71C7">
        <w:rPr>
          <w:szCs w:val="24"/>
        </w:rPr>
        <w:t xml:space="preserve"> wniosków</w:t>
      </w:r>
      <w:r w:rsidRPr="006D71C7">
        <w:rPr>
          <w:szCs w:val="24"/>
        </w:rPr>
        <w:t xml:space="preserve">. Poziom kontraktacji w okresie sprawozdawczym </w:t>
      </w:r>
      <w:r w:rsidR="000C0725" w:rsidRPr="006D71C7">
        <w:rPr>
          <w:szCs w:val="24"/>
        </w:rPr>
        <w:t xml:space="preserve">także </w:t>
      </w:r>
      <w:r w:rsidRPr="006D71C7">
        <w:rPr>
          <w:szCs w:val="24"/>
        </w:rPr>
        <w:t xml:space="preserve">znacznie wzrósł. </w:t>
      </w:r>
      <w:r w:rsidR="0011735D" w:rsidRPr="006D71C7">
        <w:rPr>
          <w:szCs w:val="24"/>
        </w:rPr>
        <w:t>Spowolniony postęp wdrażania przedmiotowego priorytetu wynikał głównie z</w:t>
      </w:r>
      <w:r w:rsidR="00372F8E" w:rsidRPr="006D71C7">
        <w:rPr>
          <w:szCs w:val="24"/>
        </w:rPr>
        <w:t xml:space="preserve"> problemów</w:t>
      </w:r>
      <w:r w:rsidR="000C0725" w:rsidRPr="006D71C7">
        <w:rPr>
          <w:szCs w:val="24"/>
        </w:rPr>
        <w:t>,</w:t>
      </w:r>
      <w:r w:rsidR="00372F8E" w:rsidRPr="006D71C7">
        <w:rPr>
          <w:szCs w:val="24"/>
        </w:rPr>
        <w:t xml:space="preserve"> </w:t>
      </w:r>
      <w:r w:rsidR="00334871" w:rsidRPr="006D71C7">
        <w:rPr>
          <w:szCs w:val="24"/>
        </w:rPr>
        <w:t xml:space="preserve">jakie </w:t>
      </w:r>
      <w:r w:rsidR="00372F8E" w:rsidRPr="006D71C7">
        <w:rPr>
          <w:szCs w:val="24"/>
        </w:rPr>
        <w:t xml:space="preserve">przysparzało wdrażanie i realizacja </w:t>
      </w:r>
      <w:r w:rsidR="0011735D" w:rsidRPr="006D71C7">
        <w:rPr>
          <w:i/>
          <w:szCs w:val="24"/>
        </w:rPr>
        <w:t>d</w:t>
      </w:r>
      <w:r w:rsidR="00372F8E" w:rsidRPr="006D71C7">
        <w:rPr>
          <w:i/>
          <w:szCs w:val="24"/>
        </w:rPr>
        <w:t>ziałania 2.1.</w:t>
      </w:r>
      <w:r w:rsidR="000C0725" w:rsidRPr="006D71C7">
        <w:rPr>
          <w:i/>
          <w:szCs w:val="24"/>
        </w:rPr>
        <w:t>,</w:t>
      </w:r>
      <w:r w:rsidR="00372F8E" w:rsidRPr="006D71C7">
        <w:rPr>
          <w:szCs w:val="24"/>
        </w:rPr>
        <w:t xml:space="preserve"> czyli  inwestycji z zakresu budowy sieci szerokopasmowych</w:t>
      </w:r>
      <w:r w:rsidR="00423B8A" w:rsidRPr="006D71C7">
        <w:rPr>
          <w:szCs w:val="24"/>
        </w:rPr>
        <w:t>.</w:t>
      </w:r>
    </w:p>
    <w:p w:rsidR="00423B8A" w:rsidRPr="006D71C7" w:rsidRDefault="00423B8A" w:rsidP="006D71C7">
      <w:pPr>
        <w:spacing w:after="0"/>
        <w:jc w:val="both"/>
        <w:rPr>
          <w:szCs w:val="24"/>
        </w:rPr>
      </w:pPr>
    </w:p>
    <w:p w:rsidR="00423B8A" w:rsidRPr="006D71C7" w:rsidRDefault="00423B8A" w:rsidP="006D71C7">
      <w:pPr>
        <w:spacing w:after="0"/>
        <w:ind w:left="-709"/>
        <w:jc w:val="both"/>
        <w:rPr>
          <w:szCs w:val="24"/>
        </w:rPr>
      </w:pPr>
      <w:r w:rsidRPr="006D71C7">
        <w:rPr>
          <w:noProof/>
          <w:szCs w:val="24"/>
        </w:rPr>
        <w:drawing>
          <wp:inline distT="0" distB="0" distL="0" distR="0">
            <wp:extent cx="6851636" cy="3202615"/>
            <wp:effectExtent l="38100" t="19050" r="25414" b="0"/>
            <wp:docPr id="23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23B8A" w:rsidRPr="006D71C7" w:rsidRDefault="00423B8A" w:rsidP="006D71C7">
      <w:pPr>
        <w:pStyle w:val="Legenda"/>
        <w:jc w:val="both"/>
        <w:rPr>
          <w:color w:val="auto"/>
          <w:sz w:val="20"/>
          <w:szCs w:val="20"/>
        </w:rPr>
      </w:pPr>
    </w:p>
    <w:p w:rsidR="001915C3" w:rsidRPr="006D71C7" w:rsidRDefault="007338BD" w:rsidP="006D71C7">
      <w:pPr>
        <w:pStyle w:val="Legenda"/>
        <w:jc w:val="both"/>
        <w:rPr>
          <w:color w:val="auto"/>
          <w:sz w:val="20"/>
          <w:szCs w:val="20"/>
        </w:rPr>
      </w:pPr>
      <w:bookmarkStart w:id="335" w:name="_Toc324853713"/>
      <w:bookmarkStart w:id="336" w:name="_Toc326055345"/>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27</w:t>
      </w:r>
      <w:r w:rsidR="008F7228">
        <w:rPr>
          <w:color w:val="auto"/>
          <w:sz w:val="20"/>
          <w:szCs w:val="20"/>
        </w:rPr>
        <w:fldChar w:fldCharType="end"/>
      </w:r>
      <w:r w:rsidR="00927C99" w:rsidRPr="006D71C7">
        <w:rPr>
          <w:color w:val="auto"/>
        </w:rPr>
        <w:t xml:space="preserve"> </w:t>
      </w:r>
      <w:r w:rsidR="009D7CA0" w:rsidRPr="006D71C7">
        <w:rPr>
          <w:b w:val="0"/>
          <w:i/>
          <w:color w:val="auto"/>
          <w:sz w:val="20"/>
          <w:szCs w:val="20"/>
        </w:rPr>
        <w:t>Realizacja priorytetu II od uruchomienia Programu</w:t>
      </w:r>
      <w:r w:rsidR="00C22E27" w:rsidRPr="006D71C7">
        <w:rPr>
          <w:b w:val="0"/>
          <w:i/>
          <w:color w:val="auto"/>
          <w:sz w:val="20"/>
          <w:szCs w:val="20"/>
        </w:rPr>
        <w:t xml:space="preserve"> i w okresie sprawozdawczym</w:t>
      </w:r>
      <w:bookmarkEnd w:id="335"/>
      <w:bookmarkEnd w:id="336"/>
    </w:p>
    <w:p w:rsidR="00334871" w:rsidRPr="006D71C7" w:rsidRDefault="009D7CA0" w:rsidP="006D71C7">
      <w:pPr>
        <w:spacing w:after="0"/>
        <w:jc w:val="both"/>
        <w:rPr>
          <w:szCs w:val="24"/>
        </w:rPr>
      </w:pPr>
      <w:r w:rsidRPr="006D71C7">
        <w:rPr>
          <w:szCs w:val="24"/>
        </w:rPr>
        <w:t xml:space="preserve">Poniżej w tabeli przedstawiono postęp realizacji priorytetu II w podziale na działania. Stopień wykorzystania alokacji w poszczególnych działaniach jest bardzo zróżnicowany. </w:t>
      </w:r>
      <w:r w:rsidR="00C0576B" w:rsidRPr="006D71C7">
        <w:rPr>
          <w:szCs w:val="24"/>
        </w:rPr>
        <w:t xml:space="preserve">Najwięcej problemów przysparzało wdrażanie i realizacja </w:t>
      </w:r>
      <w:r w:rsidR="00C0576B" w:rsidRPr="006D71C7">
        <w:rPr>
          <w:i/>
          <w:szCs w:val="24"/>
        </w:rPr>
        <w:t>działania 2.1</w:t>
      </w:r>
      <w:r w:rsidR="00C318D3" w:rsidRPr="006D71C7">
        <w:rPr>
          <w:szCs w:val="24"/>
        </w:rPr>
        <w:t xml:space="preserve">, szczegółowe informacje dot. problemów z wdrażaniem ww. działania zostały opisane w pkt. 3.2.2 niniejszego </w:t>
      </w:r>
      <w:r w:rsidR="00C318D3" w:rsidRPr="006D71C7">
        <w:rPr>
          <w:i/>
          <w:szCs w:val="24"/>
        </w:rPr>
        <w:t>Sprawozdania</w:t>
      </w:r>
      <w:r w:rsidR="00C318D3" w:rsidRPr="006D71C7">
        <w:rPr>
          <w:szCs w:val="24"/>
        </w:rPr>
        <w:t xml:space="preserve">. </w:t>
      </w:r>
      <w:r w:rsidR="00334871" w:rsidRPr="006D71C7">
        <w:rPr>
          <w:szCs w:val="24"/>
        </w:rPr>
        <w:t xml:space="preserve">Problemy z wdrażaniem </w:t>
      </w:r>
      <w:r w:rsidR="00C0576B" w:rsidRPr="006D71C7">
        <w:rPr>
          <w:i/>
          <w:szCs w:val="24"/>
        </w:rPr>
        <w:t xml:space="preserve">działania 2.1 </w:t>
      </w:r>
      <w:r w:rsidR="00334871" w:rsidRPr="006D71C7">
        <w:rPr>
          <w:szCs w:val="24"/>
        </w:rPr>
        <w:t>spowodowały</w:t>
      </w:r>
      <w:r w:rsidR="00C0576B" w:rsidRPr="006D71C7">
        <w:rPr>
          <w:i/>
          <w:szCs w:val="24"/>
        </w:rPr>
        <w:t xml:space="preserve"> </w:t>
      </w:r>
      <w:r w:rsidR="00334871" w:rsidRPr="006D71C7">
        <w:rPr>
          <w:szCs w:val="24"/>
        </w:rPr>
        <w:t>późne jego uruchomienie</w:t>
      </w:r>
      <w:r w:rsidR="00C0576B" w:rsidRPr="006D71C7">
        <w:rPr>
          <w:szCs w:val="24"/>
        </w:rPr>
        <w:t xml:space="preserve">: pierwszy konkurs rozpoczął się </w:t>
      </w:r>
      <w:r w:rsidR="00C318D3" w:rsidRPr="006D71C7">
        <w:rPr>
          <w:szCs w:val="24"/>
        </w:rPr>
        <w:t>na początku 2010 roku, a pierwsze umowy o dofinansowanie podpisano w drugiej połowie 2010 r.</w:t>
      </w:r>
      <w:r w:rsidR="00334871" w:rsidRPr="006D71C7">
        <w:rPr>
          <w:szCs w:val="24"/>
        </w:rPr>
        <w:t>, stąd do końca okresu sprawozdawczego stopień wykorzystania alokacji był na niskim poziomie.</w:t>
      </w:r>
      <w:r w:rsidR="00C318D3" w:rsidRPr="006D71C7">
        <w:rPr>
          <w:szCs w:val="24"/>
        </w:rPr>
        <w:t xml:space="preserve"> </w:t>
      </w:r>
      <w:r w:rsidR="000C0725" w:rsidRPr="006D71C7">
        <w:rPr>
          <w:szCs w:val="24"/>
        </w:rPr>
        <w:t>R</w:t>
      </w:r>
      <w:r w:rsidR="00334871" w:rsidRPr="006D71C7">
        <w:rPr>
          <w:szCs w:val="24"/>
        </w:rPr>
        <w:t xml:space="preserve">ealizacja </w:t>
      </w:r>
      <w:r w:rsidR="00334871" w:rsidRPr="006D71C7">
        <w:rPr>
          <w:i/>
          <w:szCs w:val="24"/>
        </w:rPr>
        <w:t>działania 2.2</w:t>
      </w:r>
      <w:r w:rsidR="00334871" w:rsidRPr="006D71C7">
        <w:rPr>
          <w:szCs w:val="24"/>
        </w:rPr>
        <w:t>, idzie bardzo sprawnie, działanie cieszy się dużą popularnością wśród beneficjentów świadczy o tym fakt</w:t>
      </w:r>
      <w:r w:rsidR="004C66A8" w:rsidRPr="006D71C7">
        <w:rPr>
          <w:szCs w:val="24"/>
        </w:rPr>
        <w:t xml:space="preserve"> ilości składanych projektów do </w:t>
      </w:r>
      <w:r w:rsidR="00334871" w:rsidRPr="006D71C7">
        <w:rPr>
          <w:szCs w:val="24"/>
        </w:rPr>
        <w:t>dofinansowania. Zakontraktowanych środków jest już ponad 75%.</w:t>
      </w:r>
    </w:p>
    <w:p w:rsidR="00B836D9" w:rsidRPr="006D71C7" w:rsidRDefault="00C318D3" w:rsidP="006D71C7">
      <w:pPr>
        <w:spacing w:after="0"/>
        <w:jc w:val="both"/>
        <w:rPr>
          <w:szCs w:val="24"/>
        </w:rPr>
      </w:pPr>
      <w:r w:rsidRPr="006D71C7">
        <w:rPr>
          <w:szCs w:val="24"/>
        </w:rPr>
        <w:t xml:space="preserve">Aby jak najlepiej wydatkować środki, IZ RPO WSL postanowiła ogłosić w kolejnym roku sprawozdawczym 2 dodatkowe konkursy – po jednym z każdego działania. </w:t>
      </w:r>
      <w:r w:rsidR="00334871" w:rsidRPr="006D71C7">
        <w:rPr>
          <w:szCs w:val="24"/>
        </w:rPr>
        <w:t>W celu usprawnienia wydawania pieniędzy oraz zwiększenia</w:t>
      </w:r>
      <w:r w:rsidRPr="006D71C7">
        <w:rPr>
          <w:szCs w:val="24"/>
        </w:rPr>
        <w:t xml:space="preserve"> szanse powodzenia inwestycji, w obu naborach na etapie złożenia wniosku o dofinansowanie projektu będzie konieczne przedstawienie oświadczenia o zabezpieczeniu środków na realizację inwestycji wraz z dokumentami potwierdzającymi posiadanie wkładu</w:t>
      </w:r>
      <w:r w:rsidR="00334871" w:rsidRPr="006D71C7">
        <w:rPr>
          <w:szCs w:val="24"/>
        </w:rPr>
        <w:t xml:space="preserve"> własnego w wysokości zgodnej z </w:t>
      </w:r>
      <w:r w:rsidRPr="006D71C7">
        <w:rPr>
          <w:szCs w:val="24"/>
        </w:rPr>
        <w:t>montażem finansowym projektu, a w przypadku inwestycji infrastrukturalnych, na etapie złożenia wniosku o dofinansowanie projektu wymagane będzie przedłożenie zezwolenia na</w:t>
      </w:r>
      <w:r w:rsidR="00927C99" w:rsidRPr="006D71C7">
        <w:rPr>
          <w:szCs w:val="24"/>
        </w:rPr>
        <w:t> </w:t>
      </w:r>
      <w:r w:rsidRPr="006D71C7">
        <w:rPr>
          <w:szCs w:val="24"/>
        </w:rPr>
        <w:t>inwestycję.</w:t>
      </w:r>
      <w:r w:rsidR="00B836D9" w:rsidRPr="006D71C7">
        <w:rPr>
          <w:szCs w:val="24"/>
        </w:rPr>
        <w:t xml:space="preserve"> </w:t>
      </w:r>
    </w:p>
    <w:p w:rsidR="00E62ABD" w:rsidRPr="006D71C7" w:rsidRDefault="00E62ABD" w:rsidP="006D71C7">
      <w:pPr>
        <w:spacing w:after="0"/>
        <w:jc w:val="both"/>
        <w:rPr>
          <w:szCs w:val="24"/>
        </w:rPr>
      </w:pPr>
    </w:p>
    <w:p w:rsidR="001915C3" w:rsidRPr="006D71C7" w:rsidRDefault="007338BD" w:rsidP="006D71C7">
      <w:pPr>
        <w:pStyle w:val="Legenda"/>
        <w:jc w:val="both"/>
        <w:rPr>
          <w:color w:val="auto"/>
          <w:sz w:val="20"/>
          <w:szCs w:val="20"/>
        </w:rPr>
      </w:pPr>
      <w:bookmarkStart w:id="337" w:name="_Toc324853714"/>
      <w:bookmarkStart w:id="338" w:name="_Toc326046369"/>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17</w:t>
      </w:r>
      <w:r w:rsidR="008F7228" w:rsidRPr="006D71C7">
        <w:rPr>
          <w:color w:val="auto"/>
          <w:sz w:val="20"/>
          <w:szCs w:val="20"/>
        </w:rPr>
        <w:fldChar w:fldCharType="end"/>
      </w:r>
      <w:r w:rsidR="00927C99" w:rsidRPr="006D71C7">
        <w:rPr>
          <w:color w:val="auto"/>
        </w:rPr>
        <w:t xml:space="preserve"> </w:t>
      </w:r>
      <w:r w:rsidR="00B836D9" w:rsidRPr="006D71C7">
        <w:rPr>
          <w:b w:val="0"/>
          <w:i/>
          <w:color w:val="auto"/>
          <w:sz w:val="20"/>
          <w:szCs w:val="20"/>
        </w:rPr>
        <w:t>Postęp realizacji priorytetu II w podziale na działania od uruchomienia Programu</w:t>
      </w:r>
      <w:bookmarkEnd w:id="337"/>
      <w:bookmarkEnd w:id="338"/>
    </w:p>
    <w:tbl>
      <w:tblPr>
        <w:tblStyle w:val="redniasiatka3akcent1"/>
        <w:tblW w:w="8695" w:type="dxa"/>
        <w:jc w:val="center"/>
        <w:shd w:val="clear" w:color="auto" w:fill="F4B29B" w:themeFill="accent1" w:themeFillTint="66"/>
        <w:tblLook w:val="04A0" w:firstRow="1" w:lastRow="0" w:firstColumn="1" w:lastColumn="0" w:noHBand="0" w:noVBand="1"/>
      </w:tblPr>
      <w:tblGrid>
        <w:gridCol w:w="1080"/>
        <w:gridCol w:w="1080"/>
        <w:gridCol w:w="1080"/>
        <w:gridCol w:w="1109"/>
        <w:gridCol w:w="1051"/>
        <w:gridCol w:w="985"/>
        <w:gridCol w:w="1181"/>
        <w:gridCol w:w="1129"/>
      </w:tblGrid>
      <w:tr w:rsidR="009D7CA0" w:rsidRPr="00942E6B" w:rsidTr="009D7CA0">
        <w:trPr>
          <w:cnfStyle w:val="100000000000" w:firstRow="1" w:lastRow="0" w:firstColumn="0" w:lastColumn="0" w:oddVBand="0" w:evenVBand="0" w:oddHBand="0" w:evenHBand="0" w:firstRowFirstColumn="0" w:firstRowLastColumn="0" w:lastRowFirstColumn="0" w:lastRowLastColumn="0"/>
          <w:trHeight w:val="863"/>
          <w:jc w:val="center"/>
        </w:trPr>
        <w:tc>
          <w:tcPr>
            <w:cnfStyle w:val="001000000000" w:firstRow="0" w:lastRow="0" w:firstColumn="1" w:lastColumn="0" w:oddVBand="0" w:evenVBand="0" w:oddHBand="0" w:evenHBand="0" w:firstRowFirstColumn="0" w:firstRowLastColumn="0" w:lastRowFirstColumn="0" w:lastRowLastColumn="0"/>
            <w:tcW w:w="1080" w:type="dxa"/>
            <w:vMerge w:val="restart"/>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Działanie</w:t>
            </w:r>
          </w:p>
        </w:tc>
        <w:tc>
          <w:tcPr>
            <w:tcW w:w="1080" w:type="dxa"/>
            <w:vMerge w:val="restart"/>
            <w:shd w:val="clear" w:color="auto" w:fill="F4B29B" w:themeFill="accent1" w:themeFillTint="66"/>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Alokacja mln EUR</w:t>
            </w:r>
          </w:p>
        </w:tc>
        <w:tc>
          <w:tcPr>
            <w:tcW w:w="2189" w:type="dxa"/>
            <w:gridSpan w:val="2"/>
            <w:tcBorders>
              <w:bottom w:val="single" w:sz="8" w:space="0" w:color="FFFFFF" w:themeColor="background1"/>
            </w:tcBorders>
            <w:shd w:val="clear" w:color="auto" w:fill="F4B29B" w:themeFill="accent1" w:themeFillTint="66"/>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Zatwierdzone wnioski do dofinansowania</w:t>
            </w:r>
          </w:p>
        </w:tc>
        <w:tc>
          <w:tcPr>
            <w:tcW w:w="2036" w:type="dxa"/>
            <w:gridSpan w:val="2"/>
            <w:tcBorders>
              <w:bottom w:val="single" w:sz="8" w:space="0" w:color="FFFFFF" w:themeColor="background1"/>
            </w:tcBorders>
            <w:shd w:val="clear" w:color="auto" w:fill="F4B29B" w:themeFill="accent1" w:themeFillTint="66"/>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Podpisane umowy</w:t>
            </w:r>
          </w:p>
        </w:tc>
        <w:tc>
          <w:tcPr>
            <w:tcW w:w="2310" w:type="dxa"/>
            <w:gridSpan w:val="2"/>
            <w:tcBorders>
              <w:bottom w:val="single" w:sz="8" w:space="0" w:color="FFFFFF" w:themeColor="background1"/>
            </w:tcBorders>
            <w:shd w:val="clear" w:color="auto" w:fill="F4B29B" w:themeFill="accent1" w:themeFillTint="66"/>
            <w:noWrap/>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2"/>
              </w:rPr>
            </w:pPr>
            <w:r w:rsidRPr="00C43B75">
              <w:rPr>
                <w:color w:val="auto"/>
                <w:sz w:val="22"/>
              </w:rPr>
              <w:t>Płatności</w:t>
            </w:r>
          </w:p>
        </w:tc>
      </w:tr>
      <w:tr w:rsidR="009D7CA0" w:rsidRPr="00942E6B" w:rsidTr="009D7CA0">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p>
        </w:tc>
        <w:tc>
          <w:tcPr>
            <w:tcW w:w="1080" w:type="dxa"/>
            <w:vMerge/>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080" w:type="dxa"/>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1109" w:type="dxa"/>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c>
          <w:tcPr>
            <w:tcW w:w="1051" w:type="dxa"/>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985" w:type="dxa"/>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c>
          <w:tcPr>
            <w:tcW w:w="1181" w:type="dxa"/>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1129" w:type="dxa"/>
            <w:shd w:val="clear" w:color="auto" w:fill="F9D8CD" w:themeFill="accent1" w:themeFillTint="33"/>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r>
      <w:tr w:rsidR="009D7CA0" w:rsidRPr="00942E6B" w:rsidTr="009D7CA0">
        <w:trPr>
          <w:trHeight w:val="645"/>
          <w:jc w:val="center"/>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2.1</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92,54</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71,72</w:t>
            </w:r>
          </w:p>
        </w:tc>
        <w:tc>
          <w:tcPr>
            <w:tcW w:w="110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77,50%</w:t>
            </w:r>
          </w:p>
        </w:tc>
        <w:tc>
          <w:tcPr>
            <w:tcW w:w="1051"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33,14</w:t>
            </w:r>
          </w:p>
        </w:tc>
        <w:tc>
          <w:tcPr>
            <w:tcW w:w="985"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35,81%</w:t>
            </w:r>
          </w:p>
        </w:tc>
        <w:tc>
          <w:tcPr>
            <w:tcW w:w="1181"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1,11</w:t>
            </w:r>
          </w:p>
        </w:tc>
        <w:tc>
          <w:tcPr>
            <w:tcW w:w="112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1,20%</w:t>
            </w:r>
          </w:p>
        </w:tc>
      </w:tr>
      <w:tr w:rsidR="009D7CA0" w:rsidRPr="00942E6B" w:rsidTr="009D7CA0">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2.2</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57,46</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48,46</w:t>
            </w:r>
          </w:p>
        </w:tc>
        <w:tc>
          <w:tcPr>
            <w:tcW w:w="1109"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84,34%</w:t>
            </w:r>
          </w:p>
        </w:tc>
        <w:tc>
          <w:tcPr>
            <w:tcW w:w="1051"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43,52</w:t>
            </w:r>
          </w:p>
        </w:tc>
        <w:tc>
          <w:tcPr>
            <w:tcW w:w="985"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75,74%</w:t>
            </w:r>
          </w:p>
        </w:tc>
        <w:tc>
          <w:tcPr>
            <w:tcW w:w="1181"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10,88</w:t>
            </w:r>
          </w:p>
        </w:tc>
        <w:tc>
          <w:tcPr>
            <w:tcW w:w="1129"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18,93%</w:t>
            </w:r>
          </w:p>
        </w:tc>
      </w:tr>
    </w:tbl>
    <w:p w:rsidR="00372F8E" w:rsidRPr="006D71C7" w:rsidRDefault="00372F8E" w:rsidP="006D71C7">
      <w:pPr>
        <w:jc w:val="both"/>
        <w:rPr>
          <w:b/>
          <w:i/>
          <w:szCs w:val="24"/>
        </w:rPr>
      </w:pPr>
    </w:p>
    <w:p w:rsidR="00E16EC5" w:rsidRPr="006D71C7" w:rsidRDefault="00E16EC5" w:rsidP="006D71C7">
      <w:pPr>
        <w:spacing w:after="120"/>
        <w:jc w:val="both"/>
        <w:rPr>
          <w:szCs w:val="24"/>
        </w:rPr>
      </w:pPr>
      <w:r w:rsidRPr="006D71C7">
        <w:rPr>
          <w:szCs w:val="24"/>
        </w:rPr>
        <w:t>W ramach p</w:t>
      </w:r>
      <w:r w:rsidR="003940EC" w:rsidRPr="006D71C7">
        <w:rPr>
          <w:szCs w:val="24"/>
        </w:rPr>
        <w:t xml:space="preserve">riorytetu II </w:t>
      </w:r>
      <w:r w:rsidRPr="006D71C7">
        <w:rPr>
          <w:szCs w:val="24"/>
        </w:rPr>
        <w:t>projekty oceniane i wybierane są według dwóch ścieżek: konkursowej</w:t>
      </w:r>
      <w:r w:rsidR="003940EC" w:rsidRPr="006D71C7">
        <w:rPr>
          <w:szCs w:val="24"/>
        </w:rPr>
        <w:t xml:space="preserve"> i </w:t>
      </w:r>
      <w:r w:rsidRPr="006D71C7">
        <w:rPr>
          <w:szCs w:val="24"/>
        </w:rPr>
        <w:t>PRS. W ramach przedmiotowego priorytetu nie jest realizowany żaden projekt kluczowy.</w:t>
      </w:r>
      <w:r w:rsidR="00C01A41" w:rsidRPr="006D71C7">
        <w:rPr>
          <w:szCs w:val="24"/>
        </w:rPr>
        <w:t xml:space="preserve"> </w:t>
      </w:r>
      <w:r w:rsidR="00F342B9" w:rsidRPr="006D71C7">
        <w:rPr>
          <w:szCs w:val="24"/>
        </w:rPr>
        <w:t xml:space="preserve">Stopień wykorzystania alokacji w poszczególnych ścieżkach jest bardzo zróżnicowany. Zaistniała sytuacja związana jest przede wszystkim z </w:t>
      </w:r>
      <w:r w:rsidR="004C66A8" w:rsidRPr="006D71C7">
        <w:rPr>
          <w:szCs w:val="24"/>
        </w:rPr>
        <w:t>przesunięciem</w:t>
      </w:r>
      <w:r w:rsidR="00C01A41" w:rsidRPr="006D71C7">
        <w:rPr>
          <w:szCs w:val="24"/>
        </w:rPr>
        <w:t xml:space="preserve"> </w:t>
      </w:r>
      <w:r w:rsidR="00F342B9" w:rsidRPr="006D71C7">
        <w:rPr>
          <w:szCs w:val="24"/>
        </w:rPr>
        <w:t xml:space="preserve">powstałych </w:t>
      </w:r>
      <w:r w:rsidR="00C01A41" w:rsidRPr="006D71C7">
        <w:rPr>
          <w:szCs w:val="24"/>
        </w:rPr>
        <w:t>oszczędności w ramach PRS</w:t>
      </w:r>
      <w:r w:rsidR="00F342B9" w:rsidRPr="006D71C7">
        <w:rPr>
          <w:szCs w:val="24"/>
        </w:rPr>
        <w:t xml:space="preserve"> (rezygnacje </w:t>
      </w:r>
      <w:r w:rsidR="004C66A8" w:rsidRPr="006D71C7">
        <w:rPr>
          <w:szCs w:val="24"/>
        </w:rPr>
        <w:t xml:space="preserve">beneficjentów </w:t>
      </w:r>
      <w:r w:rsidR="00F342B9" w:rsidRPr="006D71C7">
        <w:rPr>
          <w:szCs w:val="24"/>
        </w:rPr>
        <w:t xml:space="preserve">z realizacji </w:t>
      </w:r>
      <w:r w:rsidR="004C66A8" w:rsidRPr="006D71C7">
        <w:rPr>
          <w:szCs w:val="24"/>
        </w:rPr>
        <w:t>projektu) i przesunięcia ich</w:t>
      </w:r>
      <w:r w:rsidR="0058229F" w:rsidRPr="006D71C7">
        <w:rPr>
          <w:szCs w:val="24"/>
        </w:rPr>
        <w:t> </w:t>
      </w:r>
      <w:r w:rsidR="004C66A8" w:rsidRPr="006D71C7">
        <w:rPr>
          <w:szCs w:val="24"/>
        </w:rPr>
        <w:t>na </w:t>
      </w:r>
      <w:r w:rsidR="00F342B9" w:rsidRPr="006D71C7">
        <w:rPr>
          <w:szCs w:val="24"/>
        </w:rPr>
        <w:t>konkursy, które będą ogłoszone w kolejnym okresie sprawozdawczym. W związku z</w:t>
      </w:r>
      <w:r w:rsidR="0058229F" w:rsidRPr="006D71C7">
        <w:rPr>
          <w:szCs w:val="24"/>
        </w:rPr>
        <w:t> </w:t>
      </w:r>
      <w:r w:rsidR="00F342B9" w:rsidRPr="006D71C7">
        <w:rPr>
          <w:szCs w:val="24"/>
        </w:rPr>
        <w:t>tym można spodziewać się znacznego wzrostu realizacji projektów wybi</w:t>
      </w:r>
      <w:r w:rsidR="004C66A8" w:rsidRPr="006D71C7">
        <w:rPr>
          <w:szCs w:val="24"/>
        </w:rPr>
        <w:t>eranych w</w:t>
      </w:r>
      <w:r w:rsidR="0058229F" w:rsidRPr="006D71C7">
        <w:rPr>
          <w:szCs w:val="24"/>
        </w:rPr>
        <w:t> </w:t>
      </w:r>
      <w:r w:rsidR="004C66A8" w:rsidRPr="006D71C7">
        <w:rPr>
          <w:szCs w:val="24"/>
        </w:rPr>
        <w:t>konkursie w </w:t>
      </w:r>
      <w:r w:rsidR="00F342B9" w:rsidRPr="006D71C7">
        <w:rPr>
          <w:szCs w:val="24"/>
        </w:rPr>
        <w:t>kolejnym okresie sprawozdawczym.</w:t>
      </w:r>
      <w:r w:rsidR="00C01A41" w:rsidRPr="006D71C7">
        <w:rPr>
          <w:szCs w:val="24"/>
        </w:rPr>
        <w:t xml:space="preserve"> </w:t>
      </w:r>
    </w:p>
    <w:p w:rsidR="00F342B9" w:rsidRPr="006D71C7" w:rsidRDefault="00F342B9" w:rsidP="006D71C7">
      <w:pPr>
        <w:spacing w:after="120"/>
        <w:jc w:val="both"/>
        <w:rPr>
          <w:szCs w:val="24"/>
        </w:rPr>
      </w:pPr>
      <w:r w:rsidRPr="006D71C7">
        <w:rPr>
          <w:szCs w:val="24"/>
        </w:rPr>
        <w:t>Poniżej na schemacie przedstawiono poziom kontraktacji i płatności ogółem na priorytet oraz w podziale na ścieżki.</w:t>
      </w:r>
    </w:p>
    <w:p w:rsidR="00C01A41" w:rsidRPr="006D71C7" w:rsidRDefault="00C01A41" w:rsidP="006D71C7">
      <w:pPr>
        <w:spacing w:after="120"/>
        <w:jc w:val="both"/>
        <w:rPr>
          <w:szCs w:val="24"/>
        </w:rPr>
      </w:pPr>
    </w:p>
    <w:p w:rsidR="00E16EC5" w:rsidRPr="006D71C7" w:rsidRDefault="00E16EC5" w:rsidP="006D71C7">
      <w:pPr>
        <w:spacing w:after="120"/>
        <w:jc w:val="both"/>
        <w:rPr>
          <w:szCs w:val="24"/>
        </w:rPr>
      </w:pPr>
      <w:r w:rsidRPr="006D71C7">
        <w:rPr>
          <w:noProof/>
          <w:szCs w:val="24"/>
        </w:rPr>
        <w:drawing>
          <wp:inline distT="0" distB="0" distL="0" distR="0">
            <wp:extent cx="5932968" cy="3434316"/>
            <wp:effectExtent l="114300" t="0" r="0" b="0"/>
            <wp:docPr id="23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915C3" w:rsidRPr="006D71C7" w:rsidRDefault="007338BD" w:rsidP="006D71C7">
      <w:pPr>
        <w:pStyle w:val="Legenda"/>
        <w:jc w:val="both"/>
        <w:rPr>
          <w:noProof/>
          <w:color w:val="auto"/>
          <w:sz w:val="20"/>
          <w:szCs w:val="20"/>
        </w:rPr>
      </w:pPr>
      <w:bookmarkStart w:id="339" w:name="_Toc324853715"/>
      <w:bookmarkStart w:id="340" w:name="_Toc326055346"/>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28</w:t>
      </w:r>
      <w:r w:rsidR="008F7228">
        <w:rPr>
          <w:color w:val="auto"/>
          <w:sz w:val="20"/>
          <w:szCs w:val="20"/>
        </w:rPr>
        <w:fldChar w:fldCharType="end"/>
      </w:r>
      <w:r w:rsidR="00927C99" w:rsidRPr="006D71C7">
        <w:rPr>
          <w:color w:val="auto"/>
        </w:rPr>
        <w:t xml:space="preserve"> </w:t>
      </w:r>
      <w:r w:rsidR="0028774B" w:rsidRPr="006D71C7">
        <w:rPr>
          <w:b w:val="0"/>
          <w:i/>
          <w:color w:val="auto"/>
          <w:sz w:val="20"/>
          <w:szCs w:val="20"/>
        </w:rPr>
        <w:t>Poziom kontraktacji i płatności</w:t>
      </w:r>
      <w:r w:rsidR="00FD6299" w:rsidRPr="006D71C7">
        <w:rPr>
          <w:b w:val="0"/>
          <w:i/>
          <w:color w:val="auto"/>
          <w:sz w:val="20"/>
          <w:szCs w:val="20"/>
        </w:rPr>
        <w:t xml:space="preserve"> w podziel na ścieżki wyboru projektów</w:t>
      </w:r>
      <w:bookmarkEnd w:id="339"/>
      <w:bookmarkEnd w:id="340"/>
    </w:p>
    <w:p w:rsidR="0028774B" w:rsidRPr="006D71C7" w:rsidRDefault="00D73D94" w:rsidP="006D71C7">
      <w:pPr>
        <w:jc w:val="both"/>
        <w:rPr>
          <w:szCs w:val="24"/>
        </w:rPr>
      </w:pPr>
      <w:r w:rsidRPr="006D71C7">
        <w:rPr>
          <w:noProof/>
          <w:szCs w:val="24"/>
        </w:rPr>
        <w:t xml:space="preserve">W ramach przedmiotowego priorytetu w kolejnym okresie sprawozdawczym IZ RPO WSL </w:t>
      </w:r>
      <w:r w:rsidRPr="006D71C7">
        <w:rPr>
          <w:szCs w:val="24"/>
        </w:rPr>
        <w:t>postanowiła ogłosić dwa dodatkowe konkursy – po jednym z każdego działania.</w:t>
      </w:r>
    </w:p>
    <w:p w:rsidR="00245F70" w:rsidRPr="006D71C7" w:rsidRDefault="007338BD" w:rsidP="006D71C7">
      <w:pPr>
        <w:pStyle w:val="Legenda"/>
        <w:jc w:val="both"/>
        <w:rPr>
          <w:i/>
          <w:color w:val="auto"/>
          <w:sz w:val="20"/>
          <w:szCs w:val="20"/>
        </w:rPr>
      </w:pPr>
      <w:bookmarkStart w:id="341" w:name="_Toc324853716"/>
      <w:bookmarkStart w:id="342" w:name="_Toc326046370"/>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18</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Zbiorcze zestawienie naborów w ramach priorytetu II</w:t>
      </w:r>
      <w:bookmarkEnd w:id="341"/>
      <w:bookmarkEnd w:id="342"/>
    </w:p>
    <w:tbl>
      <w:tblPr>
        <w:tblW w:w="8374" w:type="dxa"/>
        <w:jc w:val="center"/>
        <w:tblInd w:w="60" w:type="dxa"/>
        <w:tblCellMar>
          <w:left w:w="70" w:type="dxa"/>
          <w:right w:w="70" w:type="dxa"/>
        </w:tblCellMar>
        <w:tblLook w:val="04A0" w:firstRow="1" w:lastRow="0" w:firstColumn="1" w:lastColumn="0" w:noHBand="0" w:noVBand="1"/>
      </w:tblPr>
      <w:tblGrid>
        <w:gridCol w:w="1320"/>
        <w:gridCol w:w="1242"/>
        <w:gridCol w:w="992"/>
        <w:gridCol w:w="1306"/>
        <w:gridCol w:w="1104"/>
        <w:gridCol w:w="1276"/>
        <w:gridCol w:w="1134"/>
      </w:tblGrid>
      <w:tr w:rsidR="0028774B" w:rsidRPr="006D71C7" w:rsidTr="00D73D94">
        <w:trPr>
          <w:trHeight w:val="700"/>
          <w:jc w:val="center"/>
        </w:trPr>
        <w:tc>
          <w:tcPr>
            <w:tcW w:w="1320" w:type="dxa"/>
            <w:vMerge w:val="restart"/>
            <w:tcBorders>
              <w:top w:val="single" w:sz="8" w:space="0" w:color="FFFFFF"/>
              <w:left w:val="single" w:sz="8" w:space="0" w:color="FFFFFF"/>
              <w:bottom w:val="single" w:sz="8" w:space="0" w:color="FFFFFF"/>
              <w:right w:val="single" w:sz="8" w:space="0" w:color="FFFFFF"/>
            </w:tcBorders>
            <w:shd w:val="clear" w:color="000000" w:fill="F4B29B"/>
            <w:noWrap/>
            <w:vAlign w:val="bottom"/>
            <w:hideMark/>
          </w:tcPr>
          <w:p w:rsidR="0028774B" w:rsidRPr="006D71C7" w:rsidRDefault="0028774B" w:rsidP="006D71C7">
            <w:pPr>
              <w:spacing w:after="0" w:line="240" w:lineRule="auto"/>
              <w:jc w:val="both"/>
              <w:rPr>
                <w:rFonts w:ascii="Calibri" w:hAnsi="Calibri"/>
                <w:sz w:val="20"/>
                <w:szCs w:val="20"/>
              </w:rPr>
            </w:pPr>
            <w:r w:rsidRPr="006D71C7">
              <w:rPr>
                <w:rFonts w:ascii="Calibri" w:hAnsi="Calibri"/>
                <w:sz w:val="20"/>
                <w:szCs w:val="20"/>
              </w:rPr>
              <w:t> </w:t>
            </w:r>
          </w:p>
        </w:tc>
        <w:tc>
          <w:tcPr>
            <w:tcW w:w="2234" w:type="dxa"/>
            <w:gridSpan w:val="2"/>
            <w:tcBorders>
              <w:top w:val="single" w:sz="8" w:space="0" w:color="FFFFFF"/>
              <w:left w:val="nil"/>
              <w:bottom w:val="single" w:sz="12" w:space="0" w:color="FFFFFF"/>
              <w:right w:val="single" w:sz="8" w:space="0" w:color="FFFFFF"/>
            </w:tcBorders>
            <w:shd w:val="clear" w:color="000000" w:fill="F4B29B"/>
            <w:noWrap/>
            <w:vAlign w:val="center"/>
            <w:hideMark/>
          </w:tcPr>
          <w:p w:rsidR="00C43B75" w:rsidRDefault="0028774B" w:rsidP="00C43B75">
            <w:pPr>
              <w:spacing w:after="0" w:line="240" w:lineRule="auto"/>
              <w:jc w:val="center"/>
              <w:rPr>
                <w:b/>
                <w:bCs/>
                <w:sz w:val="20"/>
                <w:szCs w:val="20"/>
              </w:rPr>
            </w:pPr>
            <w:r w:rsidRPr="006D71C7">
              <w:rPr>
                <w:b/>
                <w:bCs/>
                <w:sz w:val="20"/>
                <w:szCs w:val="20"/>
              </w:rPr>
              <w:t>od uruchomienia Programu</w:t>
            </w:r>
          </w:p>
        </w:tc>
        <w:tc>
          <w:tcPr>
            <w:tcW w:w="2410" w:type="dxa"/>
            <w:gridSpan w:val="2"/>
            <w:tcBorders>
              <w:top w:val="single" w:sz="8" w:space="0" w:color="FFFFFF"/>
              <w:left w:val="nil"/>
              <w:bottom w:val="single" w:sz="12" w:space="0" w:color="FFFFFF"/>
              <w:right w:val="single" w:sz="8" w:space="0" w:color="FFFFFF"/>
            </w:tcBorders>
            <w:shd w:val="clear" w:color="000000" w:fill="F4B29B"/>
            <w:noWrap/>
            <w:vAlign w:val="center"/>
            <w:hideMark/>
          </w:tcPr>
          <w:p w:rsidR="00C43B75" w:rsidRDefault="0028774B" w:rsidP="00C43B75">
            <w:pPr>
              <w:spacing w:after="0" w:line="240" w:lineRule="auto"/>
              <w:jc w:val="center"/>
              <w:rPr>
                <w:b/>
                <w:bCs/>
                <w:sz w:val="20"/>
                <w:szCs w:val="20"/>
              </w:rPr>
            </w:pPr>
            <w:r w:rsidRPr="006D71C7">
              <w:rPr>
                <w:b/>
                <w:bCs/>
                <w:sz w:val="20"/>
                <w:szCs w:val="20"/>
              </w:rPr>
              <w:t>w 2011 roku</w:t>
            </w:r>
          </w:p>
        </w:tc>
        <w:tc>
          <w:tcPr>
            <w:tcW w:w="2410" w:type="dxa"/>
            <w:gridSpan w:val="2"/>
            <w:tcBorders>
              <w:top w:val="single" w:sz="8" w:space="0" w:color="FFFFFF"/>
              <w:left w:val="nil"/>
              <w:bottom w:val="single" w:sz="12" w:space="0" w:color="FFFFFF"/>
              <w:right w:val="single" w:sz="8" w:space="0" w:color="FFFFFF"/>
            </w:tcBorders>
            <w:shd w:val="clear" w:color="000000" w:fill="F4B29B"/>
            <w:noWrap/>
            <w:vAlign w:val="center"/>
            <w:hideMark/>
          </w:tcPr>
          <w:p w:rsidR="00C43B75" w:rsidRDefault="0028774B" w:rsidP="00C43B75">
            <w:pPr>
              <w:spacing w:after="0" w:line="240" w:lineRule="auto"/>
              <w:jc w:val="center"/>
              <w:rPr>
                <w:b/>
                <w:bCs/>
                <w:sz w:val="20"/>
                <w:szCs w:val="20"/>
              </w:rPr>
            </w:pPr>
            <w:r w:rsidRPr="006D71C7">
              <w:rPr>
                <w:b/>
                <w:bCs/>
                <w:sz w:val="20"/>
                <w:szCs w:val="20"/>
              </w:rPr>
              <w:t>planowane</w:t>
            </w:r>
            <w:r w:rsidRPr="006D71C7">
              <w:rPr>
                <w:sz w:val="20"/>
                <w:szCs w:val="20"/>
              </w:rPr>
              <w:t xml:space="preserve"> </w:t>
            </w:r>
            <w:r w:rsidRPr="006D71C7">
              <w:rPr>
                <w:b/>
                <w:bCs/>
                <w:sz w:val="20"/>
                <w:szCs w:val="20"/>
              </w:rPr>
              <w:t>w 2012</w:t>
            </w:r>
          </w:p>
        </w:tc>
      </w:tr>
      <w:tr w:rsidR="0028774B" w:rsidRPr="006D71C7" w:rsidTr="00D73D94">
        <w:trPr>
          <w:trHeight w:val="856"/>
          <w:jc w:val="center"/>
        </w:trPr>
        <w:tc>
          <w:tcPr>
            <w:tcW w:w="1320" w:type="dxa"/>
            <w:vMerge/>
            <w:tcBorders>
              <w:top w:val="single" w:sz="8" w:space="0" w:color="FFFFFF"/>
              <w:left w:val="single" w:sz="8" w:space="0" w:color="FFFFFF"/>
              <w:bottom w:val="single" w:sz="8" w:space="0" w:color="FFFFFF"/>
              <w:right w:val="single" w:sz="8" w:space="0" w:color="FFFFFF"/>
            </w:tcBorders>
            <w:vAlign w:val="center"/>
            <w:hideMark/>
          </w:tcPr>
          <w:p w:rsidR="0028774B" w:rsidRPr="006D71C7" w:rsidRDefault="0028774B" w:rsidP="006D71C7">
            <w:pPr>
              <w:spacing w:after="0" w:line="240" w:lineRule="auto"/>
              <w:jc w:val="both"/>
              <w:rPr>
                <w:rFonts w:ascii="Calibri" w:hAnsi="Calibri"/>
                <w:sz w:val="20"/>
                <w:szCs w:val="20"/>
              </w:rPr>
            </w:pPr>
          </w:p>
        </w:tc>
        <w:tc>
          <w:tcPr>
            <w:tcW w:w="1242" w:type="dxa"/>
            <w:tcBorders>
              <w:top w:val="nil"/>
              <w:left w:val="nil"/>
              <w:bottom w:val="single" w:sz="8" w:space="0" w:color="FFFFFF"/>
              <w:right w:val="single" w:sz="8" w:space="0" w:color="FFFFFF"/>
            </w:tcBorders>
            <w:shd w:val="clear" w:color="000000" w:fill="F4B29B"/>
            <w:vAlign w:val="center"/>
            <w:hideMark/>
          </w:tcPr>
          <w:p w:rsidR="00C43B75" w:rsidRDefault="0028774B" w:rsidP="00C43B75">
            <w:pPr>
              <w:spacing w:after="0" w:line="240" w:lineRule="auto"/>
              <w:jc w:val="center"/>
              <w:rPr>
                <w:b/>
                <w:bCs/>
                <w:sz w:val="20"/>
                <w:szCs w:val="20"/>
              </w:rPr>
            </w:pPr>
            <w:r w:rsidRPr="006D71C7">
              <w:rPr>
                <w:b/>
                <w:bCs/>
                <w:sz w:val="20"/>
                <w:szCs w:val="20"/>
              </w:rPr>
              <w:t>Wartość (mln EUR)</w:t>
            </w:r>
          </w:p>
        </w:tc>
        <w:tc>
          <w:tcPr>
            <w:tcW w:w="992" w:type="dxa"/>
            <w:tcBorders>
              <w:top w:val="nil"/>
              <w:left w:val="nil"/>
              <w:bottom w:val="single" w:sz="8" w:space="0" w:color="FFFFFF"/>
              <w:right w:val="single" w:sz="8" w:space="0" w:color="FFFFFF"/>
            </w:tcBorders>
            <w:shd w:val="clear" w:color="000000" w:fill="F4B29B"/>
            <w:vAlign w:val="center"/>
            <w:hideMark/>
          </w:tcPr>
          <w:p w:rsidR="00C43B75" w:rsidRDefault="0028774B" w:rsidP="00C43B75">
            <w:pPr>
              <w:spacing w:after="0" w:line="240" w:lineRule="auto"/>
              <w:jc w:val="center"/>
              <w:rPr>
                <w:b/>
                <w:bCs/>
                <w:sz w:val="20"/>
                <w:szCs w:val="20"/>
              </w:rPr>
            </w:pPr>
            <w:r w:rsidRPr="006D71C7">
              <w:rPr>
                <w:b/>
                <w:bCs/>
                <w:sz w:val="20"/>
                <w:szCs w:val="20"/>
              </w:rPr>
              <w:t>Liczba</w:t>
            </w:r>
          </w:p>
        </w:tc>
        <w:tc>
          <w:tcPr>
            <w:tcW w:w="1306" w:type="dxa"/>
            <w:tcBorders>
              <w:top w:val="nil"/>
              <w:left w:val="nil"/>
              <w:bottom w:val="single" w:sz="8" w:space="0" w:color="FFFFFF"/>
              <w:right w:val="single" w:sz="8" w:space="0" w:color="FFFFFF"/>
            </w:tcBorders>
            <w:shd w:val="clear" w:color="000000" w:fill="F4B29B"/>
            <w:vAlign w:val="center"/>
            <w:hideMark/>
          </w:tcPr>
          <w:p w:rsidR="00C43B75" w:rsidRDefault="0028774B" w:rsidP="00C43B75">
            <w:pPr>
              <w:spacing w:after="0" w:line="240" w:lineRule="auto"/>
              <w:jc w:val="center"/>
              <w:rPr>
                <w:b/>
                <w:bCs/>
                <w:sz w:val="20"/>
                <w:szCs w:val="20"/>
              </w:rPr>
            </w:pPr>
            <w:r w:rsidRPr="006D71C7">
              <w:rPr>
                <w:b/>
                <w:bCs/>
                <w:sz w:val="20"/>
                <w:szCs w:val="20"/>
              </w:rPr>
              <w:t>Wartość (mln EUR)</w:t>
            </w:r>
          </w:p>
        </w:tc>
        <w:tc>
          <w:tcPr>
            <w:tcW w:w="1104" w:type="dxa"/>
            <w:tcBorders>
              <w:top w:val="nil"/>
              <w:left w:val="nil"/>
              <w:bottom w:val="single" w:sz="8" w:space="0" w:color="FFFFFF"/>
              <w:right w:val="single" w:sz="8" w:space="0" w:color="FFFFFF"/>
            </w:tcBorders>
            <w:shd w:val="clear" w:color="000000" w:fill="F4B29B"/>
            <w:vAlign w:val="center"/>
            <w:hideMark/>
          </w:tcPr>
          <w:p w:rsidR="00C43B75" w:rsidRDefault="0028774B" w:rsidP="00C43B75">
            <w:pPr>
              <w:spacing w:after="0" w:line="240" w:lineRule="auto"/>
              <w:jc w:val="center"/>
              <w:rPr>
                <w:b/>
                <w:bCs/>
                <w:sz w:val="20"/>
                <w:szCs w:val="20"/>
              </w:rPr>
            </w:pPr>
            <w:r w:rsidRPr="006D71C7">
              <w:rPr>
                <w:b/>
                <w:bCs/>
                <w:sz w:val="20"/>
                <w:szCs w:val="20"/>
              </w:rPr>
              <w:t>Liczba</w:t>
            </w:r>
          </w:p>
        </w:tc>
        <w:tc>
          <w:tcPr>
            <w:tcW w:w="1276" w:type="dxa"/>
            <w:tcBorders>
              <w:top w:val="nil"/>
              <w:left w:val="nil"/>
              <w:bottom w:val="single" w:sz="8" w:space="0" w:color="FFFFFF"/>
              <w:right w:val="single" w:sz="8" w:space="0" w:color="FFFFFF"/>
            </w:tcBorders>
            <w:shd w:val="clear" w:color="000000" w:fill="F4B29B"/>
            <w:vAlign w:val="center"/>
            <w:hideMark/>
          </w:tcPr>
          <w:p w:rsidR="00C43B75" w:rsidRDefault="0028774B" w:rsidP="00C43B75">
            <w:pPr>
              <w:spacing w:after="0" w:line="240" w:lineRule="auto"/>
              <w:jc w:val="center"/>
              <w:rPr>
                <w:b/>
                <w:bCs/>
                <w:sz w:val="20"/>
                <w:szCs w:val="20"/>
              </w:rPr>
            </w:pPr>
            <w:r w:rsidRPr="006D71C7">
              <w:rPr>
                <w:b/>
                <w:bCs/>
                <w:sz w:val="20"/>
                <w:szCs w:val="20"/>
              </w:rPr>
              <w:t>Wartość (mln EUR)</w:t>
            </w:r>
          </w:p>
        </w:tc>
        <w:tc>
          <w:tcPr>
            <w:tcW w:w="1134" w:type="dxa"/>
            <w:tcBorders>
              <w:top w:val="nil"/>
              <w:left w:val="nil"/>
              <w:bottom w:val="single" w:sz="8" w:space="0" w:color="FFFFFF"/>
              <w:right w:val="single" w:sz="8" w:space="0" w:color="FFFFFF"/>
            </w:tcBorders>
            <w:shd w:val="clear" w:color="000000" w:fill="F4B29B"/>
            <w:vAlign w:val="center"/>
            <w:hideMark/>
          </w:tcPr>
          <w:p w:rsidR="00C43B75" w:rsidRDefault="0028774B" w:rsidP="00C43B75">
            <w:pPr>
              <w:spacing w:after="0" w:line="240" w:lineRule="auto"/>
              <w:jc w:val="center"/>
              <w:rPr>
                <w:b/>
                <w:bCs/>
                <w:sz w:val="20"/>
                <w:szCs w:val="20"/>
              </w:rPr>
            </w:pPr>
            <w:r w:rsidRPr="006D71C7">
              <w:rPr>
                <w:b/>
                <w:bCs/>
                <w:sz w:val="20"/>
                <w:szCs w:val="20"/>
              </w:rPr>
              <w:t>Liczba</w:t>
            </w:r>
          </w:p>
        </w:tc>
      </w:tr>
      <w:tr w:rsidR="0028774B" w:rsidRPr="006D71C7" w:rsidTr="00D73D94">
        <w:trPr>
          <w:trHeight w:val="523"/>
          <w:jc w:val="center"/>
        </w:trPr>
        <w:tc>
          <w:tcPr>
            <w:tcW w:w="1320" w:type="dxa"/>
            <w:tcBorders>
              <w:top w:val="nil"/>
              <w:left w:val="single" w:sz="8" w:space="0" w:color="FFFFFF"/>
              <w:bottom w:val="nil"/>
              <w:right w:val="single" w:sz="12" w:space="0" w:color="FFFFFF"/>
            </w:tcBorders>
            <w:shd w:val="clear" w:color="000000" w:fill="F4B29B"/>
            <w:noWrap/>
            <w:vAlign w:val="center"/>
            <w:hideMark/>
          </w:tcPr>
          <w:p w:rsidR="0028774B" w:rsidRPr="006D71C7" w:rsidRDefault="0028774B" w:rsidP="006D71C7">
            <w:pPr>
              <w:spacing w:after="0" w:line="240" w:lineRule="auto"/>
              <w:jc w:val="both"/>
              <w:rPr>
                <w:b/>
                <w:bCs/>
                <w:sz w:val="20"/>
                <w:szCs w:val="20"/>
              </w:rPr>
            </w:pPr>
            <w:r w:rsidRPr="006D71C7">
              <w:rPr>
                <w:b/>
                <w:bCs/>
                <w:sz w:val="20"/>
                <w:szCs w:val="20"/>
              </w:rPr>
              <w:t>IZ RPO WSL</w:t>
            </w:r>
          </w:p>
        </w:tc>
        <w:tc>
          <w:tcPr>
            <w:tcW w:w="1242" w:type="dxa"/>
            <w:tcBorders>
              <w:top w:val="nil"/>
              <w:left w:val="nil"/>
              <w:bottom w:val="single" w:sz="8" w:space="0" w:color="FFFFFF"/>
              <w:right w:val="single" w:sz="8" w:space="0" w:color="FFFFFF"/>
            </w:tcBorders>
            <w:shd w:val="clear" w:color="000000" w:fill="F9D8CD"/>
            <w:noWrap/>
            <w:vAlign w:val="center"/>
            <w:hideMark/>
          </w:tcPr>
          <w:p w:rsidR="00C43B75" w:rsidRDefault="0028774B" w:rsidP="00C43B75">
            <w:pPr>
              <w:spacing w:after="0" w:line="240" w:lineRule="auto"/>
              <w:jc w:val="center"/>
              <w:rPr>
                <w:sz w:val="20"/>
                <w:szCs w:val="20"/>
              </w:rPr>
            </w:pPr>
            <w:r w:rsidRPr="006D71C7">
              <w:rPr>
                <w:sz w:val="20"/>
                <w:szCs w:val="20"/>
              </w:rPr>
              <w:t>65,0</w:t>
            </w:r>
          </w:p>
        </w:tc>
        <w:tc>
          <w:tcPr>
            <w:tcW w:w="992" w:type="dxa"/>
            <w:tcBorders>
              <w:top w:val="nil"/>
              <w:left w:val="nil"/>
              <w:bottom w:val="single" w:sz="8" w:space="0" w:color="FFFFFF"/>
              <w:right w:val="single" w:sz="8" w:space="0" w:color="FFFFFF"/>
            </w:tcBorders>
            <w:shd w:val="clear" w:color="000000" w:fill="F9D8CD"/>
            <w:noWrap/>
            <w:vAlign w:val="center"/>
            <w:hideMark/>
          </w:tcPr>
          <w:p w:rsidR="00C43B75" w:rsidRDefault="0028774B" w:rsidP="00C43B75">
            <w:pPr>
              <w:spacing w:after="0" w:line="240" w:lineRule="auto"/>
              <w:jc w:val="center"/>
              <w:rPr>
                <w:sz w:val="22"/>
              </w:rPr>
            </w:pPr>
            <w:r w:rsidRPr="006D71C7">
              <w:rPr>
                <w:sz w:val="22"/>
              </w:rPr>
              <w:t>4</w:t>
            </w:r>
          </w:p>
        </w:tc>
        <w:tc>
          <w:tcPr>
            <w:tcW w:w="1306" w:type="dxa"/>
            <w:tcBorders>
              <w:top w:val="nil"/>
              <w:left w:val="nil"/>
              <w:bottom w:val="single" w:sz="8" w:space="0" w:color="FFFFFF"/>
              <w:right w:val="single" w:sz="8" w:space="0" w:color="FFFFFF"/>
            </w:tcBorders>
            <w:shd w:val="clear" w:color="000000" w:fill="F9D8CD"/>
            <w:noWrap/>
            <w:vAlign w:val="center"/>
            <w:hideMark/>
          </w:tcPr>
          <w:p w:rsidR="00C43B75" w:rsidRDefault="0028774B" w:rsidP="00C43B75">
            <w:pPr>
              <w:spacing w:after="0" w:line="240" w:lineRule="auto"/>
              <w:jc w:val="center"/>
              <w:rPr>
                <w:sz w:val="20"/>
                <w:szCs w:val="20"/>
              </w:rPr>
            </w:pPr>
            <w:r w:rsidRPr="006D71C7">
              <w:rPr>
                <w:sz w:val="20"/>
                <w:szCs w:val="20"/>
              </w:rPr>
              <w:t>35,0</w:t>
            </w:r>
          </w:p>
        </w:tc>
        <w:tc>
          <w:tcPr>
            <w:tcW w:w="1104" w:type="dxa"/>
            <w:tcBorders>
              <w:top w:val="nil"/>
              <w:left w:val="nil"/>
              <w:bottom w:val="single" w:sz="8" w:space="0" w:color="FFFFFF"/>
              <w:right w:val="single" w:sz="8" w:space="0" w:color="FFFFFF"/>
            </w:tcBorders>
            <w:shd w:val="clear" w:color="000000" w:fill="F9D8CD"/>
            <w:noWrap/>
            <w:vAlign w:val="center"/>
            <w:hideMark/>
          </w:tcPr>
          <w:p w:rsidR="00C43B75" w:rsidRDefault="0028774B" w:rsidP="00C43B75">
            <w:pPr>
              <w:spacing w:after="0" w:line="240" w:lineRule="auto"/>
              <w:jc w:val="center"/>
              <w:rPr>
                <w:sz w:val="20"/>
                <w:szCs w:val="20"/>
              </w:rPr>
            </w:pPr>
            <w:r w:rsidRPr="006D71C7">
              <w:rPr>
                <w:sz w:val="20"/>
                <w:szCs w:val="20"/>
              </w:rPr>
              <w:t>1</w:t>
            </w:r>
          </w:p>
        </w:tc>
        <w:tc>
          <w:tcPr>
            <w:tcW w:w="1276" w:type="dxa"/>
            <w:tcBorders>
              <w:top w:val="nil"/>
              <w:left w:val="nil"/>
              <w:bottom w:val="single" w:sz="8" w:space="0" w:color="FFFFFF"/>
              <w:right w:val="single" w:sz="8" w:space="0" w:color="FFFFFF"/>
            </w:tcBorders>
            <w:shd w:val="clear" w:color="000000" w:fill="F9D8CD"/>
            <w:noWrap/>
            <w:vAlign w:val="center"/>
            <w:hideMark/>
          </w:tcPr>
          <w:p w:rsidR="00C43B75" w:rsidRDefault="0028774B" w:rsidP="00C43B75">
            <w:pPr>
              <w:spacing w:after="0" w:line="240" w:lineRule="auto"/>
              <w:jc w:val="center"/>
              <w:rPr>
                <w:sz w:val="20"/>
                <w:szCs w:val="20"/>
              </w:rPr>
            </w:pPr>
            <w:r w:rsidRPr="006D71C7">
              <w:rPr>
                <w:sz w:val="20"/>
                <w:szCs w:val="20"/>
              </w:rPr>
              <w:t>16,0</w:t>
            </w:r>
          </w:p>
        </w:tc>
        <w:tc>
          <w:tcPr>
            <w:tcW w:w="1134" w:type="dxa"/>
            <w:tcBorders>
              <w:top w:val="nil"/>
              <w:left w:val="nil"/>
              <w:bottom w:val="single" w:sz="8" w:space="0" w:color="FFFFFF"/>
              <w:right w:val="single" w:sz="8" w:space="0" w:color="FFFFFF"/>
            </w:tcBorders>
            <w:shd w:val="clear" w:color="000000" w:fill="F9D8CD"/>
            <w:noWrap/>
            <w:vAlign w:val="center"/>
            <w:hideMark/>
          </w:tcPr>
          <w:p w:rsidR="00C43B75" w:rsidRDefault="0028774B" w:rsidP="00C43B75">
            <w:pPr>
              <w:spacing w:after="0" w:line="240" w:lineRule="auto"/>
              <w:jc w:val="center"/>
              <w:rPr>
                <w:sz w:val="20"/>
                <w:szCs w:val="20"/>
              </w:rPr>
            </w:pPr>
            <w:r w:rsidRPr="006D71C7">
              <w:rPr>
                <w:sz w:val="20"/>
                <w:szCs w:val="20"/>
              </w:rPr>
              <w:t>2</w:t>
            </w:r>
          </w:p>
        </w:tc>
      </w:tr>
    </w:tbl>
    <w:p w:rsidR="00B16AC6" w:rsidRPr="006D71C7" w:rsidRDefault="00B16AC6" w:rsidP="006D71C7">
      <w:pPr>
        <w:spacing w:after="0"/>
        <w:jc w:val="both"/>
        <w:rPr>
          <w:szCs w:val="24"/>
        </w:rPr>
      </w:pPr>
    </w:p>
    <w:p w:rsidR="00C97CF9" w:rsidRPr="006D71C7" w:rsidRDefault="00C97CF9" w:rsidP="006D71C7">
      <w:pPr>
        <w:jc w:val="both"/>
        <w:rPr>
          <w:b/>
          <w:i/>
          <w:szCs w:val="24"/>
        </w:rPr>
      </w:pPr>
      <w:r w:rsidRPr="006D71C7">
        <w:rPr>
          <w:b/>
          <w:i/>
          <w:szCs w:val="24"/>
        </w:rPr>
        <w:t>Rozkład pr</w:t>
      </w:r>
      <w:r w:rsidR="00D73D94" w:rsidRPr="006D71C7">
        <w:rPr>
          <w:b/>
          <w:i/>
          <w:szCs w:val="24"/>
        </w:rPr>
        <w:t>ojektów realizowanych w ramach p</w:t>
      </w:r>
      <w:r w:rsidRPr="006D71C7">
        <w:rPr>
          <w:b/>
          <w:i/>
          <w:szCs w:val="24"/>
        </w:rPr>
        <w:t>riorytetu II</w:t>
      </w:r>
      <w:r w:rsidR="009A7B67" w:rsidRPr="006D71C7">
        <w:rPr>
          <w:b/>
          <w:i/>
          <w:szCs w:val="24"/>
        </w:rPr>
        <w:t xml:space="preserve"> </w:t>
      </w:r>
    </w:p>
    <w:p w:rsidR="002C7B0A" w:rsidRPr="006D71C7" w:rsidRDefault="00006321" w:rsidP="006D71C7">
      <w:pPr>
        <w:jc w:val="both"/>
        <w:rPr>
          <w:szCs w:val="24"/>
        </w:rPr>
      </w:pPr>
      <w:r w:rsidRPr="006D71C7">
        <w:rPr>
          <w:szCs w:val="24"/>
        </w:rPr>
        <w:t>Dominującą grupę beneficjentów w ramach priorytetu II stanowią</w:t>
      </w:r>
      <w:r w:rsidR="006A5220" w:rsidRPr="006D71C7">
        <w:rPr>
          <w:szCs w:val="24"/>
        </w:rPr>
        <w:t xml:space="preserve"> JST</w:t>
      </w:r>
      <w:r w:rsidR="00313088" w:rsidRPr="006D71C7">
        <w:rPr>
          <w:szCs w:val="24"/>
        </w:rPr>
        <w:t>,</w:t>
      </w:r>
      <w:r w:rsidR="00AE5CBE" w:rsidRPr="006D71C7">
        <w:rPr>
          <w:szCs w:val="24"/>
        </w:rPr>
        <w:t xml:space="preserve"> </w:t>
      </w:r>
      <w:r w:rsidR="00313088" w:rsidRPr="006D71C7">
        <w:rPr>
          <w:szCs w:val="24"/>
        </w:rPr>
        <w:t>z</w:t>
      </w:r>
      <w:r w:rsidR="00AE5CBE" w:rsidRPr="006D71C7">
        <w:rPr>
          <w:szCs w:val="24"/>
        </w:rPr>
        <w:t>wiązane jest to przede wszystkim z zakresem przedmiotowego priorytetu, który ma na celu zwiększenia liczby usług publicznych świadczonych drogą elektroniczną oraz zapewnienie powszechnego, szerokopasmowego dostępu do Internetu</w:t>
      </w:r>
      <w:r w:rsidR="00313088" w:rsidRPr="006D71C7">
        <w:rPr>
          <w:szCs w:val="24"/>
        </w:rPr>
        <w:t>. Analizując beneficjentów</w:t>
      </w:r>
      <w:r w:rsidR="00AE5CBE" w:rsidRPr="006D71C7">
        <w:rPr>
          <w:szCs w:val="24"/>
        </w:rPr>
        <w:t xml:space="preserve"> </w:t>
      </w:r>
      <w:r w:rsidR="00313088" w:rsidRPr="006D71C7">
        <w:rPr>
          <w:szCs w:val="24"/>
        </w:rPr>
        <w:t>w</w:t>
      </w:r>
      <w:r w:rsidR="00AE5CBE" w:rsidRPr="006D71C7">
        <w:rPr>
          <w:szCs w:val="24"/>
        </w:rPr>
        <w:t xml:space="preserve">arto </w:t>
      </w:r>
      <w:r w:rsidR="003F2DA6" w:rsidRPr="006D71C7">
        <w:rPr>
          <w:szCs w:val="24"/>
        </w:rPr>
        <w:t xml:space="preserve">zwrócić także uwagę na beneficjenta Komunikacyjny Związek Komunalny Górnośląskiego Okręgu Przemysłowego, który realizuje </w:t>
      </w:r>
      <w:r w:rsidR="00D216CD" w:rsidRPr="006D71C7">
        <w:rPr>
          <w:szCs w:val="24"/>
        </w:rPr>
        <w:t xml:space="preserve">bardzo ciekawy i innowacyjny </w:t>
      </w:r>
      <w:r w:rsidR="003F2DA6" w:rsidRPr="006D71C7">
        <w:rPr>
          <w:szCs w:val="24"/>
        </w:rPr>
        <w:t xml:space="preserve">projekt </w:t>
      </w:r>
      <w:r w:rsidR="003F2DA6" w:rsidRPr="006D71C7">
        <w:rPr>
          <w:i/>
          <w:szCs w:val="24"/>
        </w:rPr>
        <w:t xml:space="preserve">Śląska Karta Usług Publicznych, </w:t>
      </w:r>
      <w:r w:rsidR="003F2DA6" w:rsidRPr="006D71C7">
        <w:rPr>
          <w:szCs w:val="24"/>
        </w:rPr>
        <w:t xml:space="preserve">którego ideą jest wprowadzenie systemu płatności </w:t>
      </w:r>
      <w:r w:rsidR="00D216CD" w:rsidRPr="006D71C7">
        <w:rPr>
          <w:szCs w:val="24"/>
        </w:rPr>
        <w:t>elektronicznych za usługi dostarczane przez sektor finansów publicznych.</w:t>
      </w:r>
      <w:r w:rsidR="003F2DA6" w:rsidRPr="006D71C7">
        <w:rPr>
          <w:i/>
          <w:szCs w:val="24"/>
        </w:rPr>
        <w:t xml:space="preserve"> </w:t>
      </w:r>
      <w:r w:rsidR="00D216CD" w:rsidRPr="006D71C7">
        <w:t>Będzie nią można płacić w komunikacji miejskiej, a także m.in. za</w:t>
      </w:r>
      <w:r w:rsidR="00AE5CBE" w:rsidRPr="006D71C7">
        <w:t> </w:t>
      </w:r>
      <w:hyperlink r:id="rId81" w:history="1">
        <w:r w:rsidR="00D216CD" w:rsidRPr="006D71C7">
          <w:rPr>
            <w:rStyle w:val="Hipercze"/>
            <w:color w:val="auto"/>
            <w:u w:val="none"/>
          </w:rPr>
          <w:t>parkingi</w:t>
        </w:r>
      </w:hyperlink>
      <w:r w:rsidR="00D216CD" w:rsidRPr="006D71C7">
        <w:t>,</w:t>
      </w:r>
      <w:r w:rsidR="00AE5CBE" w:rsidRPr="006D71C7">
        <w:t xml:space="preserve"> wejście do </w:t>
      </w:r>
      <w:r w:rsidR="00D216CD" w:rsidRPr="006D71C7">
        <w:t>muzeum czy na basen oraz lokalne podatki w</w:t>
      </w:r>
      <w:r w:rsidR="00313088" w:rsidRPr="006D71C7">
        <w:t> </w:t>
      </w:r>
      <w:r w:rsidR="00D216CD" w:rsidRPr="006D71C7">
        <w:t xml:space="preserve">21 gminach </w:t>
      </w:r>
      <w:r w:rsidR="000C1497" w:rsidRPr="006D71C7">
        <w:t>Partnerów Projektu</w:t>
      </w:r>
      <w:r w:rsidR="00D216CD" w:rsidRPr="006D71C7">
        <w:t xml:space="preserve">. Oprócz funkcji pieniądza elektronicznego (nie karty płatniczej), karta będzie identyfikatorem jej posiadacza i nośnikiem certyfikatu jego podpisu elektronicznego. </w:t>
      </w:r>
    </w:p>
    <w:p w:rsidR="0005410E" w:rsidRPr="006D71C7" w:rsidRDefault="00972B95" w:rsidP="00765E72">
      <w:pPr>
        <w:tabs>
          <w:tab w:val="left" w:pos="2415"/>
        </w:tabs>
        <w:ind w:left="-426"/>
        <w:jc w:val="center"/>
      </w:pPr>
      <w:r w:rsidRPr="006D71C7">
        <w:rPr>
          <w:noProof/>
        </w:rPr>
        <w:drawing>
          <wp:inline distT="0" distB="0" distL="0" distR="0">
            <wp:extent cx="5575891" cy="3532224"/>
            <wp:effectExtent l="38100" t="19050" r="24809" b="0"/>
            <wp:docPr id="24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915C3" w:rsidRPr="006D71C7" w:rsidRDefault="007338BD" w:rsidP="006D71C7">
      <w:pPr>
        <w:pStyle w:val="Legenda"/>
        <w:jc w:val="both"/>
        <w:rPr>
          <w:rFonts w:eastAsia="Calibri"/>
          <w:color w:val="auto"/>
          <w:sz w:val="20"/>
          <w:szCs w:val="20"/>
        </w:rPr>
      </w:pPr>
      <w:bookmarkStart w:id="343" w:name="_Toc324853717"/>
      <w:bookmarkStart w:id="344" w:name="_Toc326055347"/>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29</w:t>
      </w:r>
      <w:r w:rsidR="008F7228">
        <w:rPr>
          <w:color w:val="auto"/>
          <w:sz w:val="20"/>
          <w:szCs w:val="20"/>
        </w:rPr>
        <w:fldChar w:fldCharType="end"/>
      </w:r>
      <w:r w:rsidR="00927C99" w:rsidRPr="006D71C7">
        <w:rPr>
          <w:color w:val="auto"/>
        </w:rPr>
        <w:t xml:space="preserve"> </w:t>
      </w:r>
      <w:r w:rsidR="00726241" w:rsidRPr="006D71C7">
        <w:rPr>
          <w:b w:val="0"/>
          <w:i/>
          <w:color w:val="auto"/>
          <w:sz w:val="20"/>
          <w:szCs w:val="20"/>
        </w:rPr>
        <w:t>Rozkład projektów w podziale na beneficjentów</w:t>
      </w:r>
      <w:bookmarkEnd w:id="343"/>
      <w:bookmarkEnd w:id="344"/>
    </w:p>
    <w:p w:rsidR="00EF1AC6" w:rsidRPr="006D71C7" w:rsidRDefault="00D93C41" w:rsidP="006D71C7">
      <w:pPr>
        <w:autoSpaceDE w:val="0"/>
        <w:autoSpaceDN w:val="0"/>
        <w:adjustRightInd w:val="0"/>
        <w:spacing w:after="0"/>
        <w:jc w:val="both"/>
        <w:rPr>
          <w:rFonts w:eastAsia="Calibri"/>
          <w:szCs w:val="24"/>
        </w:rPr>
      </w:pPr>
      <w:r w:rsidRPr="006D71C7">
        <w:rPr>
          <w:rFonts w:eastAsia="Calibri"/>
          <w:szCs w:val="24"/>
        </w:rPr>
        <w:t xml:space="preserve">Około </w:t>
      </w:r>
      <w:r w:rsidRPr="006D71C7">
        <w:rPr>
          <w:rFonts w:eastAsia="Calibri"/>
          <w:b/>
          <w:bCs/>
          <w:szCs w:val="24"/>
        </w:rPr>
        <w:t xml:space="preserve">83% </w:t>
      </w:r>
      <w:r w:rsidRPr="006D71C7">
        <w:rPr>
          <w:rFonts w:eastAsia="Calibri"/>
          <w:szCs w:val="24"/>
        </w:rPr>
        <w:t xml:space="preserve">środków skierowanych zostało na realizacje inwestycji na obszarach miejskich, natomiast około </w:t>
      </w:r>
      <w:r w:rsidRPr="006D71C7">
        <w:rPr>
          <w:rFonts w:eastAsia="Calibri"/>
          <w:b/>
          <w:bCs/>
          <w:szCs w:val="24"/>
        </w:rPr>
        <w:t xml:space="preserve">15% </w:t>
      </w:r>
      <w:r w:rsidRPr="006D71C7">
        <w:rPr>
          <w:rFonts w:eastAsia="Calibri"/>
          <w:szCs w:val="24"/>
        </w:rPr>
        <w:t>na terenach wiejskich</w:t>
      </w:r>
      <w:r w:rsidR="00726241" w:rsidRPr="006D71C7">
        <w:rPr>
          <w:rFonts w:eastAsia="Calibri"/>
          <w:szCs w:val="24"/>
        </w:rPr>
        <w:t>.</w:t>
      </w:r>
    </w:p>
    <w:p w:rsidR="00726241" w:rsidRPr="006D71C7" w:rsidRDefault="00726241" w:rsidP="006D71C7">
      <w:pPr>
        <w:pStyle w:val="Legenda"/>
        <w:jc w:val="both"/>
        <w:rPr>
          <w:color w:val="auto"/>
        </w:rPr>
      </w:pPr>
    </w:p>
    <w:p w:rsidR="001915C3" w:rsidRPr="006D71C7" w:rsidRDefault="007338BD" w:rsidP="006D71C7">
      <w:pPr>
        <w:pStyle w:val="Legenda"/>
        <w:jc w:val="both"/>
        <w:rPr>
          <w:color w:val="auto"/>
          <w:sz w:val="20"/>
          <w:szCs w:val="20"/>
        </w:rPr>
      </w:pPr>
      <w:bookmarkStart w:id="345" w:name="_Toc324853718"/>
      <w:bookmarkStart w:id="346" w:name="_Toc326046371"/>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19</w:t>
      </w:r>
      <w:r w:rsidR="008F7228" w:rsidRPr="006D71C7">
        <w:rPr>
          <w:color w:val="auto"/>
          <w:sz w:val="20"/>
          <w:szCs w:val="20"/>
        </w:rPr>
        <w:fldChar w:fldCharType="end"/>
      </w:r>
      <w:r w:rsidR="00927C99" w:rsidRPr="006D71C7">
        <w:rPr>
          <w:color w:val="auto"/>
        </w:rPr>
        <w:t xml:space="preserve"> </w:t>
      </w:r>
      <w:r w:rsidR="00726241" w:rsidRPr="006D71C7">
        <w:rPr>
          <w:b w:val="0"/>
          <w:i/>
          <w:color w:val="auto"/>
          <w:sz w:val="20"/>
          <w:szCs w:val="20"/>
        </w:rPr>
        <w:t>Rozkład projektów w podziale na obszary</w:t>
      </w:r>
      <w:r w:rsidR="0058229F" w:rsidRPr="006D71C7">
        <w:rPr>
          <w:b w:val="0"/>
          <w:i/>
          <w:color w:val="auto"/>
          <w:sz w:val="20"/>
          <w:szCs w:val="20"/>
        </w:rPr>
        <w:t xml:space="preserve"> (wartość w mln EUR i liczba)</w:t>
      </w:r>
      <w:bookmarkEnd w:id="345"/>
      <w:bookmarkEnd w:id="346"/>
    </w:p>
    <w:tbl>
      <w:tblPr>
        <w:tblW w:w="7729" w:type="dxa"/>
        <w:jc w:val="center"/>
        <w:tblCellMar>
          <w:left w:w="70" w:type="dxa"/>
          <w:right w:w="70" w:type="dxa"/>
        </w:tblCellMar>
        <w:tblLook w:val="04A0" w:firstRow="1" w:lastRow="0" w:firstColumn="1" w:lastColumn="0" w:noHBand="0" w:noVBand="1"/>
      </w:tblPr>
      <w:tblGrid>
        <w:gridCol w:w="1418"/>
        <w:gridCol w:w="1350"/>
        <w:gridCol w:w="2410"/>
        <w:gridCol w:w="2551"/>
      </w:tblGrid>
      <w:tr w:rsidR="00635D92" w:rsidRPr="006D71C7" w:rsidTr="00726241">
        <w:trPr>
          <w:trHeight w:val="780"/>
          <w:jc w:val="center"/>
        </w:trPr>
        <w:tc>
          <w:tcPr>
            <w:tcW w:w="1418" w:type="dxa"/>
            <w:tcBorders>
              <w:top w:val="single" w:sz="8" w:space="0" w:color="D34817"/>
              <w:left w:val="single" w:sz="8" w:space="0" w:color="D34817"/>
              <w:bottom w:val="single" w:sz="8" w:space="0" w:color="D34817"/>
              <w:right w:val="single" w:sz="8" w:space="0" w:color="D34817"/>
            </w:tcBorders>
            <w:shd w:val="clear" w:color="000000" w:fill="F4B29B"/>
            <w:vAlign w:val="center"/>
            <w:hideMark/>
          </w:tcPr>
          <w:p w:rsidR="00C43B75" w:rsidRDefault="00635D92" w:rsidP="00C43B75">
            <w:pPr>
              <w:spacing w:after="0" w:line="240" w:lineRule="auto"/>
              <w:jc w:val="center"/>
              <w:rPr>
                <w:b/>
                <w:bCs/>
                <w:sz w:val="20"/>
                <w:szCs w:val="20"/>
              </w:rPr>
            </w:pPr>
            <w:r w:rsidRPr="006D71C7">
              <w:rPr>
                <w:b/>
                <w:bCs/>
                <w:sz w:val="20"/>
                <w:szCs w:val="20"/>
              </w:rPr>
              <w:t>OBSZAR</w:t>
            </w:r>
          </w:p>
        </w:tc>
        <w:tc>
          <w:tcPr>
            <w:tcW w:w="1350" w:type="dxa"/>
            <w:tcBorders>
              <w:top w:val="single" w:sz="8" w:space="0" w:color="D34817"/>
              <w:left w:val="nil"/>
              <w:bottom w:val="single" w:sz="8" w:space="0" w:color="D34817"/>
              <w:right w:val="single" w:sz="8" w:space="0" w:color="D34817"/>
            </w:tcBorders>
            <w:shd w:val="clear" w:color="000000" w:fill="F4B29B"/>
            <w:vAlign w:val="center"/>
            <w:hideMark/>
          </w:tcPr>
          <w:p w:rsidR="00C43B75" w:rsidRDefault="00635D92" w:rsidP="00C43B75">
            <w:pPr>
              <w:spacing w:after="0" w:line="240" w:lineRule="auto"/>
              <w:jc w:val="center"/>
              <w:rPr>
                <w:b/>
                <w:bCs/>
                <w:sz w:val="20"/>
                <w:szCs w:val="20"/>
              </w:rPr>
            </w:pPr>
            <w:r w:rsidRPr="006D71C7">
              <w:rPr>
                <w:b/>
                <w:bCs/>
                <w:sz w:val="20"/>
                <w:szCs w:val="20"/>
              </w:rPr>
              <w:t>LICZBA</w:t>
            </w:r>
          </w:p>
        </w:tc>
        <w:tc>
          <w:tcPr>
            <w:tcW w:w="2410" w:type="dxa"/>
            <w:tcBorders>
              <w:top w:val="single" w:sz="8" w:space="0" w:color="D34817"/>
              <w:left w:val="nil"/>
              <w:bottom w:val="single" w:sz="8" w:space="0" w:color="D34817"/>
              <w:right w:val="single" w:sz="8" w:space="0" w:color="D34817"/>
            </w:tcBorders>
            <w:shd w:val="clear" w:color="000000" w:fill="F4B29B"/>
            <w:vAlign w:val="center"/>
            <w:hideMark/>
          </w:tcPr>
          <w:p w:rsidR="00C43B75" w:rsidRDefault="00635D92" w:rsidP="00C43B75">
            <w:pPr>
              <w:spacing w:after="0" w:line="240" w:lineRule="auto"/>
              <w:jc w:val="center"/>
              <w:rPr>
                <w:b/>
                <w:bCs/>
                <w:sz w:val="20"/>
                <w:szCs w:val="20"/>
              </w:rPr>
            </w:pPr>
            <w:r w:rsidRPr="006D71C7">
              <w:rPr>
                <w:b/>
                <w:bCs/>
                <w:sz w:val="20"/>
                <w:szCs w:val="20"/>
              </w:rPr>
              <w:t>WARTOŚĆ OGÓŁEM</w:t>
            </w:r>
          </w:p>
        </w:tc>
        <w:tc>
          <w:tcPr>
            <w:tcW w:w="2551" w:type="dxa"/>
            <w:tcBorders>
              <w:top w:val="single" w:sz="8" w:space="0" w:color="D34817"/>
              <w:left w:val="nil"/>
              <w:bottom w:val="single" w:sz="8" w:space="0" w:color="D34817"/>
              <w:right w:val="single" w:sz="8" w:space="0" w:color="D34817"/>
            </w:tcBorders>
            <w:shd w:val="clear" w:color="000000" w:fill="F4B29B"/>
            <w:vAlign w:val="center"/>
            <w:hideMark/>
          </w:tcPr>
          <w:p w:rsidR="00C43B75" w:rsidRDefault="00635D92" w:rsidP="00C43B75">
            <w:pPr>
              <w:spacing w:after="0" w:line="240" w:lineRule="auto"/>
              <w:jc w:val="center"/>
              <w:rPr>
                <w:b/>
                <w:bCs/>
                <w:sz w:val="20"/>
                <w:szCs w:val="20"/>
              </w:rPr>
            </w:pPr>
            <w:r w:rsidRPr="006D71C7">
              <w:rPr>
                <w:b/>
                <w:bCs/>
                <w:sz w:val="20"/>
                <w:szCs w:val="20"/>
              </w:rPr>
              <w:t>DOFINANSOWANIE UE</w:t>
            </w:r>
          </w:p>
        </w:tc>
      </w:tr>
      <w:tr w:rsidR="00635D92" w:rsidRPr="006D71C7" w:rsidTr="00726241">
        <w:trPr>
          <w:trHeight w:val="586"/>
          <w:jc w:val="center"/>
        </w:trPr>
        <w:tc>
          <w:tcPr>
            <w:tcW w:w="1418" w:type="dxa"/>
            <w:tcBorders>
              <w:top w:val="nil"/>
              <w:left w:val="single" w:sz="8" w:space="0" w:color="D34817"/>
              <w:bottom w:val="single" w:sz="8" w:space="0" w:color="D34817"/>
              <w:right w:val="single" w:sz="8" w:space="0" w:color="D34817"/>
            </w:tcBorders>
            <w:shd w:val="clear" w:color="000000" w:fill="F4B29B"/>
            <w:vAlign w:val="center"/>
            <w:hideMark/>
          </w:tcPr>
          <w:p w:rsidR="00C43B75" w:rsidRDefault="00635D92" w:rsidP="00C43B75">
            <w:pPr>
              <w:spacing w:after="0" w:line="240" w:lineRule="auto"/>
              <w:jc w:val="center"/>
              <w:rPr>
                <w:b/>
                <w:bCs/>
                <w:sz w:val="20"/>
                <w:szCs w:val="20"/>
              </w:rPr>
            </w:pPr>
            <w:r w:rsidRPr="006D71C7">
              <w:rPr>
                <w:b/>
                <w:bCs/>
                <w:sz w:val="20"/>
                <w:szCs w:val="20"/>
              </w:rPr>
              <w:t>MIEJSKI</w:t>
            </w:r>
          </w:p>
        </w:tc>
        <w:tc>
          <w:tcPr>
            <w:tcW w:w="1350" w:type="dxa"/>
            <w:tcBorders>
              <w:top w:val="nil"/>
              <w:left w:val="nil"/>
              <w:bottom w:val="single" w:sz="8" w:space="0" w:color="D34817"/>
              <w:right w:val="single" w:sz="8" w:space="0" w:color="D34817"/>
            </w:tcBorders>
            <w:shd w:val="clear" w:color="000000" w:fill="F9D8CD"/>
            <w:vAlign w:val="center"/>
            <w:hideMark/>
          </w:tcPr>
          <w:p w:rsidR="00C43B75" w:rsidRDefault="00635D92" w:rsidP="00C43B75">
            <w:pPr>
              <w:spacing w:after="0" w:line="240" w:lineRule="auto"/>
              <w:jc w:val="center"/>
              <w:rPr>
                <w:sz w:val="22"/>
              </w:rPr>
            </w:pPr>
            <w:r w:rsidRPr="006D71C7">
              <w:rPr>
                <w:sz w:val="22"/>
              </w:rPr>
              <w:t>59</w:t>
            </w:r>
          </w:p>
        </w:tc>
        <w:tc>
          <w:tcPr>
            <w:tcW w:w="2410" w:type="dxa"/>
            <w:tcBorders>
              <w:top w:val="nil"/>
              <w:left w:val="nil"/>
              <w:bottom w:val="single" w:sz="8" w:space="0" w:color="D34817"/>
              <w:right w:val="single" w:sz="8" w:space="0" w:color="D34817"/>
            </w:tcBorders>
            <w:shd w:val="clear" w:color="000000" w:fill="F9D8CD"/>
            <w:vAlign w:val="center"/>
            <w:hideMark/>
          </w:tcPr>
          <w:p w:rsidR="00C43B75" w:rsidRDefault="00635D92" w:rsidP="00C43B75">
            <w:pPr>
              <w:spacing w:after="0" w:line="240" w:lineRule="auto"/>
              <w:jc w:val="center"/>
              <w:rPr>
                <w:sz w:val="22"/>
              </w:rPr>
            </w:pPr>
            <w:r w:rsidRPr="006D71C7">
              <w:rPr>
                <w:sz w:val="22"/>
              </w:rPr>
              <w:t>91,10</w:t>
            </w:r>
          </w:p>
        </w:tc>
        <w:tc>
          <w:tcPr>
            <w:tcW w:w="2551" w:type="dxa"/>
            <w:tcBorders>
              <w:top w:val="nil"/>
              <w:left w:val="nil"/>
              <w:bottom w:val="single" w:sz="8" w:space="0" w:color="D34817"/>
              <w:right w:val="single" w:sz="8" w:space="0" w:color="D34817"/>
            </w:tcBorders>
            <w:shd w:val="clear" w:color="000000" w:fill="F9D8CD"/>
            <w:vAlign w:val="center"/>
            <w:hideMark/>
          </w:tcPr>
          <w:p w:rsidR="00C43B75" w:rsidRDefault="00635D92" w:rsidP="00C43B75">
            <w:pPr>
              <w:spacing w:after="0" w:line="240" w:lineRule="auto"/>
              <w:jc w:val="center"/>
              <w:rPr>
                <w:sz w:val="22"/>
              </w:rPr>
            </w:pPr>
            <w:r w:rsidRPr="006D71C7">
              <w:rPr>
                <w:sz w:val="22"/>
              </w:rPr>
              <w:t>63,92</w:t>
            </w:r>
          </w:p>
        </w:tc>
      </w:tr>
      <w:tr w:rsidR="00635D92" w:rsidRPr="006D71C7" w:rsidTr="00726241">
        <w:trPr>
          <w:trHeight w:val="551"/>
          <w:jc w:val="center"/>
        </w:trPr>
        <w:tc>
          <w:tcPr>
            <w:tcW w:w="1418" w:type="dxa"/>
            <w:tcBorders>
              <w:top w:val="nil"/>
              <w:left w:val="single" w:sz="8" w:space="0" w:color="D34817"/>
              <w:bottom w:val="single" w:sz="8" w:space="0" w:color="D34817"/>
              <w:right w:val="single" w:sz="8" w:space="0" w:color="D34817"/>
            </w:tcBorders>
            <w:shd w:val="clear" w:color="000000" w:fill="F4B29B"/>
            <w:vAlign w:val="center"/>
            <w:hideMark/>
          </w:tcPr>
          <w:p w:rsidR="00C43B75" w:rsidRDefault="00635D92" w:rsidP="00C43B75">
            <w:pPr>
              <w:spacing w:after="0" w:line="240" w:lineRule="auto"/>
              <w:jc w:val="center"/>
              <w:rPr>
                <w:b/>
                <w:bCs/>
                <w:sz w:val="20"/>
                <w:szCs w:val="20"/>
              </w:rPr>
            </w:pPr>
            <w:r w:rsidRPr="006D71C7">
              <w:rPr>
                <w:b/>
                <w:bCs/>
                <w:sz w:val="20"/>
                <w:szCs w:val="20"/>
              </w:rPr>
              <w:t>WIEJSKI</w:t>
            </w:r>
          </w:p>
        </w:tc>
        <w:tc>
          <w:tcPr>
            <w:tcW w:w="1350" w:type="dxa"/>
            <w:tcBorders>
              <w:top w:val="nil"/>
              <w:left w:val="nil"/>
              <w:bottom w:val="single" w:sz="8" w:space="0" w:color="D34817"/>
              <w:right w:val="single" w:sz="8" w:space="0" w:color="D34817"/>
            </w:tcBorders>
            <w:shd w:val="clear" w:color="000000" w:fill="F9D8CD"/>
            <w:vAlign w:val="center"/>
            <w:hideMark/>
          </w:tcPr>
          <w:p w:rsidR="00C43B75" w:rsidRDefault="00635D92" w:rsidP="00C43B75">
            <w:pPr>
              <w:spacing w:after="0" w:line="240" w:lineRule="auto"/>
              <w:jc w:val="center"/>
              <w:rPr>
                <w:sz w:val="22"/>
              </w:rPr>
            </w:pPr>
            <w:r w:rsidRPr="006D71C7">
              <w:rPr>
                <w:sz w:val="22"/>
              </w:rPr>
              <w:t>37</w:t>
            </w:r>
          </w:p>
        </w:tc>
        <w:tc>
          <w:tcPr>
            <w:tcW w:w="2410" w:type="dxa"/>
            <w:tcBorders>
              <w:top w:val="nil"/>
              <w:left w:val="nil"/>
              <w:bottom w:val="single" w:sz="8" w:space="0" w:color="D34817"/>
              <w:right w:val="single" w:sz="8" w:space="0" w:color="D34817"/>
            </w:tcBorders>
            <w:shd w:val="clear" w:color="000000" w:fill="F9D8CD"/>
            <w:vAlign w:val="center"/>
            <w:hideMark/>
          </w:tcPr>
          <w:p w:rsidR="00C43B75" w:rsidRDefault="00635D92" w:rsidP="00C43B75">
            <w:pPr>
              <w:spacing w:after="0" w:line="240" w:lineRule="auto"/>
              <w:jc w:val="center"/>
              <w:rPr>
                <w:sz w:val="22"/>
              </w:rPr>
            </w:pPr>
            <w:r w:rsidRPr="006D71C7">
              <w:rPr>
                <w:sz w:val="22"/>
              </w:rPr>
              <w:t>14,53</w:t>
            </w:r>
          </w:p>
        </w:tc>
        <w:tc>
          <w:tcPr>
            <w:tcW w:w="2551" w:type="dxa"/>
            <w:tcBorders>
              <w:top w:val="nil"/>
              <w:left w:val="nil"/>
              <w:bottom w:val="single" w:sz="8" w:space="0" w:color="D34817"/>
              <w:right w:val="single" w:sz="8" w:space="0" w:color="D34817"/>
            </w:tcBorders>
            <w:shd w:val="clear" w:color="000000" w:fill="F9D8CD"/>
            <w:vAlign w:val="center"/>
            <w:hideMark/>
          </w:tcPr>
          <w:p w:rsidR="00C43B75" w:rsidRDefault="00635D92" w:rsidP="00C43B75">
            <w:pPr>
              <w:spacing w:after="0" w:line="240" w:lineRule="auto"/>
              <w:jc w:val="center"/>
              <w:rPr>
                <w:sz w:val="22"/>
              </w:rPr>
            </w:pPr>
            <w:r w:rsidRPr="006D71C7">
              <w:rPr>
                <w:sz w:val="22"/>
              </w:rPr>
              <w:t>11,73</w:t>
            </w:r>
          </w:p>
        </w:tc>
      </w:tr>
      <w:tr w:rsidR="00635D92" w:rsidRPr="006D71C7" w:rsidTr="00726241">
        <w:trPr>
          <w:trHeight w:val="545"/>
          <w:jc w:val="center"/>
        </w:trPr>
        <w:tc>
          <w:tcPr>
            <w:tcW w:w="1418" w:type="dxa"/>
            <w:tcBorders>
              <w:top w:val="nil"/>
              <w:left w:val="single" w:sz="8" w:space="0" w:color="D34817"/>
              <w:bottom w:val="single" w:sz="8" w:space="0" w:color="D34817"/>
              <w:right w:val="single" w:sz="8" w:space="0" w:color="D34817"/>
            </w:tcBorders>
            <w:shd w:val="clear" w:color="000000" w:fill="F4B29B"/>
            <w:vAlign w:val="center"/>
            <w:hideMark/>
          </w:tcPr>
          <w:p w:rsidR="00C43B75" w:rsidRDefault="00635D92" w:rsidP="00C43B75">
            <w:pPr>
              <w:spacing w:after="0" w:line="240" w:lineRule="auto"/>
              <w:jc w:val="center"/>
              <w:rPr>
                <w:b/>
                <w:bCs/>
                <w:sz w:val="20"/>
                <w:szCs w:val="20"/>
              </w:rPr>
            </w:pPr>
            <w:r w:rsidRPr="006D71C7">
              <w:rPr>
                <w:b/>
                <w:bCs/>
                <w:sz w:val="20"/>
                <w:szCs w:val="20"/>
              </w:rPr>
              <w:t>GÓRSKI</w:t>
            </w:r>
          </w:p>
        </w:tc>
        <w:tc>
          <w:tcPr>
            <w:tcW w:w="1350" w:type="dxa"/>
            <w:tcBorders>
              <w:top w:val="nil"/>
              <w:left w:val="nil"/>
              <w:bottom w:val="single" w:sz="8" w:space="0" w:color="D34817"/>
              <w:right w:val="single" w:sz="8" w:space="0" w:color="D34817"/>
            </w:tcBorders>
            <w:shd w:val="clear" w:color="000000" w:fill="F9D8CD"/>
            <w:vAlign w:val="center"/>
            <w:hideMark/>
          </w:tcPr>
          <w:p w:rsidR="00C43B75" w:rsidRDefault="00635D92" w:rsidP="00C43B75">
            <w:pPr>
              <w:spacing w:after="0" w:line="240" w:lineRule="auto"/>
              <w:jc w:val="center"/>
              <w:rPr>
                <w:sz w:val="22"/>
              </w:rPr>
            </w:pPr>
            <w:r w:rsidRPr="006D71C7">
              <w:rPr>
                <w:sz w:val="22"/>
              </w:rPr>
              <w:t>4</w:t>
            </w:r>
          </w:p>
        </w:tc>
        <w:tc>
          <w:tcPr>
            <w:tcW w:w="2410" w:type="dxa"/>
            <w:tcBorders>
              <w:top w:val="nil"/>
              <w:left w:val="nil"/>
              <w:bottom w:val="single" w:sz="8" w:space="0" w:color="D34817"/>
              <w:right w:val="single" w:sz="8" w:space="0" w:color="D34817"/>
            </w:tcBorders>
            <w:shd w:val="clear" w:color="000000" w:fill="F9D8CD"/>
            <w:vAlign w:val="center"/>
            <w:hideMark/>
          </w:tcPr>
          <w:p w:rsidR="00C43B75" w:rsidRDefault="00635D92" w:rsidP="00C43B75">
            <w:pPr>
              <w:spacing w:after="0" w:line="240" w:lineRule="auto"/>
              <w:jc w:val="center"/>
              <w:rPr>
                <w:sz w:val="22"/>
              </w:rPr>
            </w:pPr>
            <w:r w:rsidRPr="006D71C7">
              <w:rPr>
                <w:sz w:val="22"/>
              </w:rPr>
              <w:t>1,19</w:t>
            </w:r>
          </w:p>
        </w:tc>
        <w:tc>
          <w:tcPr>
            <w:tcW w:w="2551" w:type="dxa"/>
            <w:tcBorders>
              <w:top w:val="nil"/>
              <w:left w:val="nil"/>
              <w:bottom w:val="single" w:sz="8" w:space="0" w:color="D34817"/>
              <w:right w:val="single" w:sz="8" w:space="0" w:color="D34817"/>
            </w:tcBorders>
            <w:shd w:val="clear" w:color="000000" w:fill="F9D8CD"/>
            <w:vAlign w:val="center"/>
            <w:hideMark/>
          </w:tcPr>
          <w:p w:rsidR="00C43B75" w:rsidRDefault="00635D92" w:rsidP="00C43B75">
            <w:pPr>
              <w:spacing w:after="0" w:line="240" w:lineRule="auto"/>
              <w:jc w:val="center"/>
              <w:rPr>
                <w:sz w:val="22"/>
              </w:rPr>
            </w:pPr>
            <w:r w:rsidRPr="006D71C7">
              <w:rPr>
                <w:sz w:val="22"/>
              </w:rPr>
              <w:t>1,02</w:t>
            </w:r>
          </w:p>
        </w:tc>
      </w:tr>
    </w:tbl>
    <w:p w:rsidR="00190FAD" w:rsidRPr="006D71C7" w:rsidRDefault="00190FAD" w:rsidP="006D71C7">
      <w:pPr>
        <w:autoSpaceDE w:val="0"/>
        <w:autoSpaceDN w:val="0"/>
        <w:adjustRightInd w:val="0"/>
        <w:spacing w:after="120"/>
        <w:jc w:val="both"/>
        <w:rPr>
          <w:rFonts w:eastAsia="Calibri"/>
          <w:szCs w:val="24"/>
        </w:rPr>
      </w:pPr>
    </w:p>
    <w:p w:rsidR="00245F70" w:rsidRPr="006D71C7" w:rsidRDefault="00190FAD" w:rsidP="006D71C7">
      <w:pPr>
        <w:autoSpaceDE w:val="0"/>
        <w:autoSpaceDN w:val="0"/>
        <w:adjustRightInd w:val="0"/>
        <w:spacing w:after="120"/>
        <w:jc w:val="both"/>
        <w:rPr>
          <w:rFonts w:eastAsia="SwitzerPSEFNLight"/>
          <w:szCs w:val="24"/>
        </w:rPr>
      </w:pPr>
      <w:r w:rsidRPr="006D71C7">
        <w:rPr>
          <w:rFonts w:eastAsia="Calibri"/>
          <w:szCs w:val="24"/>
        </w:rPr>
        <w:t xml:space="preserve">W ramach priorytetu II pod względem kwotowym najbardziej aktywnymi beneficjentami były miasta na prawach powiatu będące stolicami czterech subregionów województwa śląskiego: </w:t>
      </w:r>
      <w:r w:rsidRPr="006D71C7">
        <w:rPr>
          <w:rFonts w:eastAsia="Calibri"/>
          <w:bCs/>
          <w:szCs w:val="24"/>
        </w:rPr>
        <w:t xml:space="preserve">Miasto Katowice </w:t>
      </w:r>
      <w:r w:rsidRPr="006D71C7">
        <w:rPr>
          <w:rFonts w:eastAsia="Calibri"/>
          <w:szCs w:val="24"/>
        </w:rPr>
        <w:t>(3 projekty o wartości dofinansowania 4 mln EUR), Miasto Bielsko – Biała (5 projektów o wartości dofinansowania 6 mln EUR), Miasto Rybnik (3 projekty o wartości dofinansowania 3 mln EUR). Najwięcej projektów, ale bardzo niewielkich kwotowo beneficjenci zrealizują w powiecie cieszyńskim – 12 projektów na kwotę 973 050 EUR).</w:t>
      </w:r>
      <w:r w:rsidR="00380D10" w:rsidRPr="006D71C7">
        <w:rPr>
          <w:rFonts w:eastAsia="Calibri"/>
          <w:szCs w:val="24"/>
        </w:rPr>
        <w:t xml:space="preserve"> W ramach przedmiotowego priorytetu są także beneficjenci, którzy nie wnioskowali o środki w zakresie społeczeństwa informacyjnego m.in. Miasto Ruda Śląska, Miasto Chorzów.</w:t>
      </w:r>
    </w:p>
    <w:p w:rsidR="00190FAD" w:rsidRPr="006D71C7" w:rsidRDefault="00190FAD" w:rsidP="006D71C7">
      <w:pPr>
        <w:spacing w:after="0" w:line="240" w:lineRule="auto"/>
        <w:jc w:val="both"/>
        <w:rPr>
          <w:b/>
          <w:i/>
          <w:szCs w:val="24"/>
        </w:rPr>
      </w:pPr>
      <w:r w:rsidRPr="006D71C7">
        <w:rPr>
          <w:b/>
          <w:i/>
          <w:noProof/>
          <w:szCs w:val="24"/>
        </w:rPr>
        <w:drawing>
          <wp:inline distT="0" distB="0" distL="0" distR="0">
            <wp:extent cx="5759450" cy="5473508"/>
            <wp:effectExtent l="19050" t="0" r="0" b="0"/>
            <wp:docPr id="46"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srcRect/>
                    <a:stretch>
                      <a:fillRect/>
                    </a:stretch>
                  </pic:blipFill>
                  <pic:spPr bwMode="auto">
                    <a:xfrm>
                      <a:off x="0" y="0"/>
                      <a:ext cx="5759450" cy="5473508"/>
                    </a:xfrm>
                    <a:prstGeom prst="rect">
                      <a:avLst/>
                    </a:prstGeom>
                    <a:noFill/>
                    <a:ln w="9525">
                      <a:noFill/>
                      <a:miter lim="800000"/>
                      <a:headEnd/>
                      <a:tailEnd/>
                    </a:ln>
                  </pic:spPr>
                </pic:pic>
              </a:graphicData>
            </a:graphic>
          </wp:inline>
        </w:drawing>
      </w:r>
    </w:p>
    <w:p w:rsidR="00245F70" w:rsidRPr="006D71C7" w:rsidRDefault="007338BD" w:rsidP="006D71C7">
      <w:pPr>
        <w:pStyle w:val="Legenda"/>
        <w:jc w:val="both"/>
        <w:rPr>
          <w:b w:val="0"/>
          <w:i/>
          <w:color w:val="auto"/>
          <w:sz w:val="20"/>
          <w:szCs w:val="20"/>
        </w:rPr>
      </w:pPr>
      <w:bookmarkStart w:id="347" w:name="_Toc324786939"/>
      <w:bookmarkStart w:id="348" w:name="_Toc324854704"/>
      <w:bookmarkStart w:id="349" w:name="_Toc324854768"/>
      <w:bookmarkStart w:id="350" w:name="_Toc326055348"/>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30</w:t>
      </w:r>
      <w:r w:rsidR="008F7228">
        <w:rPr>
          <w:color w:val="auto"/>
          <w:sz w:val="20"/>
          <w:szCs w:val="20"/>
        </w:rPr>
        <w:fldChar w:fldCharType="end"/>
      </w:r>
      <w:r w:rsidRPr="006D71C7">
        <w:rPr>
          <w:color w:val="auto"/>
          <w:sz w:val="20"/>
          <w:szCs w:val="20"/>
        </w:rPr>
        <w:t xml:space="preserve"> </w:t>
      </w:r>
      <w:r w:rsidRPr="006D71C7">
        <w:rPr>
          <w:b w:val="0"/>
          <w:i/>
          <w:color w:val="auto"/>
          <w:sz w:val="20"/>
          <w:szCs w:val="20"/>
        </w:rPr>
        <w:t>Rozkład projektów w podziale na powiaty</w:t>
      </w:r>
      <w:bookmarkEnd w:id="347"/>
      <w:bookmarkEnd w:id="348"/>
      <w:bookmarkEnd w:id="349"/>
      <w:bookmarkEnd w:id="350"/>
      <w:r w:rsidRPr="006D71C7">
        <w:rPr>
          <w:color w:val="auto"/>
          <w:sz w:val="20"/>
          <w:szCs w:val="20"/>
        </w:rPr>
        <w:t xml:space="preserve"> </w:t>
      </w:r>
    </w:p>
    <w:p w:rsidR="000F467C" w:rsidRPr="006D71C7" w:rsidRDefault="000F467C" w:rsidP="006D71C7">
      <w:pPr>
        <w:jc w:val="both"/>
        <w:rPr>
          <w:b/>
          <w:i/>
          <w:szCs w:val="24"/>
        </w:rPr>
      </w:pPr>
      <w:r w:rsidRPr="006D71C7">
        <w:rPr>
          <w:b/>
          <w:i/>
          <w:szCs w:val="24"/>
        </w:rPr>
        <w:t>Analiza wskaźnikowa</w:t>
      </w:r>
    </w:p>
    <w:p w:rsidR="009A515B" w:rsidRPr="006D71C7" w:rsidRDefault="00907F1A" w:rsidP="006D71C7">
      <w:pPr>
        <w:jc w:val="both"/>
        <w:rPr>
          <w:szCs w:val="24"/>
        </w:rPr>
      </w:pPr>
      <w:r w:rsidRPr="006D71C7">
        <w:rPr>
          <w:szCs w:val="24"/>
        </w:rPr>
        <w:t xml:space="preserve">W związku z problemami prawnymi w 2010 roku związanymi z brakiem </w:t>
      </w:r>
      <w:r w:rsidRPr="006D71C7">
        <w:rPr>
          <w:i/>
          <w:szCs w:val="24"/>
        </w:rPr>
        <w:t>Rozporządzenia Ministra Rozwoju Regionalnego w sprawie udzielania pomocy na inwestycje w zakresie: energetyki, infrastruktury telekomunikacyjnej, infrastruktury sfery badawczo rozwojowej, lecznictwa uzdrowiskowego w ramach regionalnych programów operacyjnych</w:t>
      </w:r>
      <w:r w:rsidRPr="006D71C7">
        <w:rPr>
          <w:szCs w:val="24"/>
        </w:rPr>
        <w:t xml:space="preserve">, </w:t>
      </w:r>
      <w:r w:rsidR="009A515B" w:rsidRPr="006D71C7">
        <w:rPr>
          <w:szCs w:val="24"/>
        </w:rPr>
        <w:t>realizacja wskaźników w ramach p</w:t>
      </w:r>
      <w:r w:rsidRPr="006D71C7">
        <w:rPr>
          <w:szCs w:val="24"/>
        </w:rPr>
        <w:t>riorytetu jest znacznie opóźniona. Dla niektórych wskaźników osiągnięcie wartości docelowej przesunęło się jedynie w czasie dla innych istnieje ryzyko nieosiągnięcia założonej wartości docelowej.</w:t>
      </w:r>
      <w:r w:rsidR="009A515B" w:rsidRPr="006D71C7">
        <w:rPr>
          <w:szCs w:val="24"/>
        </w:rPr>
        <w:t xml:space="preserve"> </w:t>
      </w:r>
      <w:r w:rsidRPr="006D71C7">
        <w:rPr>
          <w:szCs w:val="24"/>
        </w:rPr>
        <w:t>Powodem zaistniałej sytuacji była linia demarkacyjna pomiędzy RPO WSL a POIG</w:t>
      </w:r>
      <w:r w:rsidR="009A515B" w:rsidRPr="006D71C7">
        <w:rPr>
          <w:szCs w:val="24"/>
        </w:rPr>
        <w:t>,</w:t>
      </w:r>
      <w:r w:rsidRPr="006D71C7">
        <w:rPr>
          <w:szCs w:val="24"/>
        </w:rPr>
        <w:t xml:space="preserve"> a co za tym idzie zapisy w URPO, które nie dopuszczały podłączania użytkowników ostatecznych. W związku z tym podczas renegocja</w:t>
      </w:r>
      <w:r w:rsidR="00095118" w:rsidRPr="006D71C7">
        <w:rPr>
          <w:szCs w:val="24"/>
        </w:rPr>
        <w:t>cji RPO WSL wskaźniki rezultatu</w:t>
      </w:r>
      <w:r w:rsidRPr="006D71C7">
        <w:rPr>
          <w:szCs w:val="24"/>
        </w:rPr>
        <w:t xml:space="preserve"> </w:t>
      </w:r>
      <w:r w:rsidRPr="006D71C7">
        <w:rPr>
          <w:i/>
          <w:szCs w:val="24"/>
        </w:rPr>
        <w:t>Liczba podłączeń do</w:t>
      </w:r>
      <w:r w:rsidRPr="006D71C7">
        <w:rPr>
          <w:szCs w:val="24"/>
        </w:rPr>
        <w:t xml:space="preserve"> </w:t>
      </w:r>
      <w:r w:rsidRPr="006D71C7">
        <w:rPr>
          <w:i/>
          <w:szCs w:val="24"/>
        </w:rPr>
        <w:t>Internetu szerokopasmowego w tym: gospodarstwa domowe,</w:t>
      </w:r>
      <w:r w:rsidRPr="006D71C7">
        <w:rPr>
          <w:szCs w:val="24"/>
        </w:rPr>
        <w:t xml:space="preserve"> </w:t>
      </w:r>
      <w:r w:rsidRPr="006D71C7">
        <w:rPr>
          <w:i/>
          <w:szCs w:val="24"/>
        </w:rPr>
        <w:t>przedsiębiorstwa, instytucje</w:t>
      </w:r>
      <w:r w:rsidRPr="006D71C7">
        <w:rPr>
          <w:szCs w:val="24"/>
        </w:rPr>
        <w:t xml:space="preserve"> oraz </w:t>
      </w:r>
      <w:r w:rsidRPr="006D71C7">
        <w:rPr>
          <w:i/>
          <w:szCs w:val="24"/>
        </w:rPr>
        <w:t>Dodatkowa liczba osób, które uzyskały dostęp do Internetu szerokopasmowego</w:t>
      </w:r>
      <w:r w:rsidRPr="006D71C7">
        <w:rPr>
          <w:szCs w:val="24"/>
        </w:rPr>
        <w:t xml:space="preserve"> otrzymały nowe brzmienie a mianowicie </w:t>
      </w:r>
      <w:r w:rsidRPr="006D71C7">
        <w:rPr>
          <w:rFonts w:eastAsiaTheme="minorHAnsi"/>
          <w:i/>
          <w:szCs w:val="24"/>
          <w:lang w:eastAsia="en-US"/>
        </w:rPr>
        <w:t xml:space="preserve">Liczba przedsiębiorstw, które uzyskały możliwość dostępu do </w:t>
      </w:r>
      <w:r w:rsidRPr="006D71C7">
        <w:rPr>
          <w:i/>
          <w:szCs w:val="24"/>
        </w:rPr>
        <w:t xml:space="preserve">Internetu </w:t>
      </w:r>
      <w:r w:rsidRPr="006D71C7">
        <w:rPr>
          <w:rFonts w:eastAsiaTheme="minorHAnsi"/>
          <w:i/>
          <w:szCs w:val="24"/>
          <w:lang w:eastAsia="en-US"/>
        </w:rPr>
        <w:t xml:space="preserve">Liczba instytucji, które uzyskały możliwość dostępu do </w:t>
      </w:r>
      <w:r w:rsidRPr="006D71C7">
        <w:rPr>
          <w:i/>
          <w:szCs w:val="24"/>
        </w:rPr>
        <w:t xml:space="preserve">Internetu </w:t>
      </w:r>
      <w:r w:rsidRPr="006D71C7">
        <w:rPr>
          <w:szCs w:val="24"/>
        </w:rPr>
        <w:t xml:space="preserve">oraz </w:t>
      </w:r>
      <w:r w:rsidRPr="006D71C7">
        <w:rPr>
          <w:rFonts w:eastAsiaTheme="minorHAnsi"/>
          <w:i/>
          <w:szCs w:val="24"/>
          <w:lang w:eastAsia="en-US"/>
        </w:rPr>
        <w:t xml:space="preserve">Liczba osób, które uzyskały możliwość dostępu do </w:t>
      </w:r>
      <w:r w:rsidRPr="006D71C7">
        <w:rPr>
          <w:i/>
          <w:szCs w:val="24"/>
        </w:rPr>
        <w:t>Internetu.</w:t>
      </w:r>
      <w:r w:rsidRPr="006D71C7">
        <w:rPr>
          <w:szCs w:val="24"/>
        </w:rPr>
        <w:t xml:space="preserve"> Ponieważ część z beneficjentów podpisała umowy przed aktualizacją URPO WSL, bądź nie wybrała już zaktualizowanych wskaźników szacowana realizacja wszystkich trzech nadal ma wartość zerową. Problem ten zostanie rozwiązany poprzez wysyłanie ankiet wskaźnikowych do wszystkich beneficjentów</w:t>
      </w:r>
      <w:r w:rsidR="000C0725" w:rsidRPr="006D71C7">
        <w:rPr>
          <w:szCs w:val="24"/>
        </w:rPr>
        <w:t>,</w:t>
      </w:r>
      <w:r w:rsidRPr="006D71C7">
        <w:rPr>
          <w:szCs w:val="24"/>
        </w:rPr>
        <w:t xml:space="preserve"> którzy w ramach projektu mogą monitorować ten wskaźnik.</w:t>
      </w:r>
      <w:r w:rsidR="009A515B" w:rsidRPr="006D71C7">
        <w:rPr>
          <w:szCs w:val="24"/>
        </w:rPr>
        <w:t xml:space="preserve"> W kolejnym sprawozdaniu zostaną zaprezentowane już dane, które uda się pozyskać. </w:t>
      </w:r>
      <w:r w:rsidRPr="006D71C7">
        <w:rPr>
          <w:szCs w:val="24"/>
        </w:rPr>
        <w:t>W odniesieniu do wskaźnika</w:t>
      </w:r>
      <w:r w:rsidRPr="006D71C7">
        <w:rPr>
          <w:i/>
          <w:szCs w:val="24"/>
        </w:rPr>
        <w:t xml:space="preserve"> Liczba PIAP objętych wsparciem w ramach Programu</w:t>
      </w:r>
      <w:r w:rsidR="003D6481" w:rsidRPr="006D71C7">
        <w:rPr>
          <w:i/>
          <w:szCs w:val="24"/>
        </w:rPr>
        <w:t xml:space="preserve"> </w:t>
      </w:r>
      <w:r w:rsidR="003D6481" w:rsidRPr="006D71C7">
        <w:rPr>
          <w:szCs w:val="24"/>
        </w:rPr>
        <w:t>pomimo stosunkowo niskiej realizacji,</w:t>
      </w:r>
      <w:r w:rsidR="0058229F" w:rsidRPr="006D71C7">
        <w:rPr>
          <w:i/>
          <w:szCs w:val="24"/>
        </w:rPr>
        <w:t xml:space="preserve"> </w:t>
      </w:r>
      <w:r w:rsidRPr="006D71C7">
        <w:rPr>
          <w:szCs w:val="24"/>
        </w:rPr>
        <w:t>sytuacja nie jest niepokojąca</w:t>
      </w:r>
      <w:r w:rsidR="009A515B" w:rsidRPr="006D71C7">
        <w:rPr>
          <w:szCs w:val="24"/>
        </w:rPr>
        <w:t>,</w:t>
      </w:r>
      <w:r w:rsidRPr="006D71C7">
        <w:rPr>
          <w:szCs w:val="24"/>
        </w:rPr>
        <w:t xml:space="preserve"> gdyż szacowana realizacja pokazuje, że wartości docelowe zostaną osiągnięte w późniejszym czasie.</w:t>
      </w:r>
      <w:r w:rsidR="009A515B" w:rsidRPr="006D71C7">
        <w:rPr>
          <w:szCs w:val="24"/>
        </w:rPr>
        <w:t xml:space="preserve"> Problem w </w:t>
      </w:r>
      <w:r w:rsidRPr="006D71C7">
        <w:rPr>
          <w:szCs w:val="24"/>
        </w:rPr>
        <w:t xml:space="preserve">osiągnięciu założonej wartości docelowej może mieć wskaźnik rezultatu </w:t>
      </w:r>
      <w:r w:rsidRPr="006D71C7">
        <w:rPr>
          <w:i/>
          <w:szCs w:val="24"/>
        </w:rPr>
        <w:t xml:space="preserve">Liczba miejsc pracy, </w:t>
      </w:r>
      <w:r w:rsidRPr="006D71C7">
        <w:rPr>
          <w:szCs w:val="24"/>
        </w:rPr>
        <w:t>gdyż założeniem projektów informatycznych jest wykorzystanie techniki, nowoczesnych informatycznych rozwiązań w</w:t>
      </w:r>
      <w:r w:rsidR="0058229F" w:rsidRPr="006D71C7">
        <w:rPr>
          <w:szCs w:val="24"/>
        </w:rPr>
        <w:t> </w:t>
      </w:r>
      <w:r w:rsidRPr="006D71C7">
        <w:rPr>
          <w:szCs w:val="24"/>
        </w:rPr>
        <w:t>celu sprawniejszego</w:t>
      </w:r>
      <w:r w:rsidR="009A515B" w:rsidRPr="006D71C7">
        <w:rPr>
          <w:szCs w:val="24"/>
        </w:rPr>
        <w:t xml:space="preserve"> wykonywania zadań</w:t>
      </w:r>
      <w:r w:rsidR="000C0725" w:rsidRPr="006D71C7">
        <w:rPr>
          <w:szCs w:val="24"/>
        </w:rPr>
        <w:t>,</w:t>
      </w:r>
      <w:r w:rsidR="009A515B" w:rsidRPr="006D71C7">
        <w:rPr>
          <w:szCs w:val="24"/>
        </w:rPr>
        <w:t xml:space="preserve"> ogranicza to </w:t>
      </w:r>
      <w:r w:rsidRPr="006D71C7">
        <w:rPr>
          <w:szCs w:val="24"/>
        </w:rPr>
        <w:t>tworzenie miejsc pracy w</w:t>
      </w:r>
      <w:r w:rsidR="0058229F" w:rsidRPr="006D71C7">
        <w:rPr>
          <w:szCs w:val="24"/>
        </w:rPr>
        <w:t> </w:t>
      </w:r>
      <w:r w:rsidRPr="006D71C7">
        <w:rPr>
          <w:szCs w:val="24"/>
        </w:rPr>
        <w:t>projektach tego rodzaju.</w:t>
      </w:r>
      <w:r w:rsidR="009A515B" w:rsidRPr="006D71C7">
        <w:rPr>
          <w:szCs w:val="24"/>
        </w:rPr>
        <w:t xml:space="preserve"> </w:t>
      </w:r>
    </w:p>
    <w:p w:rsidR="00907F1A" w:rsidRDefault="00907F1A" w:rsidP="006D71C7">
      <w:pPr>
        <w:jc w:val="both"/>
        <w:rPr>
          <w:szCs w:val="24"/>
        </w:rPr>
      </w:pPr>
      <w:r w:rsidRPr="006D71C7">
        <w:rPr>
          <w:szCs w:val="24"/>
        </w:rPr>
        <w:t xml:space="preserve">Odnosząc się do analizy SWOT zawartej w </w:t>
      </w:r>
      <w:r w:rsidRPr="006D71C7">
        <w:rPr>
          <w:i/>
          <w:szCs w:val="24"/>
        </w:rPr>
        <w:t xml:space="preserve">Programie </w:t>
      </w:r>
      <w:r w:rsidR="009A515B" w:rsidRPr="006D71C7">
        <w:rPr>
          <w:szCs w:val="24"/>
        </w:rPr>
        <w:t>w p</w:t>
      </w:r>
      <w:r w:rsidRPr="006D71C7">
        <w:rPr>
          <w:szCs w:val="24"/>
        </w:rPr>
        <w:t>riorytecie II realizacja wskaźnika</w:t>
      </w:r>
      <w:r w:rsidRPr="006D71C7">
        <w:rPr>
          <w:i/>
          <w:szCs w:val="24"/>
        </w:rPr>
        <w:t xml:space="preserve"> Długość sieci Internetu szerokopasmowego </w:t>
      </w:r>
      <w:r w:rsidRPr="006D71C7">
        <w:rPr>
          <w:szCs w:val="24"/>
        </w:rPr>
        <w:t>stanowi odpowiedź na zdefiniowaną słabą stronę województwa</w:t>
      </w:r>
      <w:r w:rsidR="000C0725" w:rsidRPr="006D71C7">
        <w:rPr>
          <w:szCs w:val="24"/>
        </w:rPr>
        <w:t>,</w:t>
      </w:r>
      <w:r w:rsidRPr="006D71C7">
        <w:rPr>
          <w:szCs w:val="24"/>
        </w:rPr>
        <w:t xml:space="preserve"> </w:t>
      </w:r>
      <w:r w:rsidR="007030FF" w:rsidRPr="006D71C7">
        <w:rPr>
          <w:szCs w:val="24"/>
        </w:rPr>
        <w:t>(</w:t>
      </w:r>
      <w:r w:rsidRPr="006D71C7">
        <w:rPr>
          <w:szCs w:val="24"/>
        </w:rPr>
        <w:t>nierównomierna gęstość sieci teleinformatycznej</w:t>
      </w:r>
      <w:r w:rsidR="007030FF" w:rsidRPr="006D71C7">
        <w:rPr>
          <w:szCs w:val="24"/>
        </w:rPr>
        <w:t>)</w:t>
      </w:r>
      <w:r w:rsidRPr="006D71C7">
        <w:rPr>
          <w:szCs w:val="24"/>
        </w:rPr>
        <w:t>.</w:t>
      </w:r>
      <w:r w:rsidRPr="006D71C7">
        <w:rPr>
          <w:i/>
          <w:szCs w:val="24"/>
        </w:rPr>
        <w:t xml:space="preserve"> </w:t>
      </w:r>
      <w:r w:rsidR="009A515B" w:rsidRPr="006D71C7">
        <w:rPr>
          <w:szCs w:val="24"/>
        </w:rPr>
        <w:t>Z </w:t>
      </w:r>
      <w:r w:rsidRPr="006D71C7">
        <w:rPr>
          <w:szCs w:val="24"/>
        </w:rPr>
        <w:t>przedstawionej szacowanej realizacji na koniec ok</w:t>
      </w:r>
      <w:r w:rsidR="009A515B" w:rsidRPr="006D71C7">
        <w:rPr>
          <w:szCs w:val="24"/>
        </w:rPr>
        <w:t>resu sprawozdawczego wynika, iż </w:t>
      </w:r>
      <w:r w:rsidRPr="006D71C7">
        <w:rPr>
          <w:szCs w:val="24"/>
        </w:rPr>
        <w:t>wskaźnik zostanie zrealizowany w 63% wartości docelowej.</w:t>
      </w:r>
    </w:p>
    <w:p w:rsidR="00CE21FB" w:rsidRPr="003030BD" w:rsidRDefault="00CE21FB" w:rsidP="004218CA">
      <w:pPr>
        <w:autoSpaceDE w:val="0"/>
        <w:autoSpaceDN w:val="0"/>
        <w:adjustRightInd w:val="0"/>
        <w:spacing w:after="120"/>
        <w:jc w:val="both"/>
        <w:rPr>
          <w:iCs/>
        </w:rPr>
      </w:pPr>
      <w:r>
        <w:rPr>
          <w:iCs/>
        </w:rPr>
        <w:t xml:space="preserve">Realizacja wskaźnika </w:t>
      </w:r>
      <w:r w:rsidRPr="00CE21FB">
        <w:rPr>
          <w:i/>
          <w:iCs/>
        </w:rPr>
        <w:t>Liczba bezpośrednio</w:t>
      </w:r>
      <w:r>
        <w:rPr>
          <w:iCs/>
        </w:rPr>
        <w:t xml:space="preserve"> </w:t>
      </w:r>
      <w:r>
        <w:rPr>
          <w:i/>
          <w:iCs/>
        </w:rPr>
        <w:t>utworzonych nowych</w:t>
      </w:r>
      <w:r w:rsidRPr="00D3287B">
        <w:rPr>
          <w:i/>
          <w:iCs/>
        </w:rPr>
        <w:t xml:space="preserve"> miejsca pracy </w:t>
      </w:r>
      <w:r>
        <w:rPr>
          <w:i/>
          <w:iCs/>
        </w:rPr>
        <w:t xml:space="preserve">(EPC) </w:t>
      </w:r>
      <w:r>
        <w:rPr>
          <w:iCs/>
        </w:rPr>
        <w:t>w podziale na kobiety i mężczyzn wskazuje na większą liczbę utworzonych miejsc prac dla mężczyzn</w:t>
      </w:r>
      <w:r w:rsidR="006E4456">
        <w:rPr>
          <w:iCs/>
        </w:rPr>
        <w:t>, jednak różnica jest bardzo niewielka (8,5 dla mężczyzn</w:t>
      </w:r>
      <w:r>
        <w:rPr>
          <w:iCs/>
        </w:rPr>
        <w:t xml:space="preserve"> a dla kobiet </w:t>
      </w:r>
      <w:r w:rsidR="006E4456">
        <w:rPr>
          <w:iCs/>
        </w:rPr>
        <w:t>6</w:t>
      </w:r>
      <w:r>
        <w:rPr>
          <w:iCs/>
        </w:rPr>
        <w:t xml:space="preserve"> nowych etatów</w:t>
      </w:r>
      <w:r w:rsidR="006E4456">
        <w:rPr>
          <w:iCs/>
        </w:rPr>
        <w:t>)</w:t>
      </w:r>
      <w:r>
        <w:rPr>
          <w:iCs/>
        </w:rPr>
        <w:t xml:space="preserve">. </w:t>
      </w:r>
      <w:r w:rsidRPr="0003480C">
        <w:rPr>
          <w:rFonts w:eastAsia="Calibri"/>
          <w:szCs w:val="24"/>
        </w:rPr>
        <w:t>Równość szans kobiet i mężczyzn jest w</w:t>
      </w:r>
      <w:r>
        <w:rPr>
          <w:rFonts w:eastAsia="Calibri"/>
          <w:szCs w:val="24"/>
        </w:rPr>
        <w:t>ażnym</w:t>
      </w:r>
      <w:r w:rsidRPr="0003480C">
        <w:rPr>
          <w:rFonts w:eastAsia="Calibri"/>
          <w:szCs w:val="24"/>
        </w:rPr>
        <w:t xml:space="preserve"> elementem szerszej kwestii równości szans, której przestrzeganie stanowi jedn</w:t>
      </w:r>
      <w:r>
        <w:rPr>
          <w:rFonts w:eastAsia="Calibri"/>
          <w:szCs w:val="24"/>
        </w:rPr>
        <w:t>ą z </w:t>
      </w:r>
      <w:r w:rsidRPr="0003480C">
        <w:rPr>
          <w:rFonts w:eastAsia="Calibri"/>
          <w:szCs w:val="24"/>
        </w:rPr>
        <w:t>podstawowych zasad</w:t>
      </w:r>
      <w:r>
        <w:rPr>
          <w:rFonts w:eastAsia="Calibri"/>
          <w:szCs w:val="24"/>
        </w:rPr>
        <w:t xml:space="preserve"> RPO WSL. Przy programowaniu zostały założone podwskaźniki: miejsca pracy w podziale na płeć na równym poziomie, beneficjenci składając wnioski o dofinansowanie nie deklarują kogo zatrudnią, gdyż zostałaby zaburzona omawiana zasada, każdy ma mieć równy dostęp do zatrudnienia. Analizując omawiany wskaźnik w podziale na priorytety można zaobserwować, że w jednych zatrudnionych zostało więcej kobiet w innych mężczyzn. </w:t>
      </w:r>
      <w:r w:rsidRPr="00DE3312">
        <w:rPr>
          <w:iCs/>
        </w:rPr>
        <w:t>IZ RPO WSL przyjęła odpowiednie kryteria wyboru projektów do dofinansowania dot. polityk horyzontalnych (ok</w:t>
      </w:r>
      <w:r w:rsidRPr="00DE3312">
        <w:t>reślenie stopnia realizacji polityki równych szans, polityki ochron</w:t>
      </w:r>
      <w:r w:rsidR="004218CA">
        <w:t>y środowiska, wpływ projektu na </w:t>
      </w:r>
      <w:r w:rsidRPr="00DE3312">
        <w:t>utworzenie nowych miejsc pracy</w:t>
      </w:r>
      <w:r>
        <w:t>). P</w:t>
      </w:r>
      <w:r w:rsidRPr="00DE3312">
        <w:t>rojekt mający pozytywny wpływ na realizacje poszczególnych polityk horyzontalnych otrzymuje dodatkowe punkty w trakcie przeprowadzanej oceny merytoryczno-technicznej, co</w:t>
      </w:r>
      <w:r>
        <w:t xml:space="preserve"> </w:t>
      </w:r>
      <w:r w:rsidRPr="00DE3312">
        <w:t>w</w:t>
      </w:r>
      <w:r>
        <w:t xml:space="preserve"> </w:t>
      </w:r>
      <w:r w:rsidRPr="00DE3312">
        <w:t>konsekwencji zwiększa jego szansę na otrzymanie dofinansowania</w:t>
      </w:r>
      <w:r>
        <w:t>.</w:t>
      </w:r>
    </w:p>
    <w:p w:rsidR="00907F1A" w:rsidRPr="006D71C7" w:rsidRDefault="00907F1A" w:rsidP="006D71C7">
      <w:pPr>
        <w:spacing w:after="0"/>
        <w:jc w:val="both"/>
        <w:rPr>
          <w:szCs w:val="24"/>
        </w:rPr>
      </w:pPr>
      <w:r w:rsidRPr="006D71C7">
        <w:rPr>
          <w:szCs w:val="24"/>
        </w:rPr>
        <w:t xml:space="preserve">W ramach </w:t>
      </w:r>
      <w:r w:rsidR="0058229F" w:rsidRPr="006D71C7">
        <w:rPr>
          <w:i/>
          <w:szCs w:val="24"/>
        </w:rPr>
        <w:t>p</w:t>
      </w:r>
      <w:r w:rsidRPr="006D71C7">
        <w:rPr>
          <w:i/>
          <w:szCs w:val="24"/>
        </w:rPr>
        <w:t xml:space="preserve">riorytetu II </w:t>
      </w:r>
      <w:r w:rsidRPr="006D71C7">
        <w:rPr>
          <w:szCs w:val="24"/>
        </w:rPr>
        <w:t>realizowane są także wskaźniki Komisji Europejskiej</w:t>
      </w:r>
      <w:r w:rsidRPr="006D71C7">
        <w:rPr>
          <w:i/>
          <w:szCs w:val="24"/>
        </w:rPr>
        <w:t xml:space="preserve"> tzw. Core Indicators,</w:t>
      </w:r>
      <w:r w:rsidRPr="006D71C7">
        <w:rPr>
          <w:szCs w:val="24"/>
        </w:rPr>
        <w:t xml:space="preserve"> są to:</w:t>
      </w:r>
    </w:p>
    <w:p w:rsidR="00907F1A" w:rsidRPr="006D71C7" w:rsidRDefault="009A515B" w:rsidP="00BA2FE7">
      <w:pPr>
        <w:pStyle w:val="Akapitzlist"/>
        <w:numPr>
          <w:ilvl w:val="0"/>
          <w:numId w:val="86"/>
        </w:numPr>
        <w:spacing w:after="0"/>
        <w:jc w:val="both"/>
        <w:rPr>
          <w:i/>
          <w:szCs w:val="24"/>
        </w:rPr>
      </w:pPr>
      <w:r w:rsidRPr="006D71C7">
        <w:rPr>
          <w:i/>
          <w:szCs w:val="24"/>
        </w:rPr>
        <w:t>Liczba bezpośrednio utworzonych nowych miejsc pracy (EPC) w tym:</w:t>
      </w:r>
    </w:p>
    <w:p w:rsidR="00907F1A" w:rsidRPr="006D71C7" w:rsidRDefault="00907F1A" w:rsidP="006D71C7">
      <w:pPr>
        <w:pStyle w:val="Akapitzlist"/>
        <w:spacing w:after="0"/>
        <w:jc w:val="both"/>
        <w:rPr>
          <w:i/>
          <w:szCs w:val="24"/>
        </w:rPr>
      </w:pPr>
      <w:r w:rsidRPr="006D71C7">
        <w:rPr>
          <w:i/>
          <w:szCs w:val="24"/>
        </w:rPr>
        <w:t>z tego: dla mężczyzn</w:t>
      </w:r>
    </w:p>
    <w:p w:rsidR="00907F1A" w:rsidRPr="006D71C7" w:rsidRDefault="00907F1A" w:rsidP="006D71C7">
      <w:pPr>
        <w:pStyle w:val="Akapitzlist"/>
        <w:spacing w:after="0"/>
        <w:jc w:val="both"/>
        <w:rPr>
          <w:i/>
          <w:szCs w:val="24"/>
        </w:rPr>
      </w:pPr>
      <w:r w:rsidRPr="006D71C7">
        <w:rPr>
          <w:i/>
          <w:szCs w:val="24"/>
        </w:rPr>
        <w:t>z tego: dla kobiet</w:t>
      </w:r>
    </w:p>
    <w:p w:rsidR="00907F1A" w:rsidRDefault="00907F1A" w:rsidP="00BA2FE7">
      <w:pPr>
        <w:pStyle w:val="Akapitzlist"/>
        <w:numPr>
          <w:ilvl w:val="0"/>
          <w:numId w:val="86"/>
        </w:numPr>
        <w:spacing w:after="0"/>
        <w:jc w:val="both"/>
        <w:rPr>
          <w:i/>
          <w:szCs w:val="24"/>
        </w:rPr>
      </w:pPr>
      <w:r w:rsidRPr="006D71C7">
        <w:rPr>
          <w:i/>
          <w:szCs w:val="24"/>
        </w:rPr>
        <w:t>Liczba projektów z zakresu społeczeństwa informacyjnego</w:t>
      </w:r>
      <w:r w:rsidR="009A515B" w:rsidRPr="006D71C7">
        <w:rPr>
          <w:i/>
          <w:szCs w:val="24"/>
        </w:rPr>
        <w:t>.</w:t>
      </w:r>
    </w:p>
    <w:p w:rsidR="00DA4248" w:rsidRPr="00DA4248" w:rsidRDefault="00DA4248" w:rsidP="00BA2FE7">
      <w:pPr>
        <w:pStyle w:val="Akapitzlist"/>
        <w:numPr>
          <w:ilvl w:val="0"/>
          <w:numId w:val="86"/>
        </w:numPr>
        <w:rPr>
          <w:i/>
        </w:rPr>
      </w:pPr>
      <w:r w:rsidRPr="00DA4248">
        <w:rPr>
          <w:i/>
        </w:rPr>
        <w:t>Liczba osób, które uzyskały możliwość dostępu do Internetu</w:t>
      </w:r>
    </w:p>
    <w:p w:rsidR="009A515B" w:rsidRPr="00DA4248" w:rsidRDefault="009A515B" w:rsidP="00DA4248">
      <w:pPr>
        <w:spacing w:after="0"/>
        <w:jc w:val="both"/>
        <w:rPr>
          <w:i/>
          <w:szCs w:val="24"/>
        </w:rPr>
      </w:pPr>
    </w:p>
    <w:p w:rsidR="004218CA" w:rsidRDefault="004218CA" w:rsidP="006D71C7">
      <w:pPr>
        <w:spacing w:after="120"/>
        <w:jc w:val="both"/>
        <w:rPr>
          <w:szCs w:val="24"/>
        </w:rPr>
      </w:pPr>
    </w:p>
    <w:p w:rsidR="00907F1A" w:rsidRPr="006D71C7" w:rsidRDefault="00907F1A" w:rsidP="006D71C7">
      <w:pPr>
        <w:spacing w:after="120"/>
        <w:jc w:val="both"/>
        <w:rPr>
          <w:szCs w:val="24"/>
        </w:rPr>
      </w:pPr>
      <w:r w:rsidRPr="006D71C7">
        <w:rPr>
          <w:szCs w:val="24"/>
        </w:rPr>
        <w:t>Pozostałe zmiany dokonane podczas renegocjacji to:</w:t>
      </w:r>
    </w:p>
    <w:p w:rsidR="00095118" w:rsidRPr="006D71C7" w:rsidRDefault="00907F1A" w:rsidP="00BA2FE7">
      <w:pPr>
        <w:pStyle w:val="Akapitzlist"/>
        <w:numPr>
          <w:ilvl w:val="0"/>
          <w:numId w:val="84"/>
        </w:numPr>
        <w:tabs>
          <w:tab w:val="left" w:pos="1276"/>
        </w:tabs>
        <w:autoSpaceDE w:val="0"/>
        <w:autoSpaceDN w:val="0"/>
        <w:adjustRightInd w:val="0"/>
        <w:spacing w:after="120"/>
        <w:ind w:left="426" w:hanging="357"/>
        <w:jc w:val="both"/>
        <w:rPr>
          <w:b/>
          <w:i/>
          <w:szCs w:val="24"/>
        </w:rPr>
      </w:pPr>
      <w:r w:rsidRPr="006D71C7">
        <w:rPr>
          <w:szCs w:val="24"/>
        </w:rPr>
        <w:t xml:space="preserve">zmniejszona została wartość docelowa wskaźnika </w:t>
      </w:r>
      <w:r w:rsidRPr="006D71C7">
        <w:rPr>
          <w:rFonts w:eastAsiaTheme="minorHAnsi"/>
          <w:i/>
          <w:szCs w:val="24"/>
          <w:lang w:eastAsia="en-US"/>
        </w:rPr>
        <w:t>Liczba bezpośrednio utworzonych nowych miejsc pracy (EPC)</w:t>
      </w:r>
      <w:r w:rsidRPr="006D71C7">
        <w:rPr>
          <w:rFonts w:eastAsiaTheme="minorHAnsi"/>
          <w:szCs w:val="24"/>
          <w:lang w:eastAsia="en-US"/>
        </w:rPr>
        <w:t xml:space="preserve"> z 240 do 216</w:t>
      </w:r>
      <w:r w:rsidR="009A515B" w:rsidRPr="006D71C7">
        <w:rPr>
          <w:rFonts w:eastAsiaTheme="minorHAnsi"/>
          <w:szCs w:val="24"/>
          <w:lang w:eastAsia="en-US"/>
        </w:rPr>
        <w:t xml:space="preserve"> (powodem zmiany wskaźnika jest ujednolicenie jego nazwy ze wskaźnikiem kluczowym KSI (SIMIK 07-13)</w:t>
      </w:r>
      <w:r w:rsidR="000C0725" w:rsidRPr="006D71C7">
        <w:rPr>
          <w:rFonts w:eastAsiaTheme="minorHAnsi"/>
          <w:szCs w:val="24"/>
          <w:lang w:eastAsia="en-US"/>
        </w:rPr>
        <w:t>)</w:t>
      </w:r>
      <w:r w:rsidR="00FA491E" w:rsidRPr="006D71C7">
        <w:rPr>
          <w:rFonts w:eastAsiaTheme="minorHAnsi"/>
          <w:szCs w:val="24"/>
          <w:lang w:eastAsia="en-US"/>
        </w:rPr>
        <w:t>. Ponadto na </w:t>
      </w:r>
      <w:r w:rsidR="009A515B" w:rsidRPr="006D71C7">
        <w:rPr>
          <w:rFonts w:eastAsiaTheme="minorHAnsi"/>
          <w:szCs w:val="24"/>
          <w:lang w:eastAsia="en-US"/>
        </w:rPr>
        <w:t xml:space="preserve">etapie szacowania wartości docelowych, zakładano, że wskaźnik </w:t>
      </w:r>
      <w:r w:rsidR="009A515B" w:rsidRPr="006D71C7">
        <w:rPr>
          <w:rFonts w:eastAsiaTheme="minorHAnsi"/>
          <w:i/>
          <w:szCs w:val="24"/>
          <w:lang w:eastAsia="en-US"/>
        </w:rPr>
        <w:t>Utworzone miejsca pracy brutto</w:t>
      </w:r>
      <w:r w:rsidR="009A515B" w:rsidRPr="006D71C7">
        <w:rPr>
          <w:rFonts w:eastAsiaTheme="minorHAnsi"/>
          <w:szCs w:val="24"/>
          <w:lang w:eastAsia="en-US"/>
        </w:rPr>
        <w:t xml:space="preserve"> miał równać się liczbie zatrudnionych osób. </w:t>
      </w:r>
      <w:r w:rsidR="00B87083" w:rsidRPr="006D71C7">
        <w:rPr>
          <w:rFonts w:eastAsiaTheme="minorHAnsi"/>
          <w:szCs w:val="24"/>
          <w:lang w:eastAsia="en-US"/>
        </w:rPr>
        <w:t xml:space="preserve">Wejście w życie </w:t>
      </w:r>
      <w:r w:rsidR="00B87083" w:rsidRPr="006D71C7">
        <w:rPr>
          <w:rFonts w:eastAsiaTheme="minorHAnsi"/>
          <w:i/>
          <w:szCs w:val="24"/>
          <w:lang w:eastAsia="en-US"/>
        </w:rPr>
        <w:t>wytycznych w</w:t>
      </w:r>
      <w:r w:rsidR="00E626FF" w:rsidRPr="006D71C7">
        <w:rPr>
          <w:rFonts w:eastAsiaTheme="minorHAnsi"/>
          <w:i/>
          <w:szCs w:val="24"/>
          <w:lang w:eastAsia="en-US"/>
        </w:rPr>
        <w:t> </w:t>
      </w:r>
      <w:r w:rsidR="00B87083" w:rsidRPr="006D71C7">
        <w:rPr>
          <w:rFonts w:eastAsiaTheme="minorHAnsi"/>
          <w:i/>
          <w:szCs w:val="24"/>
          <w:lang w:eastAsia="en-US"/>
        </w:rPr>
        <w:t>zakresie warunków gromadzenia i przekazywania danych w formie elektronicznej</w:t>
      </w:r>
      <w:r w:rsidR="00B87083" w:rsidRPr="006D71C7">
        <w:rPr>
          <w:rFonts w:eastAsiaTheme="minorHAnsi"/>
          <w:szCs w:val="24"/>
          <w:lang w:eastAsia="en-US"/>
        </w:rPr>
        <w:t xml:space="preserve">, które jednoznacznie mówią, iż liczbę miejsc pracy należy wykazywać w ekwiwalencie pełnego czasu pracy, okazało się sprzeczne z pierwotnymi założeniami i wymusiło zmianę wartości docelowej </w:t>
      </w:r>
      <w:r w:rsidR="00FA491E" w:rsidRPr="006D71C7">
        <w:rPr>
          <w:rFonts w:eastAsiaTheme="minorHAnsi"/>
          <w:szCs w:val="24"/>
          <w:lang w:eastAsia="en-US"/>
        </w:rPr>
        <w:t>Problemem w </w:t>
      </w:r>
      <w:r w:rsidR="009A515B" w:rsidRPr="006D71C7">
        <w:rPr>
          <w:rFonts w:eastAsiaTheme="minorHAnsi"/>
          <w:szCs w:val="24"/>
          <w:lang w:eastAsia="en-US"/>
        </w:rPr>
        <w:t>agregacji tego wskaźnika jest to, iż ww. wytyczne stanowczo zabraniają zaokrąglania wartości których jednostką jest EPC do</w:t>
      </w:r>
      <w:r w:rsidR="00E626FF" w:rsidRPr="006D71C7">
        <w:rPr>
          <w:rFonts w:eastAsiaTheme="minorHAnsi"/>
          <w:szCs w:val="24"/>
          <w:lang w:eastAsia="en-US"/>
        </w:rPr>
        <w:t> </w:t>
      </w:r>
      <w:r w:rsidR="009A515B" w:rsidRPr="006D71C7">
        <w:rPr>
          <w:rFonts w:eastAsiaTheme="minorHAnsi"/>
          <w:szCs w:val="24"/>
          <w:lang w:eastAsia="en-US"/>
        </w:rPr>
        <w:t>jednostek całkowitych).</w:t>
      </w:r>
    </w:p>
    <w:p w:rsidR="00095118" w:rsidRPr="006D71C7" w:rsidRDefault="00095118" w:rsidP="006D71C7">
      <w:pPr>
        <w:tabs>
          <w:tab w:val="left" w:pos="1276"/>
        </w:tabs>
        <w:autoSpaceDE w:val="0"/>
        <w:autoSpaceDN w:val="0"/>
        <w:adjustRightInd w:val="0"/>
        <w:spacing w:after="120"/>
        <w:jc w:val="both"/>
        <w:rPr>
          <w:szCs w:val="24"/>
        </w:rPr>
      </w:pPr>
      <w:r w:rsidRPr="006D71C7">
        <w:rPr>
          <w:szCs w:val="24"/>
        </w:rPr>
        <w:t xml:space="preserve">Tabela postępu priorytetu II znajduje się w załączniku nr IV do niniejszego </w:t>
      </w:r>
      <w:r w:rsidRPr="006D71C7">
        <w:rPr>
          <w:i/>
          <w:szCs w:val="24"/>
        </w:rPr>
        <w:t>Sprawozdania.</w:t>
      </w:r>
    </w:p>
    <w:p w:rsidR="0058229F" w:rsidRPr="006D71C7" w:rsidRDefault="0058229F" w:rsidP="006D71C7">
      <w:pPr>
        <w:spacing w:after="120"/>
        <w:jc w:val="both"/>
        <w:rPr>
          <w:b/>
          <w:bCs/>
          <w:i/>
          <w:szCs w:val="24"/>
        </w:rPr>
      </w:pPr>
    </w:p>
    <w:p w:rsidR="00DD3B0C" w:rsidRPr="006D71C7" w:rsidRDefault="00DD3B0C" w:rsidP="006D71C7">
      <w:pPr>
        <w:spacing w:after="120"/>
        <w:jc w:val="both"/>
        <w:rPr>
          <w:b/>
          <w:bCs/>
          <w:i/>
          <w:szCs w:val="24"/>
        </w:rPr>
      </w:pPr>
      <w:r w:rsidRPr="006D71C7">
        <w:rPr>
          <w:b/>
          <w:bCs/>
          <w:i/>
          <w:szCs w:val="24"/>
        </w:rPr>
        <w:t xml:space="preserve">Realizacja ewentualnych zaleceń i rekomendacji KE odnoszące się do </w:t>
      </w:r>
      <w:r w:rsidR="0052507D" w:rsidRPr="006D71C7">
        <w:rPr>
          <w:b/>
          <w:bCs/>
          <w:i/>
          <w:szCs w:val="24"/>
        </w:rPr>
        <w:t>priorytetu</w:t>
      </w:r>
      <w:r w:rsidRPr="006D71C7">
        <w:rPr>
          <w:b/>
          <w:bCs/>
          <w:i/>
          <w:szCs w:val="24"/>
        </w:rPr>
        <w:t>:</w:t>
      </w:r>
    </w:p>
    <w:p w:rsidR="00DD3B0C" w:rsidRPr="006D71C7" w:rsidRDefault="00DD3B0C" w:rsidP="006D71C7">
      <w:pPr>
        <w:pStyle w:val="Akapitzlist"/>
        <w:numPr>
          <w:ilvl w:val="0"/>
          <w:numId w:val="6"/>
        </w:numPr>
        <w:spacing w:after="120"/>
        <w:jc w:val="both"/>
        <w:rPr>
          <w:bCs/>
          <w:szCs w:val="24"/>
        </w:rPr>
      </w:pPr>
      <w:r w:rsidRPr="006D71C7">
        <w:rPr>
          <w:spacing w:val="-4"/>
          <w:szCs w:val="24"/>
        </w:rPr>
        <w:t xml:space="preserve">analiza koncentruje się wokół celu/celów </w:t>
      </w:r>
      <w:r w:rsidR="00927C99" w:rsidRPr="006D71C7">
        <w:rPr>
          <w:spacing w:val="-4"/>
          <w:szCs w:val="24"/>
        </w:rPr>
        <w:t>p</w:t>
      </w:r>
      <w:r w:rsidRPr="006D71C7">
        <w:rPr>
          <w:spacing w:val="-4"/>
          <w:szCs w:val="24"/>
        </w:rPr>
        <w:t>riorytetu II,</w:t>
      </w:r>
    </w:p>
    <w:p w:rsidR="00DD3B0C" w:rsidRPr="006D71C7" w:rsidRDefault="00DD3B0C" w:rsidP="006D71C7">
      <w:pPr>
        <w:pStyle w:val="Akapitzlist"/>
        <w:numPr>
          <w:ilvl w:val="0"/>
          <w:numId w:val="6"/>
        </w:numPr>
        <w:spacing w:after="120"/>
        <w:jc w:val="both"/>
        <w:rPr>
          <w:bCs/>
          <w:szCs w:val="24"/>
        </w:rPr>
      </w:pPr>
      <w:r w:rsidRPr="006D71C7">
        <w:rPr>
          <w:bCs/>
          <w:szCs w:val="24"/>
        </w:rPr>
        <w:t>zmiany w prezentacji analizy wskaźnikowej</w:t>
      </w:r>
      <w:r w:rsidR="00927C99" w:rsidRPr="006D71C7">
        <w:rPr>
          <w:bCs/>
          <w:szCs w:val="24"/>
        </w:rPr>
        <w:t>.</w:t>
      </w:r>
    </w:p>
    <w:p w:rsidR="00DD3B0C" w:rsidRPr="006D71C7" w:rsidRDefault="00DD3B0C" w:rsidP="006D71C7">
      <w:pPr>
        <w:pStyle w:val="Akapitzlist"/>
        <w:spacing w:after="120"/>
        <w:jc w:val="both"/>
        <w:rPr>
          <w:bCs/>
          <w:szCs w:val="24"/>
        </w:rPr>
      </w:pPr>
    </w:p>
    <w:p w:rsidR="00DD3B0C" w:rsidRPr="006D71C7" w:rsidRDefault="00DD3B0C" w:rsidP="006D71C7">
      <w:pPr>
        <w:pStyle w:val="Akapitzlist"/>
        <w:spacing w:before="120" w:after="120"/>
        <w:ind w:left="0"/>
        <w:jc w:val="both"/>
        <w:rPr>
          <w:b/>
          <w:bCs/>
          <w:i/>
          <w:szCs w:val="24"/>
        </w:rPr>
      </w:pPr>
      <w:r w:rsidRPr="006D71C7">
        <w:rPr>
          <w:b/>
          <w:bCs/>
          <w:i/>
          <w:szCs w:val="24"/>
        </w:rPr>
        <w:t>Rekomendacje IZ odnośnie do</w:t>
      </w:r>
      <w:r w:rsidR="0052507D" w:rsidRPr="006D71C7">
        <w:rPr>
          <w:b/>
          <w:bCs/>
          <w:i/>
          <w:szCs w:val="24"/>
        </w:rPr>
        <w:t xml:space="preserve"> dalszego przebiegu realizacji p</w:t>
      </w:r>
      <w:r w:rsidRPr="006D71C7">
        <w:rPr>
          <w:b/>
          <w:bCs/>
          <w:i/>
          <w:szCs w:val="24"/>
        </w:rPr>
        <w:t>riorytetu:</w:t>
      </w:r>
    </w:p>
    <w:p w:rsidR="00DD3B0C" w:rsidRPr="006D71C7" w:rsidRDefault="00FA491E" w:rsidP="006D71C7">
      <w:pPr>
        <w:spacing w:after="120"/>
        <w:jc w:val="both"/>
        <w:rPr>
          <w:b/>
          <w:bCs/>
          <w:i/>
          <w:szCs w:val="24"/>
        </w:rPr>
      </w:pPr>
      <w:r w:rsidRPr="006D71C7">
        <w:rPr>
          <w:rFonts w:eastAsia="Calibri"/>
          <w:szCs w:val="24"/>
        </w:rPr>
        <w:t xml:space="preserve">IZ RPO WSL na bieżąco monitoruje postęp wdrażania priorytetu II zarówno w zakresie postępu finansowego jak i rzeczowego. Biorąc pod uwagę projekty wybrane do dofinansowania, IZ RPO WSL uznaje że przekazane wsparcie w pełni realizuje cele, jakie zostały założone na etapie programowania uwzględniając wyniki diagnozy społeczno-gospodarczej ujętej w Programie. </w:t>
      </w:r>
      <w:r w:rsidR="0052507D" w:rsidRPr="006D71C7">
        <w:rPr>
          <w:szCs w:val="24"/>
        </w:rPr>
        <w:t>Aby jak najlepiej wydatkować środki, IZ RPO WSL postanowiła ogłosić w kolejnym roku sprawozdawczym 2 dodatkowe konkursy – po jednym z każdego działania.</w:t>
      </w:r>
    </w:p>
    <w:p w:rsidR="00DB22BB" w:rsidRPr="006D71C7" w:rsidRDefault="00DB22BB" w:rsidP="006D71C7">
      <w:pPr>
        <w:pStyle w:val="Akapitzlist"/>
        <w:spacing w:before="120" w:after="120"/>
        <w:ind w:left="0"/>
        <w:jc w:val="both"/>
        <w:rPr>
          <w:b/>
          <w:bCs/>
          <w:i/>
          <w:szCs w:val="24"/>
        </w:rPr>
      </w:pPr>
    </w:p>
    <w:p w:rsidR="009D52E4" w:rsidRPr="006D71C7" w:rsidRDefault="00317A3A" w:rsidP="006D71C7">
      <w:pPr>
        <w:pStyle w:val="Akapitzlist"/>
        <w:spacing w:before="120" w:after="120"/>
        <w:ind w:left="0"/>
        <w:jc w:val="both"/>
        <w:rPr>
          <w:b/>
          <w:bCs/>
          <w:i/>
          <w:szCs w:val="24"/>
        </w:rPr>
      </w:pPr>
      <w:r w:rsidRPr="006D71C7">
        <w:rPr>
          <w:b/>
          <w:bCs/>
          <w:i/>
          <w:szCs w:val="24"/>
        </w:rPr>
        <w:t>Analiza jakościowa</w:t>
      </w:r>
    </w:p>
    <w:p w:rsidR="00317A3A" w:rsidRPr="006D71C7" w:rsidRDefault="00A2730A" w:rsidP="006D71C7">
      <w:pPr>
        <w:jc w:val="both"/>
      </w:pPr>
      <w:r w:rsidRPr="006D71C7">
        <w:rPr>
          <w:bCs/>
          <w:szCs w:val="24"/>
        </w:rPr>
        <w:t>Powszechny dostęp do informacji i wiedzy jest podstawą rozwoj</w:t>
      </w:r>
      <w:r w:rsidR="00D846E6" w:rsidRPr="006D71C7">
        <w:rPr>
          <w:bCs/>
          <w:szCs w:val="24"/>
        </w:rPr>
        <w:t xml:space="preserve">u społeczeństwa informacyjnego i </w:t>
      </w:r>
      <w:r w:rsidRPr="006D71C7">
        <w:rPr>
          <w:bCs/>
          <w:szCs w:val="24"/>
        </w:rPr>
        <w:t>głównym czynnikiem konkurencyjności</w:t>
      </w:r>
      <w:r w:rsidR="000C0725" w:rsidRPr="006D71C7">
        <w:rPr>
          <w:bCs/>
          <w:szCs w:val="24"/>
        </w:rPr>
        <w:t xml:space="preserve"> regionu</w:t>
      </w:r>
      <w:r w:rsidRPr="006D71C7">
        <w:rPr>
          <w:bCs/>
          <w:szCs w:val="24"/>
        </w:rPr>
        <w:t>.</w:t>
      </w:r>
      <w:r w:rsidR="00DC4A47" w:rsidRPr="006D71C7">
        <w:rPr>
          <w:bCs/>
          <w:szCs w:val="24"/>
        </w:rPr>
        <w:t xml:space="preserve"> Strategia lizbońska</w:t>
      </w:r>
      <w:r w:rsidR="000C0725" w:rsidRPr="006D71C7">
        <w:rPr>
          <w:bCs/>
          <w:szCs w:val="24"/>
        </w:rPr>
        <w:t xml:space="preserve"> oraz Strategia </w:t>
      </w:r>
      <w:r w:rsidR="008C64E2" w:rsidRPr="006D71C7">
        <w:rPr>
          <w:bCs/>
          <w:szCs w:val="24"/>
        </w:rPr>
        <w:t>Eu</w:t>
      </w:r>
      <w:r w:rsidR="008A2A4A" w:rsidRPr="006D71C7">
        <w:rPr>
          <w:bCs/>
          <w:szCs w:val="24"/>
        </w:rPr>
        <w:t>ropa 2020 przypisuj</w:t>
      </w:r>
      <w:r w:rsidR="000C0725" w:rsidRPr="006D71C7">
        <w:rPr>
          <w:bCs/>
          <w:szCs w:val="24"/>
        </w:rPr>
        <w:t>ą</w:t>
      </w:r>
      <w:r w:rsidR="008A2A4A" w:rsidRPr="006D71C7">
        <w:rPr>
          <w:bCs/>
          <w:szCs w:val="24"/>
        </w:rPr>
        <w:t xml:space="preserve"> kluczowe znaczenie technikom informacyjnym i komunikacyjnym jako motorowi wzrostu gospodarczego, konkurencyjności gospodarki. Samorząd województwa podążając </w:t>
      </w:r>
      <w:r w:rsidR="007030FF" w:rsidRPr="006D71C7">
        <w:rPr>
          <w:bCs/>
          <w:szCs w:val="24"/>
        </w:rPr>
        <w:t xml:space="preserve">za </w:t>
      </w:r>
      <w:r w:rsidR="008A2A4A" w:rsidRPr="006D71C7">
        <w:rPr>
          <w:bCs/>
          <w:szCs w:val="24"/>
        </w:rPr>
        <w:t xml:space="preserve">trendami, </w:t>
      </w:r>
      <w:r w:rsidR="001120C3" w:rsidRPr="006D71C7">
        <w:rPr>
          <w:bCs/>
          <w:szCs w:val="24"/>
        </w:rPr>
        <w:t xml:space="preserve">opracował w 2009 roku </w:t>
      </w:r>
      <w:r w:rsidR="001120C3" w:rsidRPr="006D71C7">
        <w:rPr>
          <w:bCs/>
          <w:i/>
          <w:szCs w:val="24"/>
        </w:rPr>
        <w:t>Strategię Rozwoju Społeczeństwa Informacyjnego do 2015 roku</w:t>
      </w:r>
      <w:r w:rsidR="001120C3" w:rsidRPr="006D71C7">
        <w:rPr>
          <w:bCs/>
          <w:szCs w:val="24"/>
        </w:rPr>
        <w:t>, która między innymi ma na celu efektywne i racjonalne wykorzystanie dostępnych funduszy europejskich.</w:t>
      </w:r>
      <w:r w:rsidR="009515E3" w:rsidRPr="006D71C7">
        <w:rPr>
          <w:bCs/>
          <w:szCs w:val="24"/>
        </w:rPr>
        <w:t xml:space="preserve"> </w:t>
      </w:r>
      <w:r w:rsidR="0090360E" w:rsidRPr="006D71C7">
        <w:rPr>
          <w:bCs/>
          <w:szCs w:val="24"/>
        </w:rPr>
        <w:t xml:space="preserve">Warunki rozwoju inwestycji w dziedzinie sieci szerokopasmowych na terenie województwa śląskiego są zróżnicowane. Północ i południe śląska to w znacznej mierze obszary, gdzie ze względu na brak infrastruktury mieszkańcom trudno uzyskać ofertę usług szerokopasmowych, nie mówiąc o konkurencyjnym wyborze. </w:t>
      </w:r>
      <w:r w:rsidR="00DD3060" w:rsidRPr="006D71C7">
        <w:rPr>
          <w:bCs/>
          <w:szCs w:val="24"/>
        </w:rPr>
        <w:t xml:space="preserve">Obecnie trwają zaawansowane prace nad budową </w:t>
      </w:r>
      <w:r w:rsidR="00DD3060" w:rsidRPr="006D71C7">
        <w:rPr>
          <w:bCs/>
          <w:i/>
          <w:szCs w:val="24"/>
        </w:rPr>
        <w:t>Śląskiej Regionalnej Sieci Szkieletowej</w:t>
      </w:r>
      <w:r w:rsidR="00DD3060" w:rsidRPr="006D71C7">
        <w:rPr>
          <w:bCs/>
          <w:i/>
        </w:rPr>
        <w:t xml:space="preserve">, </w:t>
      </w:r>
      <w:r w:rsidR="00DD3060" w:rsidRPr="006D71C7">
        <w:rPr>
          <w:bCs/>
        </w:rPr>
        <w:t>która otrzymała dofinansowanie z RPO WSL.</w:t>
      </w:r>
      <w:r w:rsidR="00DD3060" w:rsidRPr="006D71C7">
        <w:rPr>
          <w:bCs/>
          <w:szCs w:val="24"/>
        </w:rPr>
        <w:t xml:space="preserve"> </w:t>
      </w:r>
      <w:r w:rsidR="00DD3060" w:rsidRPr="006D71C7">
        <w:rPr>
          <w:bCs/>
        </w:rPr>
        <w:t>K</w:t>
      </w:r>
      <w:r w:rsidR="00DD3060" w:rsidRPr="006D71C7">
        <w:rPr>
          <w:szCs w:val="24"/>
        </w:rPr>
        <w:t>oncepcja powstała jako wynik analizy potrzeb województwa śląskiego w zakresie sieci sze</w:t>
      </w:r>
      <w:r w:rsidR="00DD3060" w:rsidRPr="006D71C7">
        <w:t>rokopasmowych przedstawionych w </w:t>
      </w:r>
      <w:r w:rsidR="00DD3060" w:rsidRPr="006D71C7">
        <w:rPr>
          <w:szCs w:val="24"/>
        </w:rPr>
        <w:t xml:space="preserve">Studium Rozwoju Sieci Szerokopasmowych Województwa Śląskiego. Wpisuje się ona w </w:t>
      </w:r>
      <w:r w:rsidR="00DD3060" w:rsidRPr="006D71C7">
        <w:rPr>
          <w:i/>
          <w:szCs w:val="24"/>
        </w:rPr>
        <w:t>Strategię Rozwoju Województwa Śląskiego „Śląskie 2020”</w:t>
      </w:r>
      <w:r w:rsidR="00DD3060" w:rsidRPr="006D71C7">
        <w:t>, k</w:t>
      </w:r>
      <w:r w:rsidR="00DD3060" w:rsidRPr="006D71C7">
        <w:rPr>
          <w:szCs w:val="24"/>
        </w:rPr>
        <w:t>ierunek działania A.2.3: Rozwój infor</w:t>
      </w:r>
      <w:r w:rsidR="00DD3060" w:rsidRPr="006D71C7">
        <w:t>matyki i telekomunikacji oraz w </w:t>
      </w:r>
      <w:r w:rsidR="00DD3060" w:rsidRPr="006D71C7">
        <w:rPr>
          <w:i/>
          <w:szCs w:val="24"/>
        </w:rPr>
        <w:t>Strategię Rozwoju Społeczeństwa Informacyjnego Województwa Śląskiego do roku 2015</w:t>
      </w:r>
      <w:r w:rsidR="00DD3060" w:rsidRPr="006D71C7">
        <w:rPr>
          <w:szCs w:val="24"/>
        </w:rPr>
        <w:t>.</w:t>
      </w:r>
      <w:r w:rsidR="00DD3060" w:rsidRPr="006D71C7">
        <w:t xml:space="preserve"> Stworzenie śląskiej sieci jest jednym z ważniejszych zadań województwa w zakresie rozwoju Internetu. Zadanie to umożliwi likwidację obszarów wykluczenia cyfrowego oraz zapewni spójność infrastruktury telekomunikacyjnej w regionie.</w:t>
      </w:r>
      <w:r w:rsidR="00AF7C0F" w:rsidRPr="006D71C7">
        <w:t xml:space="preserve"> </w:t>
      </w:r>
    </w:p>
    <w:p w:rsidR="00317A3A" w:rsidRPr="006D71C7" w:rsidRDefault="00317A3A" w:rsidP="006D71C7">
      <w:pPr>
        <w:jc w:val="both"/>
        <w:rPr>
          <w:szCs w:val="24"/>
        </w:rPr>
      </w:pPr>
      <w:r w:rsidRPr="006D71C7">
        <w:rPr>
          <w:rFonts w:eastAsia="Calibri"/>
          <w:szCs w:val="24"/>
        </w:rPr>
        <w:t xml:space="preserve">Jednym z kierunków działań określonych w </w:t>
      </w:r>
      <w:r w:rsidRPr="006D71C7">
        <w:rPr>
          <w:rFonts w:eastAsia="Calibri"/>
          <w:i/>
          <w:szCs w:val="24"/>
        </w:rPr>
        <w:t xml:space="preserve">Strategii </w:t>
      </w:r>
      <w:r w:rsidR="000F4493" w:rsidRPr="006D71C7">
        <w:rPr>
          <w:rFonts w:eastAsia="Calibri"/>
          <w:i/>
          <w:szCs w:val="24"/>
        </w:rPr>
        <w:t xml:space="preserve">rozwoju </w:t>
      </w:r>
      <w:r w:rsidRPr="006D71C7">
        <w:rPr>
          <w:rFonts w:eastAsia="Calibri"/>
          <w:i/>
          <w:szCs w:val="24"/>
        </w:rPr>
        <w:t>województwa</w:t>
      </w:r>
      <w:r w:rsidRPr="006D71C7">
        <w:rPr>
          <w:rFonts w:eastAsia="Calibri"/>
          <w:szCs w:val="24"/>
        </w:rPr>
        <w:t xml:space="preserve"> … jest likwidacja „białych plam” w dostępie do Internetu szerokopasmowego oraz wspieranie integracji sieci szerokopasmowych, odpowiedzią </w:t>
      </w:r>
      <w:r w:rsidR="00BB61CA" w:rsidRPr="006D71C7">
        <w:rPr>
          <w:rFonts w:eastAsia="Calibri"/>
          <w:szCs w:val="24"/>
        </w:rPr>
        <w:t xml:space="preserve">na </w:t>
      </w:r>
      <w:r w:rsidRPr="006D71C7">
        <w:rPr>
          <w:rFonts w:eastAsia="Calibri"/>
          <w:szCs w:val="24"/>
        </w:rPr>
        <w:t xml:space="preserve">istniejący problem jest </w:t>
      </w:r>
      <w:r w:rsidRPr="006D71C7">
        <w:rPr>
          <w:rFonts w:eastAsia="Calibri"/>
          <w:i/>
          <w:szCs w:val="24"/>
        </w:rPr>
        <w:t>działanie 2.1,</w:t>
      </w:r>
      <w:r w:rsidRPr="006D71C7">
        <w:rPr>
          <w:rFonts w:eastAsia="Calibri"/>
          <w:szCs w:val="24"/>
        </w:rPr>
        <w:t xml:space="preserve"> którego celem jest </w:t>
      </w:r>
      <w:r w:rsidRPr="006D71C7">
        <w:rPr>
          <w:rFonts w:eastAsia="Calibri"/>
          <w:i/>
          <w:szCs w:val="24"/>
        </w:rPr>
        <w:t xml:space="preserve">zapewnienie powszechnego, szerokopasmowego i bezpiecznego dostępu do Internetu. </w:t>
      </w:r>
      <w:r w:rsidRPr="006D71C7">
        <w:rPr>
          <w:rFonts w:eastAsia="Calibri"/>
          <w:szCs w:val="24"/>
        </w:rPr>
        <w:t>W tym zakresie zrealizowano m.in.</w:t>
      </w:r>
      <w:r w:rsidR="00AB4A58" w:rsidRPr="006D71C7">
        <w:rPr>
          <w:rFonts w:eastAsia="Calibri"/>
          <w:szCs w:val="24"/>
        </w:rPr>
        <w:t xml:space="preserve"> projekt </w:t>
      </w:r>
      <w:r w:rsidR="00AB4A58" w:rsidRPr="006D71C7">
        <w:rPr>
          <w:b/>
          <w:i/>
          <w:szCs w:val="24"/>
        </w:rPr>
        <w:t>Śląska sieć punktów dostępu do informacji (ŚSPI</w:t>
      </w:r>
      <w:r w:rsidR="00BB74E3">
        <w:rPr>
          <w:b/>
          <w:i/>
          <w:szCs w:val="24"/>
        </w:rPr>
        <w:t>),</w:t>
      </w:r>
      <w:r w:rsidR="00BB74E3" w:rsidRPr="00BB74E3">
        <w:rPr>
          <w:b/>
          <w:i/>
          <w:szCs w:val="24"/>
        </w:rPr>
        <w:t xml:space="preserve"> </w:t>
      </w:r>
      <w:r w:rsidR="00BB74E3">
        <w:rPr>
          <w:b/>
          <w:i/>
          <w:szCs w:val="24"/>
        </w:rPr>
        <w:t>który realizuje Strategię EU 2020</w:t>
      </w:r>
      <w:r w:rsidR="00AB4A58" w:rsidRPr="006D71C7">
        <w:rPr>
          <w:b/>
          <w:i/>
          <w:szCs w:val="24"/>
        </w:rPr>
        <w:t>.</w:t>
      </w:r>
      <w:r w:rsidR="00AB4A58" w:rsidRPr="006D71C7">
        <w:rPr>
          <w:szCs w:val="24"/>
        </w:rPr>
        <w:t xml:space="preserve"> W wyniku realizacji p</w:t>
      </w:r>
      <w:r w:rsidRPr="006D71C7">
        <w:rPr>
          <w:szCs w:val="24"/>
        </w:rPr>
        <w:t>rojekt</w:t>
      </w:r>
      <w:r w:rsidR="00BB61CA" w:rsidRPr="006D71C7">
        <w:rPr>
          <w:szCs w:val="24"/>
        </w:rPr>
        <w:t>u</w:t>
      </w:r>
      <w:r w:rsidR="00AB4A58" w:rsidRPr="006D71C7">
        <w:rPr>
          <w:szCs w:val="24"/>
        </w:rPr>
        <w:t xml:space="preserve"> w wybranych wojewódzkich jednostkach organizacyjnych pojawiło się 26 ogólnodostępnych punktów informatycznych (infokiosków). </w:t>
      </w:r>
      <w:r w:rsidRPr="006D71C7">
        <w:rPr>
          <w:szCs w:val="24"/>
        </w:rPr>
        <w:t>Biorąc pod uwagę zakres projektu, należy stwierdzić, iż wywiera on pozytywny wpływ w kwestii rozwoju społeczeństwa informacyjnego. Projekt wnosi nową jakość nie tylko w sensie techniczno-funkcjonalnym (do tej pory brakowało bowiem PIAPów tego typu w objętych projektem instytucjach/miejscach), ale także do programu e-usług oraz e-administracji, czy w</w:t>
      </w:r>
      <w:r w:rsidR="000F4493" w:rsidRPr="006D71C7">
        <w:rPr>
          <w:szCs w:val="24"/>
        </w:rPr>
        <w:t> </w:t>
      </w:r>
      <w:r w:rsidRPr="006D71C7">
        <w:rPr>
          <w:szCs w:val="24"/>
        </w:rPr>
        <w:t xml:space="preserve">ogóle – kształtowania w społeczności regionu nowych kompetencji, </w:t>
      </w:r>
      <w:r w:rsidR="000C0725" w:rsidRPr="006D71C7">
        <w:rPr>
          <w:szCs w:val="24"/>
        </w:rPr>
        <w:t xml:space="preserve">rozwojowi </w:t>
      </w:r>
      <w:r w:rsidRPr="006D71C7">
        <w:rPr>
          <w:szCs w:val="24"/>
        </w:rPr>
        <w:t>społeczeństwa informacyjnego.</w:t>
      </w:r>
      <w:r w:rsidR="00AB4A58" w:rsidRPr="006D71C7">
        <w:rPr>
          <w:szCs w:val="24"/>
        </w:rPr>
        <w:t xml:space="preserve"> </w:t>
      </w:r>
      <w:r w:rsidRPr="006D71C7">
        <w:rPr>
          <w:szCs w:val="24"/>
        </w:rPr>
        <w:t>Dzięki projektowi, będącemu pierwszym tego rodzaju przedsięwzięciem w historii samorządu w regionie</w:t>
      </w:r>
      <w:r w:rsidR="000C0725" w:rsidRPr="006D71C7">
        <w:rPr>
          <w:szCs w:val="24"/>
        </w:rPr>
        <w:t>,</w:t>
      </w:r>
      <w:r w:rsidRPr="006D71C7">
        <w:rPr>
          <w:szCs w:val="24"/>
        </w:rPr>
        <w:t xml:space="preserve"> wyrównane zostaną szanse rozwoju społeczeństwa w oparciu o ICT, w szczególności w grupie osób starszych, zagrożonych wykluczeniem społecznym. Zapewniony zostanie powszechny, bezpieczny dostęp do zasobów Internetu w kluczowych miejscach użyteczności publicznej regionu.</w:t>
      </w:r>
      <w:r w:rsidR="00AB4A58" w:rsidRPr="006D71C7">
        <w:rPr>
          <w:szCs w:val="24"/>
        </w:rPr>
        <w:t xml:space="preserve"> </w:t>
      </w:r>
      <w:r w:rsidRPr="006D71C7">
        <w:rPr>
          <w:szCs w:val="24"/>
        </w:rPr>
        <w:t>Ponadto celem projektu jest wzrost dostępności do technologii ICT w szczególności w grupie osób 55+, zagrożonych wykluczeniem cyfrowym. Tym samym projekt ma na celu stworzenie warunków do rozwoju społeczeństwa informacyjnego w regionie.</w:t>
      </w:r>
    </w:p>
    <w:p w:rsidR="000F4493" w:rsidRPr="006D71C7" w:rsidRDefault="000F4493" w:rsidP="006D71C7">
      <w:pPr>
        <w:spacing w:after="0"/>
        <w:jc w:val="both"/>
      </w:pPr>
      <w:r w:rsidRPr="006D71C7">
        <w:rPr>
          <w:szCs w:val="24"/>
        </w:rPr>
        <w:t xml:space="preserve">W </w:t>
      </w:r>
      <w:r w:rsidRPr="006D71C7">
        <w:rPr>
          <w:i/>
          <w:szCs w:val="24"/>
        </w:rPr>
        <w:t xml:space="preserve">Strategii </w:t>
      </w:r>
      <w:r w:rsidRPr="006D71C7">
        <w:rPr>
          <w:i/>
        </w:rPr>
        <w:t xml:space="preserve">rozwoju </w:t>
      </w:r>
      <w:r w:rsidRPr="006D71C7">
        <w:rPr>
          <w:i/>
          <w:szCs w:val="24"/>
        </w:rPr>
        <w:t>województw</w:t>
      </w:r>
      <w:r w:rsidRPr="006D71C7">
        <w:rPr>
          <w:i/>
        </w:rPr>
        <w:t>a</w:t>
      </w:r>
      <w:r w:rsidRPr="006D71C7">
        <w:t>…</w:t>
      </w:r>
      <w:r w:rsidRPr="006D71C7">
        <w:rPr>
          <w:szCs w:val="24"/>
        </w:rPr>
        <w:t xml:space="preserve"> wpisany jest także kierunek </w:t>
      </w:r>
      <w:r w:rsidRPr="006D71C7">
        <w:rPr>
          <w:rFonts w:eastAsia="Calibri"/>
          <w:szCs w:val="24"/>
        </w:rPr>
        <w:t>zwiększenie poziomu rozwoju systemów informatycznych na całym obszarze województwa, w</w:t>
      </w:r>
      <w:r w:rsidRPr="006D71C7">
        <w:rPr>
          <w:rFonts w:eastAsia="Calibri"/>
        </w:rPr>
        <w:t xml:space="preserve"> tym w instytucjach publicznych. Odpowiedzią na zdefiniowany problem jest m.in. realizowany przez Stowarzyszenie OLZA projekt w ramach RPO WSL </w:t>
      </w:r>
      <w:r w:rsidRPr="006D71C7">
        <w:rPr>
          <w:b/>
          <w:i/>
        </w:rPr>
        <w:t xml:space="preserve">Przystosowanie systemu informatycznego administracji samorządowej do kompleksowego świadczenia usług drogą elektroniczną w gminach: Brenna, Chybie, Dębowiec, Goleszów, Istebna, Strumień, Wisła. </w:t>
      </w:r>
      <w:r w:rsidRPr="006D71C7">
        <w:t xml:space="preserve">Stowarzyszenie OLZA to dobrowolne porozumienie gmin i powiatów działających na rzecz rozwoju obszarów przylegających do granicy polsko-czeskiej w rejonie biegu rzeki Olzy. W ramach tej działalności Stowarzyszenie podjęło się wdrożenia elektronicznego obiegu dokumentów </w:t>
      </w:r>
      <w:r w:rsidRPr="006D71C7">
        <w:rPr>
          <w:rStyle w:val="Pogrubienie"/>
          <w:b w:val="0"/>
        </w:rPr>
        <w:t xml:space="preserve">na terenie 7 gmin powiatu cieszyńskiego. </w:t>
      </w:r>
      <w:r w:rsidRPr="006D71C7">
        <w:t xml:space="preserve">Decyzja o wprowadzeniu zmian była spowodowana niewystarczającymi warunkami organizacyjnymi i technicznymi dla zrealizowania usług publicznych drogą elektroniczną oraz niską efektywnością pracy samorządowej administracji w procesie świadczenia e-usług. W pierwszej kolejności </w:t>
      </w:r>
      <w:r w:rsidRPr="006D71C7">
        <w:rPr>
          <w:rStyle w:val="Pogrubienie"/>
          <w:b w:val="0"/>
        </w:rPr>
        <w:t>zakupiono sprzęt teleinformatyczny</w:t>
      </w:r>
      <w:r w:rsidRPr="006D71C7">
        <w:t xml:space="preserve"> (serwery, komputery, skanery, zestawy czytników kodów kreskowych, skanery, drukarki) wraz z niezbędnym oprogramowaniem. Na tej bazie </w:t>
      </w:r>
      <w:r w:rsidRPr="006D71C7">
        <w:rPr>
          <w:rStyle w:val="Pogrubienie"/>
          <w:b w:val="0"/>
        </w:rPr>
        <w:t>wdrożono System Elektronicznego Obiegu Dokumentó</w:t>
      </w:r>
      <w:r w:rsidRPr="006D71C7">
        <w:t xml:space="preserve">w, pozwalający na przetwarzanie i obsługę pism w formie dokumentów elektronicznych. </w:t>
      </w:r>
      <w:r w:rsidRPr="006D71C7">
        <w:rPr>
          <w:rStyle w:val="Pogrubienie"/>
          <w:b w:val="0"/>
        </w:rPr>
        <w:t xml:space="preserve">Dla urzędów oznacza to: </w:t>
      </w:r>
      <w:r w:rsidRPr="006D71C7">
        <w:t xml:space="preserve">efektywne gospodarowanie czasem pracy, redukcję kosztów związanych z bieżącym funkcjonowaniem urzędu, automatyzację wielu powtarzalnych czynności.  </w:t>
      </w:r>
      <w:r w:rsidRPr="006D71C7">
        <w:rPr>
          <w:rStyle w:val="Pogrubienie"/>
          <w:b w:val="0"/>
        </w:rPr>
        <w:t>Korzyści dla obywateli</w:t>
      </w:r>
      <w:r w:rsidRPr="006D71C7">
        <w:rPr>
          <w:rStyle w:val="Pogrubienie"/>
        </w:rPr>
        <w:t xml:space="preserve"> </w:t>
      </w:r>
      <w:r w:rsidRPr="006D71C7">
        <w:t xml:space="preserve">jest równie wiele: skrócenie czasu realizacji usług, usprawnienie procedur administracyjnych, wypełnianie komputerowo formularzy, które </w:t>
      </w:r>
      <w:r w:rsidR="00613A65" w:rsidRPr="006D71C7">
        <w:t xml:space="preserve">nie </w:t>
      </w:r>
      <w:r w:rsidRPr="006D71C7">
        <w:t>wymagają wielokrotnego wypełniania tych samych informacji, kontakt z urzędem bez konieczności osobistego stawiennictwa w celu złożenia wniosków, przekazania informacji lub też wnoszenia opłat administracyjnych, podniesienie jakości usług administracji publicznej.</w:t>
      </w:r>
    </w:p>
    <w:p w:rsidR="000F4493" w:rsidRDefault="00AF7C0F" w:rsidP="006D71C7">
      <w:pPr>
        <w:jc w:val="both"/>
      </w:pPr>
      <w:r w:rsidRPr="006D71C7">
        <w:t>Dzięki realizacji projektów w ramach przedmiotowego priorytetu wdrożono 42 </w:t>
      </w:r>
      <w:r w:rsidRPr="006D71C7">
        <w:rPr>
          <w:bCs/>
          <w:iCs/>
        </w:rPr>
        <w:t>kompleksowe systemy</w:t>
      </w:r>
      <w:r w:rsidR="000F4493" w:rsidRPr="006D71C7">
        <w:rPr>
          <w:bCs/>
          <w:iCs/>
        </w:rPr>
        <w:t xml:space="preserve"> zarządzania w jednostkach publicznych (w tym SEOD</w:t>
      </w:r>
      <w:r w:rsidR="00317A3A" w:rsidRPr="006D71C7">
        <w:t xml:space="preserve">), ponadto skrócono o </w:t>
      </w:r>
      <w:r w:rsidR="003D6481" w:rsidRPr="006D71C7">
        <w:t xml:space="preserve">81 </w:t>
      </w:r>
      <w:r w:rsidR="00317A3A" w:rsidRPr="006D71C7">
        <w:t>minut obsługę klienta.</w:t>
      </w:r>
    </w:p>
    <w:p w:rsidR="0060162D" w:rsidRPr="006D71C7" w:rsidRDefault="0060162D" w:rsidP="006D71C7">
      <w:pPr>
        <w:jc w:val="both"/>
      </w:pPr>
      <w:r>
        <w:rPr>
          <w:szCs w:val="24"/>
        </w:rPr>
        <w:t xml:space="preserve">W ramach przedmiotowego obszaru tj. społeczeństwo informacyjne na terenie województwa śląskiego realizowane są także projekty w ramach jednego krajowego programu operacyjnego. Szczegółowe informacje zostały przedstawione w pkt. 2.1.6.2 niniejszego </w:t>
      </w:r>
      <w:r w:rsidRPr="0060162D">
        <w:rPr>
          <w:i/>
          <w:szCs w:val="24"/>
        </w:rPr>
        <w:t>Sprawozdania</w:t>
      </w:r>
      <w:r>
        <w:rPr>
          <w:i/>
          <w:szCs w:val="24"/>
        </w:rPr>
        <w:t>.</w:t>
      </w:r>
    </w:p>
    <w:p w:rsidR="00245F70" w:rsidRPr="006D71C7" w:rsidRDefault="0005410E" w:rsidP="00BA2FE7">
      <w:pPr>
        <w:pStyle w:val="Nagwek1"/>
        <w:numPr>
          <w:ilvl w:val="2"/>
          <w:numId w:val="62"/>
        </w:numPr>
        <w:tabs>
          <w:tab w:val="left" w:pos="1560"/>
        </w:tabs>
        <w:spacing w:after="120"/>
        <w:jc w:val="both"/>
        <w:rPr>
          <w:bCs w:val="0"/>
          <w:szCs w:val="24"/>
        </w:rPr>
      </w:pPr>
      <w:bookmarkStart w:id="351" w:name="_Toc261941867"/>
      <w:bookmarkStart w:id="352" w:name="_Toc262031906"/>
      <w:bookmarkStart w:id="353" w:name="_Toc292789287"/>
      <w:bookmarkStart w:id="354" w:name="_Toc292793581"/>
      <w:bookmarkStart w:id="355" w:name="_Toc324853903"/>
      <w:bookmarkStart w:id="356" w:name="_Toc327259255"/>
      <w:r w:rsidRPr="006D71C7">
        <w:rPr>
          <w:bCs w:val="0"/>
          <w:szCs w:val="24"/>
        </w:rPr>
        <w:t>Opis istotnych problemów we wdrażaniu wraz z podjętymi środkami zaradczymi</w:t>
      </w:r>
      <w:bookmarkEnd w:id="351"/>
      <w:bookmarkEnd w:id="352"/>
      <w:bookmarkEnd w:id="353"/>
      <w:bookmarkEnd w:id="354"/>
      <w:bookmarkEnd w:id="355"/>
      <w:bookmarkEnd w:id="356"/>
    </w:p>
    <w:p w:rsidR="00726241" w:rsidRPr="006D71C7" w:rsidRDefault="00726241" w:rsidP="006D71C7">
      <w:pPr>
        <w:spacing w:after="0"/>
        <w:jc w:val="both"/>
        <w:rPr>
          <w:szCs w:val="24"/>
        </w:rPr>
      </w:pPr>
      <w:r w:rsidRPr="006D71C7">
        <w:rPr>
          <w:szCs w:val="24"/>
        </w:rPr>
        <w:t>Najwięcej problemów we wdrażaniu priorytetu II przysparzało wdrażanie i realizacja działania 2.1. czyli  inwestycji z zakresu budowy sieci szerokopasmowych:</w:t>
      </w:r>
    </w:p>
    <w:p w:rsidR="00726241" w:rsidRPr="006D71C7" w:rsidRDefault="00726241" w:rsidP="00BA2FE7">
      <w:pPr>
        <w:pStyle w:val="Akapitzlist"/>
        <w:numPr>
          <w:ilvl w:val="0"/>
          <w:numId w:val="76"/>
        </w:numPr>
        <w:spacing w:after="0"/>
        <w:jc w:val="both"/>
        <w:rPr>
          <w:szCs w:val="24"/>
        </w:rPr>
      </w:pPr>
      <w:r w:rsidRPr="006D71C7">
        <w:rPr>
          <w:szCs w:val="24"/>
        </w:rPr>
        <w:t xml:space="preserve">późne (z perspektywy wdrażania programów operacyjnych 2007-2013) opublikowanie kluczowych dokumentów: </w:t>
      </w:r>
      <w:r w:rsidRPr="006D71C7">
        <w:rPr>
          <w:i/>
          <w:szCs w:val="24"/>
        </w:rPr>
        <w:t>Wytycznych wspólnotowych w sprawie stosowania przepisów dotyczących pomocy państwa w odniesieniu do szybkiego wdrażania sieci szerokopasmowych</w:t>
      </w:r>
      <w:r w:rsidRPr="006D71C7">
        <w:rPr>
          <w:szCs w:val="24"/>
        </w:rPr>
        <w:t xml:space="preserve"> (wrzesień 2009), </w:t>
      </w:r>
      <w:r w:rsidRPr="006D71C7">
        <w:rPr>
          <w:i/>
          <w:szCs w:val="24"/>
        </w:rPr>
        <w:t>Rozporządzenia MRR z dnia 7 grudnia 2009 r. w sprawie udzielania pomocy na inwestycje w zakresie: energetyki, infrastruktury telekomunikacyjnej, infrastruktury sfery badawczo-rozwojowej, lecznictwa uzdrowiskowego w ramach RPO </w:t>
      </w:r>
      <w:r w:rsidRPr="006D71C7">
        <w:rPr>
          <w:szCs w:val="24"/>
        </w:rPr>
        <w:t xml:space="preserve"> (weszło w życie 31 grudnia 2009 roku), </w:t>
      </w:r>
      <w:r w:rsidRPr="006D71C7">
        <w:rPr>
          <w:i/>
          <w:szCs w:val="24"/>
        </w:rPr>
        <w:t>Ustawy o wspieraniu rozwoju usług i sieci telekomunikacyjnych z dnia 7 maja 2010 r</w:t>
      </w:r>
      <w:r w:rsidRPr="006D71C7">
        <w:rPr>
          <w:szCs w:val="24"/>
        </w:rPr>
        <w:t>., pierwsze dwa dokumenty regulują zasady udzielania pomocy publicznej w omawianym obszarze i ich późne pojawienie się wpłynęło bezpośrednio na czas ogłaszania pierwszych konkursów z działania 2.1, natomiast megaustawa szerokopasmowa mająca ułatwić i przyspieszyć budowę infrastruktury szerokopasmowej nie dawała jasności interpretacyjnej,</w:t>
      </w:r>
    </w:p>
    <w:p w:rsidR="00726241" w:rsidRPr="006D71C7" w:rsidRDefault="00726241" w:rsidP="00BA2FE7">
      <w:pPr>
        <w:pStyle w:val="Akapitzlist"/>
        <w:numPr>
          <w:ilvl w:val="0"/>
          <w:numId w:val="76"/>
        </w:numPr>
        <w:spacing w:after="0"/>
        <w:jc w:val="both"/>
        <w:rPr>
          <w:szCs w:val="24"/>
        </w:rPr>
      </w:pPr>
      <w:r w:rsidRPr="006D71C7">
        <w:rPr>
          <w:szCs w:val="24"/>
        </w:rPr>
        <w:t>liczne wątpliwości interpretacyjne dot. stosowania ww. dokumentów, zwłaszcza w kontekście beneficjentów pomocy publicznej wg ww. rozporządzenia (jakie inwestycje są objęte pomocą publiczną, a jakie nie, np. sieci budowane na potrzeby własne JST, które na mocy megaustawy mogłyby być udostępniane operatorom, czy możliwe jest objęcie części projektu pomocą publiczną – stworzenie tzw. wariantu mieszanego, czy gminy mogą być przedsiębiorcami telekomunikacyjnymi i w związku z tym czy można im udzielać pomocy publicznej na mocy rozporządzenia wielosektorowego), kwestie dot. dokumentów zagospodarowania przestrzennego oraz prawa do dysponowania nieruchomością  w świetle regulacji wynikających z zapisów ww. ustawy,</w:t>
      </w:r>
    </w:p>
    <w:p w:rsidR="00726241" w:rsidRPr="006D71C7" w:rsidRDefault="00726241" w:rsidP="00BA2FE7">
      <w:pPr>
        <w:pStyle w:val="Akapitzlist"/>
        <w:numPr>
          <w:ilvl w:val="0"/>
          <w:numId w:val="76"/>
        </w:numPr>
        <w:spacing w:after="0"/>
        <w:jc w:val="both"/>
        <w:rPr>
          <w:szCs w:val="24"/>
        </w:rPr>
      </w:pPr>
      <w:r w:rsidRPr="006D71C7">
        <w:rPr>
          <w:szCs w:val="24"/>
        </w:rPr>
        <w:t xml:space="preserve">wątpliwości dot. możliwości i warunków stosowania </w:t>
      </w:r>
      <w:r w:rsidRPr="006D71C7">
        <w:rPr>
          <w:i/>
          <w:szCs w:val="24"/>
        </w:rPr>
        <w:t>Rozporządzenia MRR w sprawie udzielania regionalnej pomocy inwestycyjnej w ramach regionalnych programów operacyjnych</w:t>
      </w:r>
      <w:r w:rsidRPr="006D71C7">
        <w:rPr>
          <w:szCs w:val="24"/>
        </w:rPr>
        <w:t xml:space="preserve"> oraz </w:t>
      </w:r>
      <w:r w:rsidRPr="006D71C7">
        <w:rPr>
          <w:i/>
          <w:szCs w:val="24"/>
        </w:rPr>
        <w:t>Rozporządzenia MRR w sprawie udzielania pomocy de minimis w ramach RPO w przypadku inwestycji związanych z budową sieci szerokopasmowych</w:t>
      </w:r>
      <w:r w:rsidRPr="006D71C7">
        <w:rPr>
          <w:szCs w:val="24"/>
        </w:rPr>
        <w:t>,</w:t>
      </w:r>
    </w:p>
    <w:p w:rsidR="00726241" w:rsidRPr="006D71C7" w:rsidRDefault="00726241" w:rsidP="00BA2FE7">
      <w:pPr>
        <w:pStyle w:val="Akapitzlist"/>
        <w:numPr>
          <w:ilvl w:val="0"/>
          <w:numId w:val="76"/>
        </w:numPr>
        <w:spacing w:after="0"/>
        <w:jc w:val="both"/>
        <w:rPr>
          <w:szCs w:val="24"/>
        </w:rPr>
      </w:pPr>
      <w:r w:rsidRPr="006D71C7">
        <w:rPr>
          <w:szCs w:val="24"/>
        </w:rPr>
        <w:t>problemy dot. możliwości realizacji sieci szerokopasmowych na podstawie PFU, rozporządzenie nie wyłącza, w przeciwieństwie do innych inwestycji liniowych, konieczności posiadania już na etapie sporządzania PFU prawa do dysponowania nieruchomością, co w przeciwieństwie do inwestycji punktowych nie jest często możliwe do określenia na tym etapie procesu inwestycyjnego (dopiero obecnie trwają prace nad stosowna zmianą w rozporządzeniu),</w:t>
      </w:r>
    </w:p>
    <w:p w:rsidR="00726241" w:rsidRPr="006D71C7" w:rsidRDefault="00726241" w:rsidP="00BA2FE7">
      <w:pPr>
        <w:pStyle w:val="Akapitzlist"/>
        <w:numPr>
          <w:ilvl w:val="0"/>
          <w:numId w:val="76"/>
        </w:numPr>
        <w:spacing w:after="0"/>
        <w:jc w:val="both"/>
        <w:rPr>
          <w:szCs w:val="24"/>
        </w:rPr>
      </w:pPr>
      <w:r w:rsidRPr="006D71C7">
        <w:rPr>
          <w:szCs w:val="24"/>
        </w:rPr>
        <w:t>brak inwentaryzacji i wynikające z tego problemy z kwalifikacją obszarów (czarne/białe/szare), problemy ze sporządzeniem inwentaryzacji istniejącej i planowanej infrastruktury teletechnicznej, od czasu sporządzenia inwentaryzacji na poziomie krajowym – problemy z rozbieżnością informacji na poziomie inwentaryzacji własnej beneficjenta i inwentaryzacji krajowej (głównie wynikającą z zastosowanej skali – krajowa dotyczy poziomu gminy, beneficjenci analizują sołectwa i dzielnice),</w:t>
      </w:r>
    </w:p>
    <w:p w:rsidR="00726241" w:rsidRDefault="00726241" w:rsidP="00BA2FE7">
      <w:pPr>
        <w:pStyle w:val="Akapitzlist"/>
        <w:numPr>
          <w:ilvl w:val="0"/>
          <w:numId w:val="76"/>
        </w:numPr>
        <w:spacing w:after="0"/>
        <w:jc w:val="both"/>
        <w:rPr>
          <w:szCs w:val="24"/>
        </w:rPr>
      </w:pPr>
      <w:r w:rsidRPr="006D71C7">
        <w:rPr>
          <w:szCs w:val="24"/>
        </w:rPr>
        <w:t>brak doświadczenia w realizowaniu tego rodzaju inwestycji w przypadku beneficjentów z sektora publicznego (zwłaszcza jst), brak środków publicznych na wkład własny.</w:t>
      </w:r>
    </w:p>
    <w:p w:rsidR="00C94DEA" w:rsidRDefault="00C94DEA" w:rsidP="00C94DEA">
      <w:pPr>
        <w:pStyle w:val="Akapitzlist"/>
        <w:spacing w:after="0"/>
        <w:jc w:val="both"/>
        <w:rPr>
          <w:szCs w:val="24"/>
        </w:rPr>
      </w:pPr>
    </w:p>
    <w:p w:rsidR="00C94DEA" w:rsidRDefault="00C94DEA" w:rsidP="00C94DEA">
      <w:pPr>
        <w:spacing w:after="0"/>
        <w:jc w:val="both"/>
      </w:pPr>
      <w:r>
        <w:t xml:space="preserve">W kwestii utrudnień w realizacji wynikających z rozporządzenia dot. PFU – IZ RPO WSL zgłosiła problem, niedawno wprowadzono zmianę do rozporządzenia uwzględniającą liniowy charakter inwestycji budowy sieci szkieletowych i dystrybucyjnych: </w:t>
      </w:r>
    </w:p>
    <w:p w:rsidR="00C94DEA" w:rsidRPr="00D12709" w:rsidRDefault="00C94DEA" w:rsidP="00BA2FE7">
      <w:pPr>
        <w:pStyle w:val="Akapitzlist"/>
        <w:numPr>
          <w:ilvl w:val="0"/>
          <w:numId w:val="107"/>
        </w:numPr>
        <w:spacing w:after="0"/>
        <w:ind w:left="567"/>
        <w:jc w:val="both"/>
      </w:pPr>
      <w:r w:rsidRPr="00D12709">
        <w:rPr>
          <w:i/>
          <w:iCs/>
          <w:color w:val="000000"/>
        </w:rPr>
        <w:t xml:space="preserve">rozporządzenie Ministra Transportu, Budownictwa </w:t>
      </w:r>
      <w:r>
        <w:rPr>
          <w:i/>
          <w:iCs/>
          <w:color w:val="000000"/>
        </w:rPr>
        <w:t>i Gospodarki Morskiej z dnia 28 </w:t>
      </w:r>
      <w:r w:rsidRPr="00D12709">
        <w:rPr>
          <w:i/>
          <w:iCs/>
          <w:color w:val="000000"/>
        </w:rPr>
        <w:t>marca 2012 r.</w:t>
      </w:r>
      <w:r w:rsidRPr="00D12709">
        <w:rPr>
          <w:color w:val="000000"/>
        </w:rPr>
        <w:t xml:space="preserve"> </w:t>
      </w:r>
      <w:r w:rsidRPr="00D12709">
        <w:rPr>
          <w:i/>
          <w:iCs/>
          <w:color w:val="000000"/>
        </w:rPr>
        <w:t>zmieniające rozporządzenie w sprawie szczegółowego zakresu i formy dokumentacji projektowej, specyfikacji technicznych wykonania i odbioru robót budowlanych oraz programu funkcjonalno-użytkowego</w:t>
      </w:r>
      <w:r w:rsidRPr="00D12709">
        <w:rPr>
          <w:color w:val="000000"/>
        </w:rPr>
        <w:t>, zostało opublikowane w Dz. U. z dnia 4 kwietnia br., co znacznie ułatwi skompletow</w:t>
      </w:r>
      <w:r>
        <w:rPr>
          <w:color w:val="000000"/>
        </w:rPr>
        <w:t>anie dokumentacji niezbędnej do </w:t>
      </w:r>
      <w:r w:rsidRPr="00D12709">
        <w:rPr>
          <w:color w:val="000000"/>
        </w:rPr>
        <w:t>aplikowania o dofinansowanie.</w:t>
      </w:r>
    </w:p>
    <w:p w:rsidR="00C94DEA" w:rsidRPr="00D12709" w:rsidRDefault="00C94DEA" w:rsidP="00C94DEA">
      <w:pPr>
        <w:spacing w:after="0"/>
        <w:ind w:left="720"/>
        <w:jc w:val="both"/>
      </w:pPr>
    </w:p>
    <w:p w:rsidR="00C94DEA" w:rsidRPr="00C94DEA" w:rsidRDefault="00C94DEA" w:rsidP="00C94DEA">
      <w:pPr>
        <w:jc w:val="both"/>
        <w:rPr>
          <w:color w:val="000000"/>
        </w:rPr>
      </w:pPr>
      <w:r>
        <w:rPr>
          <w:iCs/>
          <w:color w:val="000000"/>
        </w:rPr>
        <w:t>Ponadto w</w:t>
      </w:r>
      <w:r w:rsidRPr="00D12709">
        <w:rPr>
          <w:iCs/>
          <w:color w:val="000000"/>
        </w:rPr>
        <w:t xml:space="preserve"> odniesieniu do braku doświadczenia przy realizowaniu projektów infrastruktury szerokopas</w:t>
      </w:r>
      <w:r>
        <w:rPr>
          <w:iCs/>
          <w:color w:val="000000"/>
        </w:rPr>
        <w:t>mowej – po zaakceptowaniu zmiany</w:t>
      </w:r>
      <w:r w:rsidRPr="00D12709">
        <w:rPr>
          <w:iCs/>
          <w:color w:val="000000"/>
        </w:rPr>
        <w:t xml:space="preserve"> w RPO WSL dot. uwzględnienia przedsiębiorców telekomunikacyjnych jako beneficjen</w:t>
      </w:r>
      <w:r>
        <w:rPr>
          <w:iCs/>
          <w:color w:val="000000"/>
        </w:rPr>
        <w:t>tów, został ogłoszony konkurs w </w:t>
      </w:r>
      <w:r w:rsidRPr="00D12709">
        <w:rPr>
          <w:iCs/>
          <w:color w:val="000000"/>
        </w:rPr>
        <w:t xml:space="preserve">ramach </w:t>
      </w:r>
      <w:r w:rsidRPr="00D12709">
        <w:rPr>
          <w:i/>
          <w:iCs/>
          <w:color w:val="000000"/>
        </w:rPr>
        <w:t>działania 2.1 Infrastruktura społeczeństwa informacyjnego</w:t>
      </w:r>
      <w:r w:rsidRPr="00D12709">
        <w:rPr>
          <w:iCs/>
          <w:color w:val="000000"/>
        </w:rPr>
        <w:t xml:space="preserve">, uwzględniający przedsiębiorców telekomunikacyjnych jako potencjalnych beneficjentów. </w:t>
      </w:r>
    </w:p>
    <w:p w:rsidR="0005410E" w:rsidRPr="006D71C7" w:rsidRDefault="00BF4964" w:rsidP="00BA2FE7">
      <w:pPr>
        <w:pStyle w:val="Nagwek1"/>
        <w:numPr>
          <w:ilvl w:val="1"/>
          <w:numId w:val="62"/>
        </w:numPr>
        <w:pBdr>
          <w:top w:val="single" w:sz="24" w:space="1" w:color="DE6A5C" w:themeColor="accent2" w:themeTint="99"/>
          <w:left w:val="single" w:sz="24" w:space="4" w:color="DE6A5C" w:themeColor="accent2" w:themeTint="99"/>
          <w:bottom w:val="single" w:sz="24" w:space="1" w:color="DE6A5C" w:themeColor="accent2" w:themeTint="99"/>
          <w:right w:val="single" w:sz="24" w:space="4" w:color="DE6A5C" w:themeColor="accent2" w:themeTint="99"/>
        </w:pBdr>
        <w:tabs>
          <w:tab w:val="left" w:pos="1560"/>
        </w:tabs>
        <w:spacing w:after="120"/>
        <w:ind w:left="357" w:hanging="357"/>
        <w:jc w:val="both"/>
      </w:pPr>
      <w:bookmarkStart w:id="357" w:name="_Toc327259256"/>
      <w:r w:rsidRPr="006D71C7">
        <w:t>PRIORYTET III TURYSTYKA</w:t>
      </w:r>
      <w:bookmarkEnd w:id="357"/>
    </w:p>
    <w:p w:rsidR="004A2760" w:rsidRPr="006D71C7" w:rsidRDefault="004A2760" w:rsidP="00BA2FE7">
      <w:pPr>
        <w:pStyle w:val="Nagwek1"/>
        <w:numPr>
          <w:ilvl w:val="2"/>
          <w:numId w:val="63"/>
        </w:numPr>
        <w:tabs>
          <w:tab w:val="left" w:pos="1560"/>
        </w:tabs>
        <w:spacing w:before="120" w:after="120"/>
        <w:jc w:val="both"/>
      </w:pPr>
      <w:bookmarkStart w:id="358" w:name="_Toc292793583"/>
      <w:bookmarkStart w:id="359" w:name="_Toc324853905"/>
      <w:bookmarkStart w:id="360" w:name="_Toc327259257"/>
      <w:r w:rsidRPr="006D71C7">
        <w:t>Osiągnięcie celów i analiza postępów</w:t>
      </w:r>
      <w:bookmarkEnd w:id="358"/>
      <w:bookmarkEnd w:id="359"/>
      <w:bookmarkEnd w:id="360"/>
    </w:p>
    <w:p w:rsidR="00471452" w:rsidRPr="006D71C7" w:rsidRDefault="00471452" w:rsidP="00BA2FE7">
      <w:pPr>
        <w:pStyle w:val="Nagwek1"/>
        <w:numPr>
          <w:ilvl w:val="3"/>
          <w:numId w:val="63"/>
        </w:numPr>
        <w:tabs>
          <w:tab w:val="left" w:pos="1560"/>
        </w:tabs>
        <w:spacing w:before="120" w:after="120"/>
        <w:jc w:val="both"/>
        <w:rPr>
          <w:szCs w:val="24"/>
        </w:rPr>
      </w:pPr>
      <w:bookmarkStart w:id="361" w:name="_Toc292789289"/>
      <w:bookmarkStart w:id="362" w:name="_Toc292793584"/>
      <w:bookmarkStart w:id="363" w:name="_Toc292888966"/>
      <w:bookmarkStart w:id="364" w:name="_Toc324853906"/>
      <w:bookmarkStart w:id="365" w:name="_Toc327259258"/>
      <w:r w:rsidRPr="006D71C7">
        <w:rPr>
          <w:szCs w:val="24"/>
        </w:rPr>
        <w:t>Informacje na temat fizycznych i finansowych postępów priorytetu</w:t>
      </w:r>
      <w:bookmarkEnd w:id="361"/>
      <w:bookmarkEnd w:id="362"/>
      <w:bookmarkEnd w:id="363"/>
      <w:bookmarkEnd w:id="364"/>
      <w:bookmarkEnd w:id="365"/>
    </w:p>
    <w:p w:rsidR="00095118" w:rsidRPr="006D71C7" w:rsidRDefault="00095118" w:rsidP="006D71C7">
      <w:pPr>
        <w:pStyle w:val="Nagwek2"/>
        <w:numPr>
          <w:ilvl w:val="0"/>
          <w:numId w:val="0"/>
        </w:numPr>
        <w:spacing w:before="0" w:beforeAutospacing="0" w:after="120" w:afterAutospacing="0" w:line="276" w:lineRule="auto"/>
        <w:jc w:val="both"/>
        <w:rPr>
          <w:b w:val="0"/>
          <w:sz w:val="24"/>
          <w:szCs w:val="24"/>
        </w:rPr>
      </w:pPr>
      <w:bookmarkStart w:id="366" w:name="_Toc324786850"/>
      <w:bookmarkStart w:id="367" w:name="_Toc324853907"/>
      <w:bookmarkStart w:id="368" w:name="_Toc327259259"/>
      <w:r w:rsidRPr="006D71C7">
        <w:rPr>
          <w:b w:val="0"/>
          <w:sz w:val="24"/>
          <w:szCs w:val="24"/>
        </w:rPr>
        <w:t>W załącznik</w:t>
      </w:r>
      <w:r w:rsidR="00B16256"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dla priorytetu III, dla kolejnych lat w ujęciu kumulatywnym. Przedstawione informacje prezentowane są według stanu na koniec 2011 roku oparte na danych dotyczących operacji zakończonych. Określone zostały wartości docelowe dla 2010, 2013 i 2015 roku oraz zaprezentowano szacowaną wartość na podstawie podpisanych umów o dofinansowanie. Przedstawiono także wskaźniki przedmiotowego priorytetu w podziale na działania i poddziałania.</w:t>
      </w:r>
      <w:bookmarkEnd w:id="366"/>
      <w:bookmarkEnd w:id="367"/>
      <w:bookmarkEnd w:id="368"/>
    </w:p>
    <w:p w:rsidR="00471452" w:rsidRPr="006D71C7" w:rsidRDefault="00471452" w:rsidP="00BA2FE7">
      <w:pPr>
        <w:pStyle w:val="Nagwek1"/>
        <w:numPr>
          <w:ilvl w:val="3"/>
          <w:numId w:val="63"/>
        </w:numPr>
        <w:tabs>
          <w:tab w:val="left" w:pos="1560"/>
        </w:tabs>
        <w:spacing w:before="120" w:after="120"/>
        <w:jc w:val="both"/>
        <w:rPr>
          <w:szCs w:val="24"/>
        </w:rPr>
      </w:pPr>
      <w:bookmarkStart w:id="369" w:name="_Toc324853908"/>
      <w:bookmarkStart w:id="370" w:name="_Toc327259260"/>
      <w:r w:rsidRPr="006D71C7">
        <w:rPr>
          <w:szCs w:val="24"/>
        </w:rPr>
        <w:t>Analiza jakościowa</w:t>
      </w:r>
      <w:r w:rsidR="006170C5" w:rsidRPr="006D71C7">
        <w:rPr>
          <w:szCs w:val="24"/>
        </w:rPr>
        <w:t xml:space="preserve"> (poziom priorytetu)</w:t>
      </w:r>
      <w:bookmarkEnd w:id="369"/>
      <w:bookmarkEnd w:id="370"/>
    </w:p>
    <w:p w:rsidR="00CF3D18" w:rsidRPr="006D71C7" w:rsidRDefault="00CF3D18" w:rsidP="006D71C7">
      <w:pPr>
        <w:spacing w:after="120"/>
        <w:jc w:val="both"/>
        <w:rPr>
          <w:b/>
          <w:i/>
        </w:rPr>
      </w:pPr>
      <w:r w:rsidRPr="006D71C7">
        <w:rPr>
          <w:b/>
          <w:i/>
        </w:rPr>
        <w:t>Informacje ogólne</w:t>
      </w:r>
    </w:p>
    <w:p w:rsidR="00602374" w:rsidRPr="006D71C7" w:rsidRDefault="00602374" w:rsidP="006D71C7">
      <w:pPr>
        <w:spacing w:after="0"/>
        <w:jc w:val="both"/>
        <w:rPr>
          <w:szCs w:val="24"/>
        </w:rPr>
      </w:pPr>
      <w:r w:rsidRPr="006D71C7">
        <w:rPr>
          <w:szCs w:val="24"/>
        </w:rPr>
        <w:t xml:space="preserve">Celem głównym priorytetu jest </w:t>
      </w:r>
      <w:r w:rsidRPr="006D71C7">
        <w:rPr>
          <w:i/>
          <w:iCs/>
          <w:szCs w:val="24"/>
        </w:rPr>
        <w:t>Wzrost konkurencyjności turystycznej regionu</w:t>
      </w:r>
      <w:r w:rsidR="009A7B67" w:rsidRPr="006D71C7">
        <w:rPr>
          <w:szCs w:val="24"/>
        </w:rPr>
        <w:t xml:space="preserve">. W ramach </w:t>
      </w:r>
      <w:r w:rsidR="00E626FF" w:rsidRPr="006D71C7">
        <w:rPr>
          <w:szCs w:val="24"/>
        </w:rPr>
        <w:t>p</w:t>
      </w:r>
      <w:r w:rsidRPr="006D71C7">
        <w:rPr>
          <w:szCs w:val="24"/>
        </w:rPr>
        <w:t xml:space="preserve">riorytetu </w:t>
      </w:r>
      <w:r w:rsidR="00A12195" w:rsidRPr="006D71C7">
        <w:rPr>
          <w:szCs w:val="24"/>
        </w:rPr>
        <w:t>są</w:t>
      </w:r>
      <w:r w:rsidRPr="006D71C7">
        <w:rPr>
          <w:szCs w:val="24"/>
        </w:rPr>
        <w:t xml:space="preserve"> wspierane działania z zakresu infrastruktury zaplecza turystycznego, infrastruktury okołoturystycznej, systemu informacji turystycznej, promocji turystyki.</w:t>
      </w:r>
    </w:p>
    <w:p w:rsidR="00DB22BB" w:rsidRPr="006D71C7" w:rsidRDefault="00DB22BB" w:rsidP="006D71C7">
      <w:pPr>
        <w:spacing w:after="0"/>
        <w:jc w:val="both"/>
        <w:rPr>
          <w:szCs w:val="24"/>
        </w:rPr>
      </w:pPr>
    </w:p>
    <w:p w:rsidR="00602374" w:rsidRPr="006D71C7" w:rsidRDefault="00DB22BB" w:rsidP="006D71C7">
      <w:pPr>
        <w:spacing w:after="0"/>
        <w:jc w:val="both"/>
        <w:rPr>
          <w:szCs w:val="24"/>
        </w:rPr>
      </w:pPr>
      <w:r w:rsidRPr="006D71C7">
        <w:rPr>
          <w:szCs w:val="24"/>
        </w:rPr>
        <w:t>Realizacji p</w:t>
      </w:r>
      <w:r w:rsidR="00602374" w:rsidRPr="006D71C7">
        <w:rPr>
          <w:szCs w:val="24"/>
        </w:rPr>
        <w:t>riorytetu służyć mają cztery działania:</w:t>
      </w:r>
    </w:p>
    <w:p w:rsidR="00602374" w:rsidRPr="006D71C7" w:rsidRDefault="00602374" w:rsidP="006D71C7">
      <w:pPr>
        <w:pStyle w:val="Akapitzlist"/>
        <w:numPr>
          <w:ilvl w:val="0"/>
          <w:numId w:val="4"/>
        </w:numPr>
        <w:spacing w:after="0"/>
        <w:jc w:val="both"/>
        <w:rPr>
          <w:i/>
          <w:szCs w:val="24"/>
        </w:rPr>
      </w:pPr>
      <w:r w:rsidRPr="006D71C7">
        <w:rPr>
          <w:i/>
          <w:szCs w:val="24"/>
        </w:rPr>
        <w:t>3.1 Infrastruktura zaplecza turystycznego</w:t>
      </w:r>
      <w:r w:rsidR="00927C99" w:rsidRPr="006D71C7">
        <w:rPr>
          <w:i/>
          <w:szCs w:val="24"/>
        </w:rPr>
        <w:t>,</w:t>
      </w:r>
    </w:p>
    <w:p w:rsidR="00602374" w:rsidRPr="006D71C7" w:rsidRDefault="00602374" w:rsidP="006D71C7">
      <w:pPr>
        <w:pStyle w:val="Akapitzlist"/>
        <w:numPr>
          <w:ilvl w:val="0"/>
          <w:numId w:val="4"/>
        </w:numPr>
        <w:spacing w:after="0"/>
        <w:jc w:val="both"/>
        <w:rPr>
          <w:i/>
          <w:szCs w:val="24"/>
        </w:rPr>
      </w:pPr>
      <w:r w:rsidRPr="006D71C7">
        <w:rPr>
          <w:i/>
          <w:szCs w:val="24"/>
        </w:rPr>
        <w:t>3.2 Infrastruktura okołoturystyczna</w:t>
      </w:r>
      <w:r w:rsidR="00927C99" w:rsidRPr="006D71C7">
        <w:rPr>
          <w:i/>
          <w:szCs w:val="24"/>
        </w:rPr>
        <w:t>,</w:t>
      </w:r>
    </w:p>
    <w:p w:rsidR="00602374" w:rsidRPr="006D71C7" w:rsidRDefault="00602374" w:rsidP="006D71C7">
      <w:pPr>
        <w:pStyle w:val="Akapitzlist"/>
        <w:numPr>
          <w:ilvl w:val="0"/>
          <w:numId w:val="4"/>
        </w:numPr>
        <w:spacing w:after="0"/>
        <w:jc w:val="both"/>
        <w:rPr>
          <w:i/>
          <w:szCs w:val="24"/>
        </w:rPr>
      </w:pPr>
      <w:r w:rsidRPr="006D71C7">
        <w:rPr>
          <w:i/>
          <w:szCs w:val="24"/>
        </w:rPr>
        <w:t>3.3 Systemy informacji turystycznej</w:t>
      </w:r>
      <w:r w:rsidR="00927C99" w:rsidRPr="006D71C7">
        <w:rPr>
          <w:i/>
          <w:szCs w:val="24"/>
        </w:rPr>
        <w:t>,</w:t>
      </w:r>
    </w:p>
    <w:p w:rsidR="00602374" w:rsidRPr="006D71C7" w:rsidRDefault="00602374" w:rsidP="006D71C7">
      <w:pPr>
        <w:pStyle w:val="Akapitzlist"/>
        <w:numPr>
          <w:ilvl w:val="0"/>
          <w:numId w:val="4"/>
        </w:numPr>
        <w:spacing w:after="120"/>
        <w:ind w:left="714" w:hanging="357"/>
        <w:jc w:val="both"/>
        <w:rPr>
          <w:i/>
          <w:szCs w:val="24"/>
        </w:rPr>
      </w:pPr>
      <w:r w:rsidRPr="006D71C7">
        <w:rPr>
          <w:i/>
          <w:szCs w:val="24"/>
        </w:rPr>
        <w:t>3.4 Promocja turystyki</w:t>
      </w:r>
      <w:r w:rsidR="00927C99" w:rsidRPr="006D71C7">
        <w:rPr>
          <w:i/>
          <w:szCs w:val="24"/>
        </w:rPr>
        <w:t>.</w:t>
      </w:r>
    </w:p>
    <w:p w:rsidR="00602374" w:rsidRPr="006D71C7" w:rsidRDefault="00DB22BB" w:rsidP="006D71C7">
      <w:pPr>
        <w:spacing w:after="120"/>
        <w:jc w:val="both"/>
        <w:rPr>
          <w:szCs w:val="24"/>
        </w:rPr>
      </w:pPr>
      <w:r w:rsidRPr="006D71C7">
        <w:rPr>
          <w:szCs w:val="24"/>
        </w:rPr>
        <w:t>Na realizację p</w:t>
      </w:r>
      <w:r w:rsidR="00602374" w:rsidRPr="006D71C7">
        <w:rPr>
          <w:szCs w:val="24"/>
        </w:rPr>
        <w:t>riorytetu III alokowano 110 420 000 EUR poc</w:t>
      </w:r>
      <w:r w:rsidR="00CF3D18" w:rsidRPr="006D71C7">
        <w:rPr>
          <w:szCs w:val="24"/>
        </w:rPr>
        <w:t>hodzących z EFRR, co stanowi 6,32</w:t>
      </w:r>
      <w:r w:rsidR="00602374" w:rsidRPr="006D71C7">
        <w:rPr>
          <w:szCs w:val="24"/>
        </w:rPr>
        <w:t xml:space="preserve">% wartości </w:t>
      </w:r>
      <w:r w:rsidR="00602374" w:rsidRPr="006D71C7">
        <w:rPr>
          <w:i/>
          <w:szCs w:val="24"/>
        </w:rPr>
        <w:t>Programu</w:t>
      </w:r>
      <w:r w:rsidR="00602374" w:rsidRPr="006D71C7">
        <w:rPr>
          <w:szCs w:val="24"/>
        </w:rPr>
        <w:t>.</w:t>
      </w:r>
    </w:p>
    <w:p w:rsidR="00DB22BB" w:rsidRPr="006D71C7" w:rsidRDefault="00DB22BB" w:rsidP="006D71C7">
      <w:pPr>
        <w:widowControl w:val="0"/>
        <w:autoSpaceDE w:val="0"/>
        <w:autoSpaceDN w:val="0"/>
        <w:adjustRightInd w:val="0"/>
        <w:spacing w:after="240"/>
        <w:ind w:right="-23"/>
        <w:jc w:val="both"/>
        <w:rPr>
          <w:szCs w:val="24"/>
        </w:rPr>
      </w:pPr>
      <w:r w:rsidRPr="006D71C7">
        <w:rPr>
          <w:szCs w:val="24"/>
        </w:rPr>
        <w:t xml:space="preserve">Opis wkładu osi priorytetowej w promowanie równości szans kobiet i mężczyzn znajduje się w pkt. 2.2.1 </w:t>
      </w:r>
      <w:r w:rsidRPr="006D71C7">
        <w:rPr>
          <w:i/>
          <w:szCs w:val="24"/>
        </w:rPr>
        <w:t>Sprawozdania.</w:t>
      </w:r>
    </w:p>
    <w:p w:rsidR="00DB22BB" w:rsidRPr="006D71C7" w:rsidRDefault="00DB22BB" w:rsidP="006D71C7">
      <w:pPr>
        <w:widowControl w:val="0"/>
        <w:autoSpaceDE w:val="0"/>
        <w:autoSpaceDN w:val="0"/>
        <w:adjustRightInd w:val="0"/>
        <w:spacing w:after="240"/>
        <w:ind w:right="-23"/>
        <w:jc w:val="both"/>
        <w:rPr>
          <w:szCs w:val="24"/>
        </w:rPr>
      </w:pPr>
      <w:r w:rsidRPr="006D71C7">
        <w:rPr>
          <w:szCs w:val="24"/>
        </w:rPr>
        <w:t>W ramach priorytetu nie przewidziano finansowania krzyżowego</w:t>
      </w:r>
      <w:r w:rsidRPr="006D71C7">
        <w:rPr>
          <w:i/>
          <w:szCs w:val="24"/>
        </w:rPr>
        <w:t>.</w:t>
      </w:r>
    </w:p>
    <w:p w:rsidR="00DB22BB" w:rsidRPr="006D71C7" w:rsidRDefault="00DB22BB" w:rsidP="006D71C7">
      <w:pPr>
        <w:widowControl w:val="0"/>
        <w:autoSpaceDE w:val="0"/>
        <w:autoSpaceDN w:val="0"/>
        <w:adjustRightInd w:val="0"/>
        <w:spacing w:after="240"/>
        <w:ind w:right="-23"/>
        <w:jc w:val="both"/>
        <w:rPr>
          <w:szCs w:val="24"/>
        </w:rPr>
      </w:pPr>
      <w:r w:rsidRPr="006D71C7">
        <w:rPr>
          <w:szCs w:val="24"/>
        </w:rPr>
        <w:t>IZ RPO WSL nie planuje żadnych zmian w alokacji priorytetu.</w:t>
      </w:r>
    </w:p>
    <w:p w:rsidR="009810FE" w:rsidRPr="006D71C7" w:rsidRDefault="00DB22BB" w:rsidP="006D71C7">
      <w:pPr>
        <w:spacing w:before="120" w:after="120"/>
        <w:jc w:val="both"/>
        <w:rPr>
          <w:b/>
          <w:szCs w:val="24"/>
        </w:rPr>
      </w:pPr>
      <w:r w:rsidRPr="006D71C7">
        <w:t xml:space="preserve">W ramach priorytetu III w poprzednim okresie sprawozdawczym zostało przeprowadzone badanie ewaluacyjne </w:t>
      </w:r>
      <w:r w:rsidRPr="006D71C7">
        <w:rPr>
          <w:i/>
        </w:rPr>
        <w:t>Analiza wpływu inwestycji w infrastrukturę kultury i turystyki dofinansowanych z funduszy strukturalnych na rozwój społeczno – gospodarczy poszczególnych gmin/powiatów województwa</w:t>
      </w:r>
      <w:r w:rsidRPr="006D71C7">
        <w:t xml:space="preserve">. Szczegółowe informacje dot. ww. badania zostały przedstawione w </w:t>
      </w:r>
      <w:r w:rsidRPr="006D71C7">
        <w:rPr>
          <w:i/>
        </w:rPr>
        <w:t>Sprawozdaniu rocznym za 2010 roku.</w:t>
      </w:r>
    </w:p>
    <w:p w:rsidR="00CF3D18" w:rsidRPr="006D71C7" w:rsidRDefault="00CF3D18" w:rsidP="006D71C7">
      <w:pPr>
        <w:spacing w:before="120" w:after="120"/>
        <w:jc w:val="both"/>
        <w:rPr>
          <w:b/>
          <w:szCs w:val="24"/>
        </w:rPr>
      </w:pPr>
      <w:r w:rsidRPr="006D71C7">
        <w:rPr>
          <w:b/>
          <w:szCs w:val="24"/>
        </w:rPr>
        <w:t>Postęp wdrażania priorytetu III</w:t>
      </w:r>
    </w:p>
    <w:p w:rsidR="006D7099" w:rsidRPr="006D71C7" w:rsidRDefault="00596699" w:rsidP="006D71C7">
      <w:pPr>
        <w:spacing w:after="0"/>
        <w:jc w:val="both"/>
        <w:rPr>
          <w:bCs/>
        </w:rPr>
      </w:pPr>
      <w:r w:rsidRPr="006D71C7">
        <w:rPr>
          <w:bCs/>
        </w:rPr>
        <w:t xml:space="preserve">W stosunku do dostępnej alokacji (środki UE) na lata 2007-2013 wartość kontraktacji od uruchomienia programu do końca grudnia 2011 roku, wyniosła </w:t>
      </w:r>
      <w:r w:rsidRPr="006D71C7">
        <w:rPr>
          <w:b/>
          <w:bCs/>
        </w:rPr>
        <w:t>63%.</w:t>
      </w:r>
      <w:r w:rsidR="003C2E72" w:rsidRPr="006D71C7">
        <w:rPr>
          <w:b/>
          <w:bCs/>
        </w:rPr>
        <w:t xml:space="preserve"> </w:t>
      </w:r>
      <w:r w:rsidR="003C2E72" w:rsidRPr="006D71C7">
        <w:rPr>
          <w:bCs/>
        </w:rPr>
        <w:t xml:space="preserve">Realizacja przedmiotowego priorytetu idzie bardzo sprawnie, zainteresowanie beneficjentów jest duże. </w:t>
      </w:r>
    </w:p>
    <w:p w:rsidR="00CF184A" w:rsidRPr="006D71C7" w:rsidRDefault="00CF184A" w:rsidP="006D71C7">
      <w:pPr>
        <w:spacing w:after="0"/>
        <w:jc w:val="both"/>
        <w:rPr>
          <w:bCs/>
        </w:rPr>
      </w:pPr>
    </w:p>
    <w:p w:rsidR="00CF184A" w:rsidRPr="006D71C7" w:rsidRDefault="00CF184A" w:rsidP="006D71C7">
      <w:pPr>
        <w:spacing w:after="0"/>
        <w:ind w:left="-709"/>
        <w:jc w:val="both"/>
        <w:rPr>
          <w:bCs/>
        </w:rPr>
      </w:pPr>
      <w:r w:rsidRPr="006D71C7">
        <w:rPr>
          <w:bCs/>
          <w:noProof/>
        </w:rPr>
        <w:drawing>
          <wp:inline distT="0" distB="0" distL="0" distR="0">
            <wp:extent cx="6841166" cy="2881423"/>
            <wp:effectExtent l="38100" t="19050" r="16834" b="0"/>
            <wp:docPr id="23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96699" w:rsidRPr="006D71C7" w:rsidRDefault="00596699" w:rsidP="006D71C7">
      <w:pPr>
        <w:spacing w:after="0"/>
        <w:jc w:val="both"/>
        <w:rPr>
          <w:b/>
          <w:i/>
          <w:szCs w:val="24"/>
        </w:rPr>
      </w:pPr>
    </w:p>
    <w:p w:rsidR="00751349" w:rsidRPr="006D71C7" w:rsidRDefault="007338BD" w:rsidP="006D71C7">
      <w:pPr>
        <w:pStyle w:val="Legenda"/>
        <w:jc w:val="both"/>
        <w:rPr>
          <w:b w:val="0"/>
          <w:i/>
          <w:color w:val="auto"/>
          <w:sz w:val="20"/>
          <w:szCs w:val="20"/>
        </w:rPr>
      </w:pPr>
      <w:bookmarkStart w:id="371" w:name="_Toc324786940"/>
      <w:bookmarkStart w:id="372" w:name="_Toc324854705"/>
      <w:bookmarkStart w:id="373" w:name="_Toc324854769"/>
      <w:bookmarkStart w:id="374" w:name="_Toc326055349"/>
      <w:r w:rsidRPr="00CA7BF8">
        <w:rPr>
          <w:bCs w:val="0"/>
          <w:color w:val="auto"/>
          <w:sz w:val="20"/>
          <w:szCs w:val="20"/>
        </w:rPr>
        <w:t xml:space="preserve">Rysunek </w:t>
      </w:r>
      <w:r w:rsidR="008F7228">
        <w:rPr>
          <w:bCs w:val="0"/>
          <w:color w:val="auto"/>
          <w:sz w:val="20"/>
          <w:szCs w:val="20"/>
        </w:rPr>
        <w:fldChar w:fldCharType="begin"/>
      </w:r>
      <w:r w:rsidR="00942E6B">
        <w:rPr>
          <w:bCs w:val="0"/>
          <w:color w:val="auto"/>
          <w:sz w:val="20"/>
          <w:szCs w:val="20"/>
        </w:rPr>
        <w:instrText xml:space="preserve"> SEQ Rysunek \* ARABIC </w:instrText>
      </w:r>
      <w:r w:rsidR="008F7228">
        <w:rPr>
          <w:bCs w:val="0"/>
          <w:color w:val="auto"/>
          <w:sz w:val="20"/>
          <w:szCs w:val="20"/>
        </w:rPr>
        <w:fldChar w:fldCharType="separate"/>
      </w:r>
      <w:r w:rsidR="006667B3">
        <w:rPr>
          <w:bCs w:val="0"/>
          <w:noProof/>
          <w:color w:val="auto"/>
          <w:sz w:val="20"/>
          <w:szCs w:val="20"/>
        </w:rPr>
        <w:t>31</w:t>
      </w:r>
      <w:r w:rsidR="008F7228">
        <w:rPr>
          <w:bCs w:val="0"/>
          <w:color w:val="auto"/>
          <w:sz w:val="20"/>
          <w:szCs w:val="20"/>
        </w:rPr>
        <w:fldChar w:fldCharType="end"/>
      </w:r>
      <w:r w:rsidRPr="006D71C7">
        <w:rPr>
          <w:b w:val="0"/>
          <w:bCs w:val="0"/>
          <w:color w:val="auto"/>
          <w:sz w:val="20"/>
          <w:szCs w:val="20"/>
        </w:rPr>
        <w:t xml:space="preserve"> R</w:t>
      </w:r>
      <w:bookmarkStart w:id="375" w:name="_Toc324853719"/>
      <w:bookmarkStart w:id="376" w:name="_Toc324855888"/>
      <w:bookmarkEnd w:id="371"/>
      <w:bookmarkEnd w:id="372"/>
      <w:bookmarkEnd w:id="373"/>
      <w:r w:rsidRPr="006D71C7">
        <w:rPr>
          <w:b w:val="0"/>
          <w:i/>
          <w:color w:val="auto"/>
          <w:sz w:val="20"/>
          <w:szCs w:val="20"/>
        </w:rPr>
        <w:t>ealizacja</w:t>
      </w:r>
      <w:r w:rsidR="00C22E27" w:rsidRPr="006D71C7">
        <w:rPr>
          <w:b w:val="0"/>
          <w:i/>
          <w:color w:val="auto"/>
          <w:sz w:val="20"/>
          <w:szCs w:val="20"/>
        </w:rPr>
        <w:t xml:space="preserve"> priorytetu III od uruchomienia Programu i w okresie sprawozdawczym</w:t>
      </w:r>
      <w:bookmarkEnd w:id="374"/>
      <w:bookmarkEnd w:id="375"/>
      <w:bookmarkEnd w:id="376"/>
    </w:p>
    <w:p w:rsidR="00245F70" w:rsidRPr="006D71C7" w:rsidRDefault="002E0C82" w:rsidP="006D71C7">
      <w:pPr>
        <w:jc w:val="both"/>
      </w:pPr>
      <w:r w:rsidRPr="006D71C7">
        <w:t xml:space="preserve">Poniżej w tabeli przedstawiono postęp realizacji priorytetu III w podziale na działania. Stopień wykorzystania alokacji w poszczególnych działaniach jest bardzo </w:t>
      </w:r>
      <w:r w:rsidR="0019308A" w:rsidRPr="006D71C7">
        <w:t>zbliżony</w:t>
      </w:r>
      <w:r w:rsidR="003C2E72" w:rsidRPr="006D71C7">
        <w:t xml:space="preserve"> i na wysokim poziomie. Wyjątkiem są jedynie płatności, gdzie niski poziom widoczny jest w działaniach w ramach, których realizowane są projekty infrastrukturalne których wdrażanie jest znacznie wolniejsze niż projektów miękkich, a na efekty rzeczowe trzeba poczekać dłużej.</w:t>
      </w:r>
      <w:r w:rsidR="006D29CA" w:rsidRPr="006D71C7">
        <w:t xml:space="preserve"> Najniższy poziom kontraktacji ma </w:t>
      </w:r>
      <w:r w:rsidR="007338BD" w:rsidRPr="006D71C7">
        <w:rPr>
          <w:i/>
        </w:rPr>
        <w:t>działanie 3.1</w:t>
      </w:r>
      <w:r w:rsidR="006D29CA" w:rsidRPr="006D71C7">
        <w:t xml:space="preserve"> w związku z faktem, iż przewidziany jest w 2012 roku jeszcze jeden konkurs dla przedsiębiorców. </w:t>
      </w:r>
    </w:p>
    <w:p w:rsidR="00942E6B" w:rsidRDefault="00942E6B" w:rsidP="006D71C7">
      <w:pPr>
        <w:pStyle w:val="Legenda"/>
        <w:jc w:val="both"/>
        <w:rPr>
          <w:color w:val="auto"/>
          <w:sz w:val="20"/>
          <w:szCs w:val="20"/>
        </w:rPr>
      </w:pPr>
      <w:bookmarkStart w:id="377" w:name="_Toc324853720"/>
      <w:bookmarkStart w:id="378" w:name="_Toc326046372"/>
    </w:p>
    <w:p w:rsidR="001915C3" w:rsidRPr="006D71C7" w:rsidRDefault="007338BD" w:rsidP="006D71C7">
      <w:pPr>
        <w:pStyle w:val="Legenda"/>
        <w:jc w:val="both"/>
        <w:rPr>
          <w:color w:val="auto"/>
          <w:sz w:val="20"/>
          <w:szCs w:val="20"/>
        </w:rPr>
      </w:pPr>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20</w:t>
      </w:r>
      <w:r w:rsidR="008F7228" w:rsidRPr="006D71C7">
        <w:rPr>
          <w:color w:val="auto"/>
          <w:sz w:val="20"/>
          <w:szCs w:val="20"/>
        </w:rPr>
        <w:fldChar w:fldCharType="end"/>
      </w:r>
      <w:r w:rsidR="00927C99" w:rsidRPr="006D71C7">
        <w:rPr>
          <w:color w:val="auto"/>
        </w:rPr>
        <w:t xml:space="preserve"> </w:t>
      </w:r>
      <w:r w:rsidR="002E0C82" w:rsidRPr="006D71C7">
        <w:rPr>
          <w:b w:val="0"/>
          <w:i/>
          <w:color w:val="auto"/>
          <w:sz w:val="20"/>
          <w:szCs w:val="20"/>
        </w:rPr>
        <w:t>Postęp realizacji priorytetu III w podziale na działania od uruchomienia Programu</w:t>
      </w:r>
      <w:bookmarkEnd w:id="377"/>
      <w:bookmarkEnd w:id="378"/>
    </w:p>
    <w:tbl>
      <w:tblPr>
        <w:tblStyle w:val="redniasiatka3akcent1"/>
        <w:tblW w:w="8897" w:type="dxa"/>
        <w:jc w:val="center"/>
        <w:shd w:val="clear" w:color="auto" w:fill="F4B29B" w:themeFill="accent1" w:themeFillTint="66"/>
        <w:tblLook w:val="04A0" w:firstRow="1" w:lastRow="0" w:firstColumn="1" w:lastColumn="0" w:noHBand="0" w:noVBand="1"/>
      </w:tblPr>
      <w:tblGrid>
        <w:gridCol w:w="1080"/>
        <w:gridCol w:w="1080"/>
        <w:gridCol w:w="1080"/>
        <w:gridCol w:w="1080"/>
        <w:gridCol w:w="1080"/>
        <w:gridCol w:w="1229"/>
        <w:gridCol w:w="1276"/>
        <w:gridCol w:w="992"/>
      </w:tblGrid>
      <w:tr w:rsidR="002E0C82" w:rsidRPr="00942E6B" w:rsidTr="002E0C82">
        <w:trPr>
          <w:cnfStyle w:val="100000000000" w:firstRow="1" w:lastRow="0" w:firstColumn="0" w:lastColumn="0" w:oddVBand="0" w:evenVBand="0" w:oddHBand="0"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1080" w:type="dxa"/>
            <w:vMerge w:val="restart"/>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Działanie</w:t>
            </w:r>
          </w:p>
        </w:tc>
        <w:tc>
          <w:tcPr>
            <w:tcW w:w="1080" w:type="dxa"/>
            <w:vMerge w:val="restart"/>
            <w:shd w:val="clear" w:color="auto" w:fill="F4B29B" w:themeFill="accent1" w:themeFillTint="66"/>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Alokacja mln EUR</w:t>
            </w:r>
          </w:p>
        </w:tc>
        <w:tc>
          <w:tcPr>
            <w:tcW w:w="2160" w:type="dxa"/>
            <w:gridSpan w:val="2"/>
            <w:shd w:val="clear" w:color="auto" w:fill="F4B29B" w:themeFill="accent1" w:themeFillTint="66"/>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Zatwierdzone wnioski do dofinansowania</w:t>
            </w:r>
          </w:p>
        </w:tc>
        <w:tc>
          <w:tcPr>
            <w:tcW w:w="2309" w:type="dxa"/>
            <w:gridSpan w:val="2"/>
            <w:shd w:val="clear" w:color="auto" w:fill="F4B29B" w:themeFill="accent1" w:themeFillTint="66"/>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Podpisane umowy</w:t>
            </w:r>
          </w:p>
        </w:tc>
        <w:tc>
          <w:tcPr>
            <w:tcW w:w="2268" w:type="dxa"/>
            <w:gridSpan w:val="2"/>
            <w:shd w:val="clear" w:color="auto" w:fill="F4B29B" w:themeFill="accent1" w:themeFillTint="66"/>
            <w:noWrap/>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2"/>
              </w:rPr>
            </w:pPr>
            <w:r w:rsidRPr="00C43B75">
              <w:rPr>
                <w:color w:val="auto"/>
                <w:sz w:val="22"/>
              </w:rPr>
              <w:t>P</w:t>
            </w:r>
            <w:r w:rsidRPr="00C43B75">
              <w:rPr>
                <w:rFonts w:hint="eastAsia"/>
                <w:color w:val="auto"/>
                <w:sz w:val="22"/>
              </w:rPr>
              <w:t>ł</w:t>
            </w:r>
            <w:r w:rsidRPr="00C43B75">
              <w:rPr>
                <w:color w:val="auto"/>
                <w:sz w:val="22"/>
              </w:rPr>
              <w:t>atno</w:t>
            </w:r>
            <w:r w:rsidRPr="00C43B75">
              <w:rPr>
                <w:rFonts w:hint="eastAsia"/>
                <w:color w:val="auto"/>
                <w:sz w:val="22"/>
              </w:rPr>
              <w:t>ś</w:t>
            </w:r>
            <w:r w:rsidRPr="00C43B75">
              <w:rPr>
                <w:color w:val="auto"/>
                <w:sz w:val="22"/>
              </w:rPr>
              <w:t>ci</w:t>
            </w:r>
          </w:p>
        </w:tc>
      </w:tr>
      <w:tr w:rsidR="002E0C82" w:rsidRPr="00942E6B" w:rsidTr="002E0C82">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p>
        </w:tc>
        <w:tc>
          <w:tcPr>
            <w:tcW w:w="1080" w:type="dxa"/>
            <w:vMerge/>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080"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1080"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c>
          <w:tcPr>
            <w:tcW w:w="1080"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1229"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c>
          <w:tcPr>
            <w:tcW w:w="1276"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992"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r>
      <w:tr w:rsidR="002E0C82" w:rsidRPr="00942E6B" w:rsidTr="002E0C82">
        <w:trPr>
          <w:trHeight w:val="585"/>
          <w:jc w:val="center"/>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3.1</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33,96</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23,91</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70,41%</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16,09</w:t>
            </w:r>
          </w:p>
        </w:tc>
        <w:tc>
          <w:tcPr>
            <w:tcW w:w="122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47,38%</w:t>
            </w:r>
          </w:p>
        </w:tc>
        <w:tc>
          <w:tcPr>
            <w:tcW w:w="12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4,85</w:t>
            </w:r>
          </w:p>
        </w:tc>
        <w:tc>
          <w:tcPr>
            <w:tcW w:w="992"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14,28%</w:t>
            </w:r>
          </w:p>
        </w:tc>
      </w:tr>
      <w:tr w:rsidR="002E0C82" w:rsidRPr="00942E6B" w:rsidTr="002E0C82">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3.2</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67,16</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52,79</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78,60%</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45,49</w:t>
            </w:r>
          </w:p>
        </w:tc>
        <w:tc>
          <w:tcPr>
            <w:tcW w:w="1229"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67,73%</w:t>
            </w:r>
          </w:p>
        </w:tc>
        <w:tc>
          <w:tcPr>
            <w:tcW w:w="1276"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26,86</w:t>
            </w:r>
          </w:p>
        </w:tc>
        <w:tc>
          <w:tcPr>
            <w:tcW w:w="992"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39,99%</w:t>
            </w:r>
          </w:p>
        </w:tc>
      </w:tr>
      <w:tr w:rsidR="002E0C82" w:rsidRPr="00942E6B" w:rsidTr="002E0C82">
        <w:trPr>
          <w:trHeight w:val="525"/>
          <w:jc w:val="center"/>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3.3</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5,00</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4,16</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83,20%</w:t>
            </w:r>
          </w:p>
        </w:tc>
        <w:tc>
          <w:tcPr>
            <w:tcW w:w="1080"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4,15</w:t>
            </w:r>
          </w:p>
        </w:tc>
        <w:tc>
          <w:tcPr>
            <w:tcW w:w="1229"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83,00%</w:t>
            </w:r>
          </w:p>
        </w:tc>
        <w:tc>
          <w:tcPr>
            <w:tcW w:w="127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0,96</w:t>
            </w:r>
          </w:p>
        </w:tc>
        <w:tc>
          <w:tcPr>
            <w:tcW w:w="992"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19,20%</w:t>
            </w:r>
          </w:p>
        </w:tc>
      </w:tr>
      <w:tr w:rsidR="002E0C82" w:rsidRPr="00942E6B" w:rsidTr="002E0C8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3.4</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4,30</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4,02</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93,49%</w:t>
            </w:r>
          </w:p>
        </w:tc>
        <w:tc>
          <w:tcPr>
            <w:tcW w:w="1080"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3,71</w:t>
            </w:r>
          </w:p>
        </w:tc>
        <w:tc>
          <w:tcPr>
            <w:tcW w:w="1229"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86,28%</w:t>
            </w:r>
          </w:p>
        </w:tc>
        <w:tc>
          <w:tcPr>
            <w:tcW w:w="1276"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3,02</w:t>
            </w:r>
          </w:p>
        </w:tc>
        <w:tc>
          <w:tcPr>
            <w:tcW w:w="992"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70,23%</w:t>
            </w:r>
          </w:p>
        </w:tc>
      </w:tr>
    </w:tbl>
    <w:p w:rsidR="003B5090" w:rsidRPr="006D71C7" w:rsidRDefault="003B5090" w:rsidP="006D71C7">
      <w:pPr>
        <w:jc w:val="both"/>
      </w:pPr>
    </w:p>
    <w:p w:rsidR="00D801E9" w:rsidRPr="006D71C7" w:rsidRDefault="00F0079B" w:rsidP="006D71C7">
      <w:pPr>
        <w:spacing w:after="0"/>
        <w:jc w:val="both"/>
        <w:rPr>
          <w:szCs w:val="24"/>
        </w:rPr>
      </w:pPr>
      <w:r w:rsidRPr="006D71C7">
        <w:rPr>
          <w:szCs w:val="24"/>
        </w:rPr>
        <w:t>W ramach priorytetu III projekty oceniane i wybierane są według trzech ścieżek: konkursowej, PRS i projekt kluczowy.</w:t>
      </w:r>
      <w:r w:rsidR="00AA3F56" w:rsidRPr="006D71C7">
        <w:rPr>
          <w:szCs w:val="24"/>
        </w:rPr>
        <w:t xml:space="preserve"> W ramach priorytetu realizowany jest jeden projekt kluczowy </w:t>
      </w:r>
      <w:r w:rsidR="00AA3F56" w:rsidRPr="006D71C7">
        <w:rPr>
          <w:b/>
          <w:i/>
          <w:szCs w:val="24"/>
        </w:rPr>
        <w:t xml:space="preserve">Rozwój infrastruktury turystycznej Subregionu Południowego, </w:t>
      </w:r>
      <w:r w:rsidR="00AA3F56" w:rsidRPr="006D71C7">
        <w:rPr>
          <w:szCs w:val="24"/>
        </w:rPr>
        <w:t xml:space="preserve">który składa się </w:t>
      </w:r>
      <w:r w:rsidR="00731C6A" w:rsidRPr="006D71C7">
        <w:rPr>
          <w:szCs w:val="24"/>
        </w:rPr>
        <w:t>z </w:t>
      </w:r>
      <w:r w:rsidR="00AA3F56" w:rsidRPr="006D71C7">
        <w:rPr>
          <w:szCs w:val="24"/>
        </w:rPr>
        <w:t>28 podprojektów.</w:t>
      </w:r>
      <w:r w:rsidR="00E534AF" w:rsidRPr="006D71C7">
        <w:rPr>
          <w:szCs w:val="24"/>
        </w:rPr>
        <w:t xml:space="preserve"> Jak wynika z poniższego diagramu bardzo sprawnie realizowane są projekty w ramach PRS i projektu kluczowego. Natomiast stopień wykorzystania alokacji przeznaczonej na konkursy na koniec 2011 roku był</w:t>
      </w:r>
      <w:r w:rsidR="000774B7" w:rsidRPr="006D71C7">
        <w:rPr>
          <w:szCs w:val="24"/>
        </w:rPr>
        <w:t xml:space="preserve"> na niskim poziomie</w:t>
      </w:r>
      <w:r w:rsidR="00E32D75" w:rsidRPr="006D71C7">
        <w:rPr>
          <w:szCs w:val="24"/>
        </w:rPr>
        <w:t>,</w:t>
      </w:r>
      <w:r w:rsidR="000774B7" w:rsidRPr="006D71C7">
        <w:rPr>
          <w:szCs w:val="24"/>
        </w:rPr>
        <w:t xml:space="preserve"> </w:t>
      </w:r>
      <w:r w:rsidR="00D801E9" w:rsidRPr="006D71C7">
        <w:rPr>
          <w:szCs w:val="24"/>
        </w:rPr>
        <w:t xml:space="preserve">spowodowany jest </w:t>
      </w:r>
      <w:r w:rsidR="00E32D75" w:rsidRPr="006D71C7">
        <w:rPr>
          <w:szCs w:val="24"/>
        </w:rPr>
        <w:t xml:space="preserve">to </w:t>
      </w:r>
      <w:r w:rsidR="00D801E9" w:rsidRPr="006D71C7">
        <w:rPr>
          <w:szCs w:val="24"/>
        </w:rPr>
        <w:t>przede wszystkim:</w:t>
      </w:r>
      <w:r w:rsidR="00E534AF" w:rsidRPr="006D71C7">
        <w:rPr>
          <w:szCs w:val="24"/>
        </w:rPr>
        <w:t xml:space="preserve"> </w:t>
      </w:r>
    </w:p>
    <w:p w:rsidR="00B16256" w:rsidRPr="006D71C7" w:rsidRDefault="00B16256" w:rsidP="00BA2FE7">
      <w:pPr>
        <w:pStyle w:val="Akapitzlist"/>
        <w:numPr>
          <w:ilvl w:val="0"/>
          <w:numId w:val="82"/>
        </w:numPr>
        <w:spacing w:after="0"/>
        <w:jc w:val="both"/>
        <w:rPr>
          <w:szCs w:val="24"/>
        </w:rPr>
      </w:pPr>
      <w:r w:rsidRPr="006D71C7">
        <w:rPr>
          <w:szCs w:val="24"/>
        </w:rPr>
        <w:t>w 2009 roku ogłoszony został nabór w ramach którego nie wybrano żadnego projektu do dofinansowania, kolejny nabór przeprowadzono w 2010 roku,</w:t>
      </w:r>
    </w:p>
    <w:p w:rsidR="00E534AF" w:rsidRPr="006D71C7" w:rsidRDefault="00E626FF" w:rsidP="00BA2FE7">
      <w:pPr>
        <w:pStyle w:val="Akapitzlist"/>
        <w:numPr>
          <w:ilvl w:val="0"/>
          <w:numId w:val="82"/>
        </w:numPr>
        <w:spacing w:after="0"/>
        <w:jc w:val="both"/>
        <w:rPr>
          <w:szCs w:val="24"/>
        </w:rPr>
      </w:pPr>
      <w:r w:rsidRPr="006D71C7">
        <w:rPr>
          <w:szCs w:val="24"/>
        </w:rPr>
        <w:t xml:space="preserve">nie zostały jeszcze ogłoszone nabory na całą alokację - </w:t>
      </w:r>
      <w:r w:rsidR="00E32D75" w:rsidRPr="006D71C7">
        <w:rPr>
          <w:szCs w:val="24"/>
        </w:rPr>
        <w:t xml:space="preserve">w </w:t>
      </w:r>
      <w:r w:rsidRPr="006D71C7">
        <w:rPr>
          <w:szCs w:val="24"/>
        </w:rPr>
        <w:t>2012r.</w:t>
      </w:r>
      <w:r w:rsidR="00E32D75" w:rsidRPr="006D71C7">
        <w:rPr>
          <w:szCs w:val="24"/>
        </w:rPr>
        <w:t xml:space="preserve"> </w:t>
      </w:r>
      <w:r w:rsidR="00E534AF" w:rsidRPr="006D71C7">
        <w:rPr>
          <w:szCs w:val="24"/>
        </w:rPr>
        <w:t>do ogłoszenia pozostał jeszcze jeden nabó</w:t>
      </w:r>
      <w:r w:rsidR="00E32D75" w:rsidRPr="006D71C7">
        <w:rPr>
          <w:szCs w:val="24"/>
        </w:rPr>
        <w:t>r na </w:t>
      </w:r>
      <w:r w:rsidR="00E534AF" w:rsidRPr="006D71C7">
        <w:rPr>
          <w:szCs w:val="24"/>
        </w:rPr>
        <w:t>kwotę 12,06 mln EUR,</w:t>
      </w:r>
    </w:p>
    <w:p w:rsidR="00897201" w:rsidRPr="006D71C7" w:rsidRDefault="00E534AF" w:rsidP="00BA2FE7">
      <w:pPr>
        <w:pStyle w:val="Akapitzlist"/>
        <w:numPr>
          <w:ilvl w:val="0"/>
          <w:numId w:val="82"/>
        </w:numPr>
        <w:spacing w:after="0"/>
        <w:jc w:val="both"/>
        <w:rPr>
          <w:szCs w:val="24"/>
        </w:rPr>
      </w:pPr>
      <w:r w:rsidRPr="006D71C7">
        <w:rPr>
          <w:szCs w:val="24"/>
        </w:rPr>
        <w:t xml:space="preserve">pod koniec 2011 roku zakończył się </w:t>
      </w:r>
      <w:r w:rsidR="00897201" w:rsidRPr="006D71C7">
        <w:rPr>
          <w:szCs w:val="24"/>
        </w:rPr>
        <w:t>nabór, w ramach którego do końca okresu sprawozdawczego nie zakończyła się jeszcze ocena złożonych projektów, w związku z powyższym umowy zostaną podpisane</w:t>
      </w:r>
      <w:r w:rsidR="004B2397" w:rsidRPr="006D71C7">
        <w:rPr>
          <w:szCs w:val="24"/>
        </w:rPr>
        <w:t xml:space="preserve"> dopiero</w:t>
      </w:r>
      <w:r w:rsidR="00897201" w:rsidRPr="006D71C7">
        <w:rPr>
          <w:szCs w:val="24"/>
        </w:rPr>
        <w:t xml:space="preserve"> na początku kolejnego okresu sprawozdawczego</w:t>
      </w:r>
      <w:r w:rsidR="00B16256" w:rsidRPr="006D71C7">
        <w:rPr>
          <w:szCs w:val="24"/>
        </w:rPr>
        <w:t>.</w:t>
      </w:r>
    </w:p>
    <w:p w:rsidR="00F0079B" w:rsidRPr="006D71C7" w:rsidRDefault="00F0079B" w:rsidP="006D71C7">
      <w:pPr>
        <w:spacing w:before="240"/>
        <w:jc w:val="both"/>
        <w:rPr>
          <w:b/>
          <w:i/>
          <w:szCs w:val="24"/>
        </w:rPr>
      </w:pPr>
      <w:r w:rsidRPr="006D71C7">
        <w:rPr>
          <w:b/>
          <w:i/>
          <w:noProof/>
          <w:szCs w:val="24"/>
        </w:rPr>
        <w:drawing>
          <wp:inline distT="0" distB="0" distL="0" distR="0">
            <wp:extent cx="5965633" cy="3444949"/>
            <wp:effectExtent l="38100" t="0" r="16510" b="0"/>
            <wp:docPr id="244"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1915C3" w:rsidRPr="006D71C7" w:rsidRDefault="007338BD" w:rsidP="006D71C7">
      <w:pPr>
        <w:pStyle w:val="Legenda"/>
        <w:jc w:val="both"/>
        <w:rPr>
          <w:color w:val="auto"/>
          <w:sz w:val="20"/>
          <w:szCs w:val="20"/>
        </w:rPr>
      </w:pPr>
      <w:bookmarkStart w:id="379" w:name="_Toc324853721"/>
      <w:bookmarkStart w:id="380" w:name="_Toc326055350"/>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32</w:t>
      </w:r>
      <w:r w:rsidR="008F7228">
        <w:rPr>
          <w:color w:val="auto"/>
          <w:sz w:val="20"/>
          <w:szCs w:val="20"/>
        </w:rPr>
        <w:fldChar w:fldCharType="end"/>
      </w:r>
      <w:r w:rsidR="00927C99" w:rsidRPr="006D71C7">
        <w:rPr>
          <w:color w:val="auto"/>
        </w:rPr>
        <w:t xml:space="preserve"> </w:t>
      </w:r>
      <w:r w:rsidR="000774B7" w:rsidRPr="006D71C7">
        <w:rPr>
          <w:b w:val="0"/>
          <w:i/>
          <w:color w:val="auto"/>
          <w:sz w:val="20"/>
          <w:szCs w:val="20"/>
        </w:rPr>
        <w:t>Poziom kontraktacji i płatności</w:t>
      </w:r>
      <w:r w:rsidR="000774B7" w:rsidRPr="006D71C7">
        <w:rPr>
          <w:color w:val="auto"/>
          <w:sz w:val="20"/>
          <w:szCs w:val="20"/>
        </w:rPr>
        <w:t xml:space="preserve"> </w:t>
      </w:r>
      <w:r w:rsidRPr="006D71C7">
        <w:rPr>
          <w:b w:val="0"/>
          <w:i/>
          <w:color w:val="auto"/>
          <w:sz w:val="20"/>
          <w:szCs w:val="20"/>
        </w:rPr>
        <w:t>w podziale na ścieżki wyboru projektów</w:t>
      </w:r>
      <w:bookmarkEnd w:id="379"/>
      <w:bookmarkEnd w:id="380"/>
    </w:p>
    <w:p w:rsidR="00927C99" w:rsidRPr="006D71C7" w:rsidRDefault="00E534AF" w:rsidP="006D71C7">
      <w:pPr>
        <w:spacing w:before="240"/>
        <w:jc w:val="both"/>
        <w:rPr>
          <w:szCs w:val="24"/>
        </w:rPr>
      </w:pPr>
      <w:r w:rsidRPr="006D71C7">
        <w:rPr>
          <w:szCs w:val="24"/>
        </w:rPr>
        <w:t>W kolejnym okresie sprawozdawczym ogłoszony zostanie jeden konkurs przeznaczony dla przedsiębiorców.</w:t>
      </w:r>
    </w:p>
    <w:p w:rsidR="00245F70" w:rsidRPr="006D71C7" w:rsidRDefault="007338BD" w:rsidP="006D71C7">
      <w:pPr>
        <w:pStyle w:val="Legenda"/>
        <w:jc w:val="both"/>
        <w:rPr>
          <w:color w:val="auto"/>
          <w:sz w:val="20"/>
          <w:szCs w:val="20"/>
        </w:rPr>
      </w:pPr>
      <w:bookmarkStart w:id="381" w:name="_Toc324853722"/>
      <w:bookmarkStart w:id="382" w:name="_Toc326046373"/>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21</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Zestawienie naborów w ramach priorytetu III</w:t>
      </w:r>
      <w:bookmarkEnd w:id="381"/>
      <w:bookmarkEnd w:id="382"/>
    </w:p>
    <w:tbl>
      <w:tblPr>
        <w:tblStyle w:val="redniasiatka3akcent1"/>
        <w:tblW w:w="8559" w:type="dxa"/>
        <w:jc w:val="center"/>
        <w:tblInd w:w="-229" w:type="dxa"/>
        <w:shd w:val="clear" w:color="auto" w:fill="F4B29B" w:themeFill="accent1" w:themeFillTint="66"/>
        <w:tblLook w:val="04A0" w:firstRow="1" w:lastRow="0" w:firstColumn="1" w:lastColumn="0" w:noHBand="0" w:noVBand="1"/>
      </w:tblPr>
      <w:tblGrid>
        <w:gridCol w:w="1749"/>
        <w:gridCol w:w="1366"/>
        <w:gridCol w:w="794"/>
        <w:gridCol w:w="1248"/>
        <w:gridCol w:w="912"/>
        <w:gridCol w:w="1498"/>
        <w:gridCol w:w="992"/>
      </w:tblGrid>
      <w:tr w:rsidR="00731C6A" w:rsidRPr="00942E6B" w:rsidTr="00942E6B">
        <w:trPr>
          <w:cnfStyle w:val="100000000000" w:firstRow="1" w:lastRow="0" w:firstColumn="0" w:lastColumn="0" w:oddVBand="0" w:evenVBand="0" w:oddHBand="0" w:evenHBand="0" w:firstRowFirstColumn="0" w:firstRowLastColumn="0" w:lastRowFirstColumn="0" w:lastRowLastColumn="0"/>
          <w:trHeight w:val="826"/>
          <w:jc w:val="center"/>
        </w:trPr>
        <w:tc>
          <w:tcPr>
            <w:cnfStyle w:val="001000000000" w:firstRow="0" w:lastRow="0" w:firstColumn="1" w:lastColumn="0" w:oddVBand="0" w:evenVBand="0" w:oddHBand="0" w:evenHBand="0" w:firstRowFirstColumn="0" w:firstRowLastColumn="0" w:lastRowFirstColumn="0" w:lastRowLastColumn="0"/>
            <w:tcW w:w="1749" w:type="dxa"/>
            <w:vMerge w:val="restart"/>
            <w:shd w:val="clear" w:color="auto" w:fill="F4B29B" w:themeFill="accent1" w:themeFillTint="66"/>
            <w:noWrap/>
            <w:vAlign w:val="center"/>
            <w:hideMark/>
          </w:tcPr>
          <w:p w:rsidR="00C43B75" w:rsidRDefault="00C43B75" w:rsidP="00C43B75">
            <w:pPr>
              <w:spacing w:after="0" w:line="240" w:lineRule="auto"/>
              <w:jc w:val="center"/>
              <w:rPr>
                <w:rFonts w:ascii="Calibri" w:hAnsi="Calibri"/>
                <w:color w:val="auto"/>
                <w:sz w:val="20"/>
                <w:szCs w:val="20"/>
              </w:rPr>
            </w:pPr>
          </w:p>
        </w:tc>
        <w:tc>
          <w:tcPr>
            <w:tcW w:w="2160" w:type="dxa"/>
            <w:gridSpan w:val="2"/>
            <w:shd w:val="clear" w:color="auto" w:fill="F4B29B" w:themeFill="accent1" w:themeFillTint="66"/>
            <w:noWrap/>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od uruchomienia Programu</w:t>
            </w:r>
          </w:p>
        </w:tc>
        <w:tc>
          <w:tcPr>
            <w:tcW w:w="2160" w:type="dxa"/>
            <w:gridSpan w:val="2"/>
            <w:shd w:val="clear" w:color="auto" w:fill="F4B29B" w:themeFill="accent1" w:themeFillTint="66"/>
            <w:noWrap/>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w 2011 roku</w:t>
            </w:r>
          </w:p>
        </w:tc>
        <w:tc>
          <w:tcPr>
            <w:tcW w:w="2490" w:type="dxa"/>
            <w:gridSpan w:val="2"/>
            <w:shd w:val="clear" w:color="auto" w:fill="F4B29B" w:themeFill="accent1" w:themeFillTint="66"/>
            <w:noWrap/>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planowane w 2012</w:t>
            </w:r>
          </w:p>
        </w:tc>
      </w:tr>
      <w:tr w:rsidR="00B7084D" w:rsidRPr="00942E6B" w:rsidTr="00942E6B">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749" w:type="dxa"/>
            <w:vMerge/>
            <w:shd w:val="clear" w:color="auto" w:fill="F4B29B" w:themeFill="accent1" w:themeFillTint="66"/>
            <w:vAlign w:val="center"/>
            <w:hideMark/>
          </w:tcPr>
          <w:p w:rsidR="00C43B75" w:rsidRPr="00C43B75" w:rsidRDefault="00C43B75" w:rsidP="00C43B75">
            <w:pPr>
              <w:spacing w:after="0" w:line="240" w:lineRule="auto"/>
              <w:jc w:val="center"/>
              <w:rPr>
                <w:rFonts w:ascii="Calibri" w:hAnsi="Calibri"/>
                <w:color w:val="auto"/>
                <w:sz w:val="20"/>
                <w:szCs w:val="20"/>
              </w:rPr>
            </w:pPr>
          </w:p>
        </w:tc>
        <w:tc>
          <w:tcPr>
            <w:tcW w:w="1366"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Wartość (mln EUR)</w:t>
            </w:r>
          </w:p>
        </w:tc>
        <w:tc>
          <w:tcPr>
            <w:tcW w:w="794"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Liczba</w:t>
            </w:r>
          </w:p>
        </w:tc>
        <w:tc>
          <w:tcPr>
            <w:tcW w:w="1248"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Wartość (mln EUR)</w:t>
            </w:r>
          </w:p>
        </w:tc>
        <w:tc>
          <w:tcPr>
            <w:tcW w:w="912"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Liczba</w:t>
            </w:r>
          </w:p>
        </w:tc>
        <w:tc>
          <w:tcPr>
            <w:tcW w:w="1498"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Wartość (mln EUR)</w:t>
            </w:r>
          </w:p>
        </w:tc>
        <w:tc>
          <w:tcPr>
            <w:tcW w:w="992"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Liczba</w:t>
            </w:r>
          </w:p>
        </w:tc>
      </w:tr>
      <w:tr w:rsidR="00B7084D" w:rsidRPr="00942E6B" w:rsidTr="00942E6B">
        <w:trPr>
          <w:trHeight w:val="630"/>
          <w:jc w:val="center"/>
        </w:trPr>
        <w:tc>
          <w:tcPr>
            <w:cnfStyle w:val="001000000000" w:firstRow="0" w:lastRow="0" w:firstColumn="1" w:lastColumn="0" w:oddVBand="0" w:evenVBand="0" w:oddHBand="0" w:evenHBand="0" w:firstRowFirstColumn="0" w:firstRowLastColumn="0" w:lastRowFirstColumn="0" w:lastRowLastColumn="0"/>
            <w:tcW w:w="1749"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IZ RPO WSL</w:t>
            </w:r>
          </w:p>
        </w:tc>
        <w:tc>
          <w:tcPr>
            <w:tcW w:w="136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16,79</w:t>
            </w:r>
          </w:p>
        </w:tc>
        <w:tc>
          <w:tcPr>
            <w:tcW w:w="79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C43B75">
              <w:rPr>
                <w:sz w:val="22"/>
              </w:rPr>
              <w:t>6</w:t>
            </w:r>
          </w:p>
        </w:tc>
        <w:tc>
          <w:tcPr>
            <w:tcW w:w="1248"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3,5</w:t>
            </w:r>
          </w:p>
        </w:tc>
        <w:tc>
          <w:tcPr>
            <w:tcW w:w="912"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w:t>
            </w:r>
          </w:p>
        </w:tc>
        <w:tc>
          <w:tcPr>
            <w:tcW w:w="1498"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0,0</w:t>
            </w:r>
          </w:p>
        </w:tc>
        <w:tc>
          <w:tcPr>
            <w:tcW w:w="992"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0</w:t>
            </w:r>
          </w:p>
        </w:tc>
      </w:tr>
      <w:tr w:rsidR="00B7084D" w:rsidRPr="00942E6B" w:rsidTr="00942E6B">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749"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IP2 RPO WSL</w:t>
            </w:r>
          </w:p>
        </w:tc>
        <w:tc>
          <w:tcPr>
            <w:tcW w:w="1366"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zcionka tekstu podstawowego" w:hAnsi="Czcionka tekstu podstawowego"/>
                <w:sz w:val="20"/>
                <w:szCs w:val="20"/>
              </w:rPr>
            </w:pPr>
            <w:r w:rsidRPr="00C43B75">
              <w:rPr>
                <w:rFonts w:ascii="Czcionka tekstu podstawowego" w:hAnsi="Czcionka tekstu podstawowego"/>
                <w:sz w:val="20"/>
                <w:szCs w:val="20"/>
              </w:rPr>
              <w:t>43,00</w:t>
            </w:r>
          </w:p>
        </w:tc>
        <w:tc>
          <w:tcPr>
            <w:tcW w:w="79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zcionka tekstu podstawowego" w:hAnsi="Czcionka tekstu podstawowego"/>
                <w:sz w:val="20"/>
                <w:szCs w:val="20"/>
              </w:rPr>
            </w:pPr>
            <w:r w:rsidRPr="00C43B75">
              <w:rPr>
                <w:rFonts w:ascii="Czcionka tekstu podstawowego" w:hAnsi="Czcionka tekstu podstawowego"/>
                <w:sz w:val="20"/>
                <w:szCs w:val="20"/>
              </w:rPr>
              <w:t>5</w:t>
            </w:r>
          </w:p>
        </w:tc>
        <w:tc>
          <w:tcPr>
            <w:tcW w:w="1248"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zcionka tekstu podstawowego" w:hAnsi="Czcionka tekstu podstawowego"/>
                <w:sz w:val="20"/>
                <w:szCs w:val="20"/>
              </w:rPr>
            </w:pPr>
            <w:r w:rsidRPr="00C43B75">
              <w:rPr>
                <w:rFonts w:ascii="Czcionka tekstu podstawowego" w:hAnsi="Czcionka tekstu podstawowego"/>
                <w:sz w:val="20"/>
                <w:szCs w:val="20"/>
              </w:rPr>
              <w:t>6,4</w:t>
            </w:r>
          </w:p>
        </w:tc>
        <w:tc>
          <w:tcPr>
            <w:tcW w:w="912"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zcionka tekstu podstawowego" w:hAnsi="Czcionka tekstu podstawowego"/>
                <w:sz w:val="20"/>
                <w:szCs w:val="20"/>
              </w:rPr>
            </w:pPr>
            <w:r w:rsidRPr="00C43B75">
              <w:rPr>
                <w:rFonts w:ascii="Czcionka tekstu podstawowego" w:hAnsi="Czcionka tekstu podstawowego"/>
                <w:sz w:val="20"/>
                <w:szCs w:val="20"/>
              </w:rPr>
              <w:t>1</w:t>
            </w:r>
          </w:p>
        </w:tc>
        <w:tc>
          <w:tcPr>
            <w:tcW w:w="1498"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zcionka tekstu podstawowego" w:hAnsi="Czcionka tekstu podstawowego"/>
                <w:sz w:val="20"/>
                <w:szCs w:val="20"/>
              </w:rPr>
            </w:pPr>
            <w:r w:rsidRPr="00C43B75">
              <w:rPr>
                <w:rFonts w:ascii="Czcionka tekstu podstawowego" w:hAnsi="Czcionka tekstu podstawowego"/>
                <w:sz w:val="20"/>
                <w:szCs w:val="20"/>
              </w:rPr>
              <w:t>12,06</w:t>
            </w:r>
          </w:p>
        </w:tc>
        <w:tc>
          <w:tcPr>
            <w:tcW w:w="992"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zcionka tekstu podstawowego" w:hAnsi="Czcionka tekstu podstawowego"/>
                <w:sz w:val="20"/>
                <w:szCs w:val="20"/>
              </w:rPr>
            </w:pPr>
            <w:r w:rsidRPr="00C43B75">
              <w:rPr>
                <w:rFonts w:ascii="Czcionka tekstu podstawowego" w:hAnsi="Czcionka tekstu podstawowego"/>
                <w:sz w:val="20"/>
                <w:szCs w:val="20"/>
              </w:rPr>
              <w:t>1</w:t>
            </w:r>
          </w:p>
        </w:tc>
      </w:tr>
    </w:tbl>
    <w:p w:rsidR="00F0079B" w:rsidRPr="006D71C7" w:rsidRDefault="00F0079B" w:rsidP="006D71C7">
      <w:pPr>
        <w:widowControl w:val="0"/>
        <w:autoSpaceDE w:val="0"/>
        <w:autoSpaceDN w:val="0"/>
        <w:adjustRightInd w:val="0"/>
        <w:spacing w:after="240"/>
        <w:ind w:right="-23"/>
        <w:jc w:val="both"/>
        <w:rPr>
          <w:szCs w:val="24"/>
        </w:rPr>
      </w:pPr>
    </w:p>
    <w:p w:rsidR="00214C6C" w:rsidRPr="006D71C7" w:rsidRDefault="004C3DFA" w:rsidP="006D71C7">
      <w:pPr>
        <w:spacing w:before="240"/>
        <w:jc w:val="both"/>
        <w:rPr>
          <w:b/>
          <w:i/>
          <w:szCs w:val="24"/>
        </w:rPr>
      </w:pPr>
      <w:r w:rsidRPr="006D71C7">
        <w:rPr>
          <w:b/>
          <w:i/>
          <w:szCs w:val="24"/>
        </w:rPr>
        <w:t>Rozkład projektów</w:t>
      </w:r>
      <w:r w:rsidR="00FB48F2" w:rsidRPr="006D71C7">
        <w:rPr>
          <w:b/>
          <w:i/>
          <w:szCs w:val="24"/>
        </w:rPr>
        <w:t xml:space="preserve"> realizowanych w ramach p</w:t>
      </w:r>
      <w:r w:rsidR="009D0E50" w:rsidRPr="006D71C7">
        <w:rPr>
          <w:b/>
          <w:i/>
          <w:szCs w:val="24"/>
        </w:rPr>
        <w:t>riorytetu III</w:t>
      </w:r>
      <w:r w:rsidR="009A7B67" w:rsidRPr="006D71C7">
        <w:rPr>
          <w:b/>
          <w:i/>
          <w:szCs w:val="24"/>
        </w:rPr>
        <w:t xml:space="preserve"> </w:t>
      </w:r>
    </w:p>
    <w:p w:rsidR="00FB48F2" w:rsidRPr="006D71C7" w:rsidRDefault="00FB48F2" w:rsidP="006D71C7">
      <w:pPr>
        <w:pStyle w:val="Akapitzlist"/>
        <w:spacing w:before="120" w:after="240"/>
        <w:ind w:left="0"/>
        <w:jc w:val="both"/>
        <w:rPr>
          <w:szCs w:val="24"/>
          <w:lang w:eastAsia="ar-SA"/>
        </w:rPr>
      </w:pPr>
      <w:r w:rsidRPr="006D71C7">
        <w:rPr>
          <w:szCs w:val="24"/>
          <w:lang w:eastAsia="ar-SA"/>
        </w:rPr>
        <w:t xml:space="preserve">Analiza rozkładu projektów w podziale na sektory gospodarki została zamieszczona w załączniku </w:t>
      </w:r>
      <w:r w:rsidR="007338BD" w:rsidRPr="006D71C7">
        <w:rPr>
          <w:szCs w:val="24"/>
          <w:lang w:eastAsia="ar-SA"/>
        </w:rPr>
        <w:t>nr</w:t>
      </w:r>
      <w:r w:rsidRPr="006D71C7">
        <w:rPr>
          <w:szCs w:val="24"/>
          <w:lang w:eastAsia="ar-SA"/>
        </w:rPr>
        <w:t xml:space="preserve"> </w:t>
      </w:r>
      <w:r w:rsidR="009214D1" w:rsidRPr="006D71C7">
        <w:rPr>
          <w:szCs w:val="24"/>
          <w:lang w:eastAsia="ar-SA"/>
        </w:rPr>
        <w:t xml:space="preserve">X </w:t>
      </w:r>
      <w:r w:rsidRPr="006D71C7">
        <w:rPr>
          <w:szCs w:val="24"/>
          <w:lang w:eastAsia="ar-SA"/>
        </w:rPr>
        <w:t xml:space="preserve">do </w:t>
      </w:r>
      <w:r w:rsidRPr="006D71C7">
        <w:rPr>
          <w:i/>
          <w:szCs w:val="24"/>
          <w:lang w:eastAsia="ar-SA"/>
        </w:rPr>
        <w:t>Sprawozdania</w:t>
      </w:r>
      <w:r w:rsidRPr="006D71C7">
        <w:rPr>
          <w:szCs w:val="24"/>
          <w:lang w:eastAsia="ar-SA"/>
        </w:rPr>
        <w:t>.</w:t>
      </w:r>
    </w:p>
    <w:p w:rsidR="00683211" w:rsidRPr="006D71C7" w:rsidRDefault="00AD3FA5" w:rsidP="006D71C7">
      <w:pPr>
        <w:jc w:val="both"/>
        <w:rPr>
          <w:szCs w:val="24"/>
        </w:rPr>
      </w:pPr>
      <w:r w:rsidRPr="006D71C7">
        <w:rPr>
          <w:szCs w:val="24"/>
        </w:rPr>
        <w:t>W ramach p</w:t>
      </w:r>
      <w:r w:rsidR="006E7026" w:rsidRPr="006D71C7">
        <w:rPr>
          <w:szCs w:val="24"/>
        </w:rPr>
        <w:t xml:space="preserve">riorytetu </w:t>
      </w:r>
      <w:r w:rsidR="00835BB3" w:rsidRPr="006D71C7">
        <w:rPr>
          <w:szCs w:val="24"/>
        </w:rPr>
        <w:t>najaktywniejszymi</w:t>
      </w:r>
      <w:r w:rsidR="006E7026" w:rsidRPr="006D71C7">
        <w:rPr>
          <w:szCs w:val="24"/>
        </w:rPr>
        <w:t xml:space="preserve"> b</w:t>
      </w:r>
      <w:r w:rsidR="00835BB3" w:rsidRPr="006D71C7">
        <w:rPr>
          <w:szCs w:val="24"/>
        </w:rPr>
        <w:t>eneficjentami</w:t>
      </w:r>
      <w:r w:rsidR="006E7026" w:rsidRPr="006D71C7">
        <w:rPr>
          <w:szCs w:val="24"/>
        </w:rPr>
        <w:t xml:space="preserve"> są JST i MSP. </w:t>
      </w:r>
      <w:r w:rsidR="003F29A3" w:rsidRPr="006D71C7">
        <w:rPr>
          <w:szCs w:val="24"/>
        </w:rPr>
        <w:t xml:space="preserve">Realizując ponad </w:t>
      </w:r>
      <w:r w:rsidRPr="006D71C7">
        <w:rPr>
          <w:szCs w:val="24"/>
        </w:rPr>
        <w:t>65%</w:t>
      </w:r>
      <w:r w:rsidR="003F29A3" w:rsidRPr="006D71C7">
        <w:rPr>
          <w:szCs w:val="24"/>
        </w:rPr>
        <w:t xml:space="preserve"> projektów, przedsiębiorcy zajmują wyraźną pozycję lidera wśród beneficjentów w ujęciu ilościowym. </w:t>
      </w:r>
      <w:r w:rsidR="000A5F27" w:rsidRPr="006D71C7">
        <w:rPr>
          <w:szCs w:val="24"/>
        </w:rPr>
        <w:t>Biorąc pod uwagę wartość podpisanych umów dostrzec można zdecydowaną dominację projektów realizowanych przez JST.</w:t>
      </w:r>
    </w:p>
    <w:p w:rsidR="00C43B75" w:rsidRDefault="00727D67" w:rsidP="00C43B75">
      <w:pPr>
        <w:pStyle w:val="Legenda"/>
        <w:jc w:val="center"/>
        <w:rPr>
          <w:color w:val="auto"/>
          <w:sz w:val="20"/>
          <w:szCs w:val="20"/>
        </w:rPr>
      </w:pPr>
      <w:r w:rsidRPr="006D71C7">
        <w:rPr>
          <w:noProof/>
          <w:color w:val="auto"/>
          <w:sz w:val="20"/>
          <w:szCs w:val="20"/>
        </w:rPr>
        <w:drawing>
          <wp:inline distT="0" distB="0" distL="0" distR="0">
            <wp:extent cx="4568013" cy="2118095"/>
            <wp:effectExtent l="38100" t="19050" r="23037" b="0"/>
            <wp:docPr id="24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915C3" w:rsidRPr="006D71C7" w:rsidRDefault="007338BD" w:rsidP="006D71C7">
      <w:pPr>
        <w:pStyle w:val="Legenda"/>
        <w:jc w:val="both"/>
        <w:rPr>
          <w:color w:val="auto"/>
          <w:sz w:val="20"/>
          <w:szCs w:val="20"/>
        </w:rPr>
      </w:pPr>
      <w:bookmarkStart w:id="383" w:name="_Toc324853723"/>
      <w:bookmarkStart w:id="384" w:name="_Toc326055351"/>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33</w:t>
      </w:r>
      <w:r w:rsidR="008F7228">
        <w:rPr>
          <w:color w:val="auto"/>
          <w:sz w:val="20"/>
          <w:szCs w:val="20"/>
        </w:rPr>
        <w:fldChar w:fldCharType="end"/>
      </w:r>
      <w:r w:rsidR="009214D1" w:rsidRPr="006D71C7">
        <w:rPr>
          <w:color w:val="auto"/>
        </w:rPr>
        <w:t xml:space="preserve"> </w:t>
      </w:r>
      <w:r w:rsidR="000A5F27" w:rsidRPr="006D71C7">
        <w:rPr>
          <w:b w:val="0"/>
          <w:i/>
          <w:color w:val="auto"/>
          <w:sz w:val="20"/>
          <w:szCs w:val="20"/>
        </w:rPr>
        <w:t>Rozkład projektów w podziale na beneficjentów</w:t>
      </w:r>
      <w:bookmarkEnd w:id="383"/>
      <w:bookmarkEnd w:id="384"/>
    </w:p>
    <w:p w:rsidR="00423F74" w:rsidRPr="006D71C7" w:rsidRDefault="00423F74" w:rsidP="006D71C7">
      <w:pPr>
        <w:jc w:val="both"/>
      </w:pPr>
      <w:r w:rsidRPr="006D71C7">
        <w:t>Większość projektów w ramach priorytetu III realizowanych jest na obszarach miejskich. Jednak biorąc pod uwagę wysoki stopień urbanizacji województ</w:t>
      </w:r>
      <w:r w:rsidR="000A5F27" w:rsidRPr="006D71C7">
        <w:t>wa, okazuje się, </w:t>
      </w:r>
      <w:r w:rsidRPr="006D71C7">
        <w:t>iż uwzględniając wartość projektów w ujęciu per capita, obszary wiejskie nie tracą.</w:t>
      </w:r>
    </w:p>
    <w:p w:rsidR="001915C3" w:rsidRPr="006D71C7" w:rsidRDefault="007338BD" w:rsidP="006D71C7">
      <w:pPr>
        <w:pStyle w:val="Legenda"/>
        <w:jc w:val="both"/>
        <w:rPr>
          <w:color w:val="auto"/>
          <w:sz w:val="20"/>
          <w:szCs w:val="20"/>
        </w:rPr>
      </w:pPr>
      <w:bookmarkStart w:id="385" w:name="_Toc324853724"/>
      <w:bookmarkStart w:id="386" w:name="_Toc326046374"/>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22</w:t>
      </w:r>
      <w:r w:rsidR="008F7228" w:rsidRPr="006D71C7">
        <w:rPr>
          <w:color w:val="auto"/>
          <w:sz w:val="20"/>
          <w:szCs w:val="20"/>
        </w:rPr>
        <w:fldChar w:fldCharType="end"/>
      </w:r>
      <w:r w:rsidR="009214D1" w:rsidRPr="006D71C7">
        <w:rPr>
          <w:color w:val="auto"/>
        </w:rPr>
        <w:t xml:space="preserve"> </w:t>
      </w:r>
      <w:r w:rsidR="00423F74" w:rsidRPr="006D71C7">
        <w:rPr>
          <w:b w:val="0"/>
          <w:i/>
          <w:color w:val="auto"/>
          <w:sz w:val="20"/>
          <w:szCs w:val="20"/>
        </w:rPr>
        <w:t>Rozkład projektów w podziale na obszary</w:t>
      </w:r>
      <w:bookmarkEnd w:id="385"/>
      <w:bookmarkEnd w:id="386"/>
    </w:p>
    <w:tbl>
      <w:tblPr>
        <w:tblW w:w="6626" w:type="dxa"/>
        <w:jc w:val="center"/>
        <w:tblInd w:w="-1008" w:type="dxa"/>
        <w:tblCellMar>
          <w:left w:w="70" w:type="dxa"/>
          <w:right w:w="70" w:type="dxa"/>
        </w:tblCellMar>
        <w:tblLook w:val="04A0" w:firstRow="1" w:lastRow="0" w:firstColumn="1" w:lastColumn="0" w:noHBand="0" w:noVBand="1"/>
      </w:tblPr>
      <w:tblGrid>
        <w:gridCol w:w="1517"/>
        <w:gridCol w:w="1513"/>
        <w:gridCol w:w="1555"/>
        <w:gridCol w:w="2041"/>
      </w:tblGrid>
      <w:tr w:rsidR="00423F74" w:rsidRPr="006D71C7" w:rsidTr="00161122">
        <w:trPr>
          <w:trHeight w:val="825"/>
          <w:jc w:val="center"/>
        </w:trPr>
        <w:tc>
          <w:tcPr>
            <w:tcW w:w="1517" w:type="dxa"/>
            <w:tcBorders>
              <w:top w:val="single" w:sz="8" w:space="0" w:color="D34817"/>
              <w:left w:val="single" w:sz="8" w:space="0" w:color="D34817"/>
              <w:bottom w:val="single" w:sz="8" w:space="0" w:color="D34817"/>
              <w:right w:val="single" w:sz="8" w:space="0" w:color="D34817"/>
            </w:tcBorders>
            <w:shd w:val="clear" w:color="000000" w:fill="F4B29B"/>
            <w:vAlign w:val="center"/>
            <w:hideMark/>
          </w:tcPr>
          <w:p w:rsidR="00423F74" w:rsidRPr="006D71C7" w:rsidRDefault="00423F74" w:rsidP="00C74054">
            <w:pPr>
              <w:spacing w:after="0" w:line="240" w:lineRule="auto"/>
              <w:jc w:val="center"/>
              <w:rPr>
                <w:b/>
                <w:bCs/>
                <w:sz w:val="20"/>
                <w:szCs w:val="20"/>
              </w:rPr>
            </w:pPr>
            <w:r w:rsidRPr="006D71C7">
              <w:rPr>
                <w:b/>
                <w:bCs/>
                <w:sz w:val="20"/>
                <w:szCs w:val="20"/>
              </w:rPr>
              <w:t>OBSZAR</w:t>
            </w:r>
          </w:p>
        </w:tc>
        <w:tc>
          <w:tcPr>
            <w:tcW w:w="1513" w:type="dxa"/>
            <w:tcBorders>
              <w:top w:val="single" w:sz="8" w:space="0" w:color="D34817"/>
              <w:left w:val="nil"/>
              <w:bottom w:val="single" w:sz="8" w:space="0" w:color="D34817"/>
              <w:right w:val="single" w:sz="8" w:space="0" w:color="D34817"/>
            </w:tcBorders>
            <w:shd w:val="clear" w:color="000000" w:fill="F4B29B"/>
            <w:vAlign w:val="center"/>
            <w:hideMark/>
          </w:tcPr>
          <w:p w:rsidR="00423F74" w:rsidRPr="006D71C7" w:rsidRDefault="00423F74" w:rsidP="00C74054">
            <w:pPr>
              <w:spacing w:after="0" w:line="240" w:lineRule="auto"/>
              <w:jc w:val="center"/>
              <w:rPr>
                <w:b/>
                <w:bCs/>
                <w:sz w:val="20"/>
                <w:szCs w:val="20"/>
              </w:rPr>
            </w:pPr>
            <w:r w:rsidRPr="006D71C7">
              <w:rPr>
                <w:b/>
                <w:bCs/>
                <w:sz w:val="20"/>
                <w:szCs w:val="20"/>
              </w:rPr>
              <w:t>LICZBA</w:t>
            </w:r>
          </w:p>
        </w:tc>
        <w:tc>
          <w:tcPr>
            <w:tcW w:w="1555" w:type="dxa"/>
            <w:tcBorders>
              <w:top w:val="single" w:sz="8" w:space="0" w:color="D34817"/>
              <w:left w:val="nil"/>
              <w:bottom w:val="single" w:sz="8" w:space="0" w:color="D34817"/>
              <w:right w:val="single" w:sz="8" w:space="0" w:color="D34817"/>
            </w:tcBorders>
            <w:shd w:val="clear" w:color="000000" w:fill="F4B29B"/>
            <w:vAlign w:val="center"/>
            <w:hideMark/>
          </w:tcPr>
          <w:p w:rsidR="00423F74" w:rsidRPr="006D71C7" w:rsidRDefault="00423F74" w:rsidP="00C74054">
            <w:pPr>
              <w:spacing w:after="0" w:line="240" w:lineRule="auto"/>
              <w:jc w:val="center"/>
              <w:rPr>
                <w:b/>
                <w:bCs/>
                <w:sz w:val="20"/>
                <w:szCs w:val="20"/>
              </w:rPr>
            </w:pPr>
            <w:r w:rsidRPr="006D71C7">
              <w:rPr>
                <w:b/>
                <w:bCs/>
                <w:sz w:val="20"/>
                <w:szCs w:val="20"/>
              </w:rPr>
              <w:t>WARTOŚĆ OGÓŁEM</w:t>
            </w:r>
          </w:p>
        </w:tc>
        <w:tc>
          <w:tcPr>
            <w:tcW w:w="2041" w:type="dxa"/>
            <w:tcBorders>
              <w:top w:val="single" w:sz="8" w:space="0" w:color="D34817"/>
              <w:left w:val="nil"/>
              <w:bottom w:val="single" w:sz="8" w:space="0" w:color="D34817"/>
              <w:right w:val="single" w:sz="8" w:space="0" w:color="D34817"/>
            </w:tcBorders>
            <w:shd w:val="clear" w:color="000000" w:fill="F4B29B"/>
            <w:vAlign w:val="center"/>
            <w:hideMark/>
          </w:tcPr>
          <w:p w:rsidR="00423F74" w:rsidRPr="006D71C7" w:rsidRDefault="00423F74" w:rsidP="00C74054">
            <w:pPr>
              <w:spacing w:after="0" w:line="240" w:lineRule="auto"/>
              <w:jc w:val="center"/>
              <w:rPr>
                <w:b/>
                <w:bCs/>
                <w:sz w:val="20"/>
                <w:szCs w:val="20"/>
              </w:rPr>
            </w:pPr>
            <w:r w:rsidRPr="006D71C7">
              <w:rPr>
                <w:b/>
                <w:bCs/>
                <w:sz w:val="20"/>
                <w:szCs w:val="20"/>
              </w:rPr>
              <w:t>DOFINANSOWANIE UE</w:t>
            </w:r>
          </w:p>
        </w:tc>
      </w:tr>
      <w:tr w:rsidR="00423F74" w:rsidRPr="006D71C7" w:rsidTr="00161122">
        <w:trPr>
          <w:trHeight w:val="494"/>
          <w:jc w:val="center"/>
        </w:trPr>
        <w:tc>
          <w:tcPr>
            <w:tcW w:w="1517" w:type="dxa"/>
            <w:tcBorders>
              <w:top w:val="nil"/>
              <w:left w:val="single" w:sz="8" w:space="0" w:color="D34817"/>
              <w:bottom w:val="single" w:sz="8" w:space="0" w:color="D34817"/>
              <w:right w:val="single" w:sz="8" w:space="0" w:color="D34817"/>
            </w:tcBorders>
            <w:shd w:val="clear" w:color="000000" w:fill="F4B29B"/>
            <w:vAlign w:val="center"/>
            <w:hideMark/>
          </w:tcPr>
          <w:p w:rsidR="00423F74" w:rsidRPr="006D71C7" w:rsidRDefault="00423F74" w:rsidP="00C74054">
            <w:pPr>
              <w:spacing w:after="0" w:line="240" w:lineRule="auto"/>
              <w:jc w:val="center"/>
              <w:rPr>
                <w:b/>
                <w:bCs/>
                <w:sz w:val="20"/>
                <w:szCs w:val="20"/>
              </w:rPr>
            </w:pPr>
            <w:r w:rsidRPr="006D71C7">
              <w:rPr>
                <w:b/>
                <w:bCs/>
                <w:sz w:val="20"/>
                <w:szCs w:val="20"/>
              </w:rPr>
              <w:t>MIEJSKI</w:t>
            </w:r>
          </w:p>
        </w:tc>
        <w:tc>
          <w:tcPr>
            <w:tcW w:w="1513" w:type="dxa"/>
            <w:tcBorders>
              <w:top w:val="nil"/>
              <w:left w:val="nil"/>
              <w:bottom w:val="single" w:sz="8" w:space="0" w:color="D34817"/>
              <w:right w:val="single" w:sz="8" w:space="0" w:color="D34817"/>
            </w:tcBorders>
            <w:shd w:val="clear" w:color="000000" w:fill="F9D8CD"/>
            <w:vAlign w:val="center"/>
            <w:hideMark/>
          </w:tcPr>
          <w:p w:rsidR="00423F74" w:rsidRPr="006D71C7" w:rsidRDefault="00423F74" w:rsidP="00C74054">
            <w:pPr>
              <w:spacing w:after="0" w:line="240" w:lineRule="auto"/>
              <w:jc w:val="center"/>
              <w:rPr>
                <w:sz w:val="22"/>
              </w:rPr>
            </w:pPr>
            <w:r w:rsidRPr="006D71C7">
              <w:rPr>
                <w:sz w:val="22"/>
              </w:rPr>
              <w:t>209</w:t>
            </w:r>
          </w:p>
        </w:tc>
        <w:tc>
          <w:tcPr>
            <w:tcW w:w="1555" w:type="dxa"/>
            <w:tcBorders>
              <w:top w:val="nil"/>
              <w:left w:val="nil"/>
              <w:bottom w:val="single" w:sz="8" w:space="0" w:color="D34817"/>
              <w:right w:val="single" w:sz="8" w:space="0" w:color="D34817"/>
            </w:tcBorders>
            <w:shd w:val="clear" w:color="000000" w:fill="F9D8CD"/>
            <w:vAlign w:val="center"/>
            <w:hideMark/>
          </w:tcPr>
          <w:p w:rsidR="00423F74" w:rsidRPr="006D71C7" w:rsidRDefault="00423F74" w:rsidP="00C74054">
            <w:pPr>
              <w:spacing w:after="0" w:line="240" w:lineRule="auto"/>
              <w:jc w:val="center"/>
              <w:rPr>
                <w:sz w:val="22"/>
              </w:rPr>
            </w:pPr>
            <w:r w:rsidRPr="006D71C7">
              <w:rPr>
                <w:sz w:val="22"/>
              </w:rPr>
              <w:t>97,12</w:t>
            </w:r>
          </w:p>
        </w:tc>
        <w:tc>
          <w:tcPr>
            <w:tcW w:w="2041" w:type="dxa"/>
            <w:tcBorders>
              <w:top w:val="nil"/>
              <w:left w:val="nil"/>
              <w:bottom w:val="single" w:sz="8" w:space="0" w:color="D34817"/>
              <w:right w:val="single" w:sz="8" w:space="0" w:color="D34817"/>
            </w:tcBorders>
            <w:shd w:val="clear" w:color="000000" w:fill="F9D8CD"/>
            <w:vAlign w:val="center"/>
            <w:hideMark/>
          </w:tcPr>
          <w:p w:rsidR="00423F74" w:rsidRPr="006D71C7" w:rsidRDefault="00423F74" w:rsidP="00C74054">
            <w:pPr>
              <w:spacing w:after="0" w:line="240" w:lineRule="auto"/>
              <w:jc w:val="center"/>
              <w:rPr>
                <w:sz w:val="22"/>
              </w:rPr>
            </w:pPr>
            <w:r w:rsidRPr="006D71C7">
              <w:rPr>
                <w:sz w:val="22"/>
              </w:rPr>
              <w:t>48,53</w:t>
            </w:r>
          </w:p>
        </w:tc>
      </w:tr>
      <w:tr w:rsidR="00423F74" w:rsidRPr="006D71C7" w:rsidTr="00161122">
        <w:trPr>
          <w:trHeight w:val="544"/>
          <w:jc w:val="center"/>
        </w:trPr>
        <w:tc>
          <w:tcPr>
            <w:tcW w:w="1517" w:type="dxa"/>
            <w:tcBorders>
              <w:top w:val="nil"/>
              <w:left w:val="single" w:sz="8" w:space="0" w:color="D34817"/>
              <w:bottom w:val="single" w:sz="8" w:space="0" w:color="D34817"/>
              <w:right w:val="single" w:sz="8" w:space="0" w:color="D34817"/>
            </w:tcBorders>
            <w:shd w:val="clear" w:color="000000" w:fill="F4B29B"/>
            <w:vAlign w:val="center"/>
            <w:hideMark/>
          </w:tcPr>
          <w:p w:rsidR="00423F74" w:rsidRPr="006D71C7" w:rsidRDefault="00423F74" w:rsidP="00C74054">
            <w:pPr>
              <w:spacing w:after="0" w:line="240" w:lineRule="auto"/>
              <w:jc w:val="center"/>
              <w:rPr>
                <w:b/>
                <w:bCs/>
                <w:sz w:val="20"/>
                <w:szCs w:val="20"/>
              </w:rPr>
            </w:pPr>
            <w:r w:rsidRPr="006D71C7">
              <w:rPr>
                <w:b/>
                <w:bCs/>
                <w:sz w:val="20"/>
                <w:szCs w:val="20"/>
              </w:rPr>
              <w:t>WIEJSKI</w:t>
            </w:r>
          </w:p>
        </w:tc>
        <w:tc>
          <w:tcPr>
            <w:tcW w:w="1513" w:type="dxa"/>
            <w:tcBorders>
              <w:top w:val="nil"/>
              <w:left w:val="nil"/>
              <w:bottom w:val="single" w:sz="8" w:space="0" w:color="D34817"/>
              <w:right w:val="single" w:sz="8" w:space="0" w:color="D34817"/>
            </w:tcBorders>
            <w:shd w:val="clear" w:color="000000" w:fill="F9D8CD"/>
            <w:vAlign w:val="center"/>
            <w:hideMark/>
          </w:tcPr>
          <w:p w:rsidR="00423F74" w:rsidRPr="006D71C7" w:rsidRDefault="00423F74" w:rsidP="00C74054">
            <w:pPr>
              <w:spacing w:after="0" w:line="240" w:lineRule="auto"/>
              <w:jc w:val="center"/>
              <w:rPr>
                <w:sz w:val="22"/>
              </w:rPr>
            </w:pPr>
            <w:r w:rsidRPr="006D71C7">
              <w:rPr>
                <w:sz w:val="22"/>
              </w:rPr>
              <w:t>85</w:t>
            </w:r>
          </w:p>
        </w:tc>
        <w:tc>
          <w:tcPr>
            <w:tcW w:w="1555" w:type="dxa"/>
            <w:tcBorders>
              <w:top w:val="nil"/>
              <w:left w:val="nil"/>
              <w:bottom w:val="single" w:sz="8" w:space="0" w:color="D34817"/>
              <w:right w:val="single" w:sz="8" w:space="0" w:color="D34817"/>
            </w:tcBorders>
            <w:shd w:val="clear" w:color="000000" w:fill="F9D8CD"/>
            <w:vAlign w:val="center"/>
            <w:hideMark/>
          </w:tcPr>
          <w:p w:rsidR="00423F74" w:rsidRPr="006D71C7" w:rsidRDefault="00423F74" w:rsidP="00C74054">
            <w:pPr>
              <w:spacing w:after="0" w:line="240" w:lineRule="auto"/>
              <w:jc w:val="center"/>
              <w:rPr>
                <w:sz w:val="22"/>
              </w:rPr>
            </w:pPr>
            <w:r w:rsidRPr="006D71C7">
              <w:rPr>
                <w:sz w:val="22"/>
              </w:rPr>
              <w:t>29,1</w:t>
            </w:r>
          </w:p>
        </w:tc>
        <w:tc>
          <w:tcPr>
            <w:tcW w:w="2041" w:type="dxa"/>
            <w:tcBorders>
              <w:top w:val="nil"/>
              <w:left w:val="nil"/>
              <w:bottom w:val="single" w:sz="8" w:space="0" w:color="D34817"/>
              <w:right w:val="single" w:sz="8" w:space="0" w:color="D34817"/>
            </w:tcBorders>
            <w:shd w:val="clear" w:color="000000" w:fill="F9D8CD"/>
            <w:vAlign w:val="center"/>
            <w:hideMark/>
          </w:tcPr>
          <w:p w:rsidR="00423F74" w:rsidRPr="006D71C7" w:rsidRDefault="00423F74" w:rsidP="00C74054">
            <w:pPr>
              <w:spacing w:after="0" w:line="240" w:lineRule="auto"/>
              <w:jc w:val="center"/>
              <w:rPr>
                <w:sz w:val="22"/>
              </w:rPr>
            </w:pPr>
            <w:r w:rsidRPr="006D71C7">
              <w:rPr>
                <w:sz w:val="22"/>
              </w:rPr>
              <w:t>17,09</w:t>
            </w:r>
          </w:p>
        </w:tc>
      </w:tr>
      <w:tr w:rsidR="00423F74" w:rsidRPr="006D71C7" w:rsidTr="00161122">
        <w:trPr>
          <w:trHeight w:val="565"/>
          <w:jc w:val="center"/>
        </w:trPr>
        <w:tc>
          <w:tcPr>
            <w:tcW w:w="1517" w:type="dxa"/>
            <w:tcBorders>
              <w:top w:val="nil"/>
              <w:left w:val="single" w:sz="8" w:space="0" w:color="D34817"/>
              <w:bottom w:val="single" w:sz="8" w:space="0" w:color="D34817"/>
              <w:right w:val="single" w:sz="8" w:space="0" w:color="D34817"/>
            </w:tcBorders>
            <w:shd w:val="clear" w:color="000000" w:fill="F4B29B"/>
            <w:vAlign w:val="center"/>
            <w:hideMark/>
          </w:tcPr>
          <w:p w:rsidR="00423F74" w:rsidRPr="006D71C7" w:rsidRDefault="00423F74" w:rsidP="00C74054">
            <w:pPr>
              <w:spacing w:after="0" w:line="240" w:lineRule="auto"/>
              <w:jc w:val="center"/>
              <w:rPr>
                <w:b/>
                <w:bCs/>
                <w:sz w:val="20"/>
                <w:szCs w:val="20"/>
              </w:rPr>
            </w:pPr>
            <w:r w:rsidRPr="006D71C7">
              <w:rPr>
                <w:b/>
                <w:bCs/>
                <w:sz w:val="20"/>
                <w:szCs w:val="20"/>
              </w:rPr>
              <w:t>GÓRSKI</w:t>
            </w:r>
          </w:p>
        </w:tc>
        <w:tc>
          <w:tcPr>
            <w:tcW w:w="1513" w:type="dxa"/>
            <w:tcBorders>
              <w:top w:val="nil"/>
              <w:left w:val="nil"/>
              <w:bottom w:val="single" w:sz="8" w:space="0" w:color="D34817"/>
              <w:right w:val="single" w:sz="8" w:space="0" w:color="D34817"/>
            </w:tcBorders>
            <w:shd w:val="clear" w:color="000000" w:fill="F9D8CD"/>
            <w:vAlign w:val="center"/>
            <w:hideMark/>
          </w:tcPr>
          <w:p w:rsidR="00423F74" w:rsidRPr="006D71C7" w:rsidRDefault="00423F74" w:rsidP="00C74054">
            <w:pPr>
              <w:spacing w:after="0" w:line="240" w:lineRule="auto"/>
              <w:jc w:val="center"/>
              <w:rPr>
                <w:sz w:val="22"/>
              </w:rPr>
            </w:pPr>
            <w:r w:rsidRPr="006D71C7">
              <w:rPr>
                <w:sz w:val="22"/>
              </w:rPr>
              <w:t>14</w:t>
            </w:r>
          </w:p>
        </w:tc>
        <w:tc>
          <w:tcPr>
            <w:tcW w:w="1555" w:type="dxa"/>
            <w:tcBorders>
              <w:top w:val="nil"/>
              <w:left w:val="nil"/>
              <w:bottom w:val="single" w:sz="8" w:space="0" w:color="D34817"/>
              <w:right w:val="single" w:sz="8" w:space="0" w:color="D34817"/>
            </w:tcBorders>
            <w:shd w:val="clear" w:color="000000" w:fill="F9D8CD"/>
            <w:vAlign w:val="center"/>
            <w:hideMark/>
          </w:tcPr>
          <w:p w:rsidR="00423F74" w:rsidRPr="006D71C7" w:rsidRDefault="00423F74" w:rsidP="00C74054">
            <w:pPr>
              <w:spacing w:after="0" w:line="240" w:lineRule="auto"/>
              <w:jc w:val="center"/>
              <w:rPr>
                <w:sz w:val="22"/>
              </w:rPr>
            </w:pPr>
            <w:r w:rsidRPr="006D71C7">
              <w:rPr>
                <w:sz w:val="22"/>
              </w:rPr>
              <w:t>6,01</w:t>
            </w:r>
          </w:p>
        </w:tc>
        <w:tc>
          <w:tcPr>
            <w:tcW w:w="2041" w:type="dxa"/>
            <w:tcBorders>
              <w:top w:val="nil"/>
              <w:left w:val="nil"/>
              <w:bottom w:val="single" w:sz="8" w:space="0" w:color="D34817"/>
              <w:right w:val="single" w:sz="8" w:space="0" w:color="D34817"/>
            </w:tcBorders>
            <w:shd w:val="clear" w:color="000000" w:fill="F9D8CD"/>
            <w:vAlign w:val="center"/>
            <w:hideMark/>
          </w:tcPr>
          <w:p w:rsidR="00423F74" w:rsidRPr="006D71C7" w:rsidRDefault="00423F74" w:rsidP="00C74054">
            <w:pPr>
              <w:spacing w:after="0" w:line="240" w:lineRule="auto"/>
              <w:jc w:val="center"/>
              <w:rPr>
                <w:sz w:val="22"/>
              </w:rPr>
            </w:pPr>
            <w:r w:rsidRPr="006D71C7">
              <w:rPr>
                <w:sz w:val="22"/>
              </w:rPr>
              <w:t>3,82</w:t>
            </w:r>
          </w:p>
        </w:tc>
      </w:tr>
    </w:tbl>
    <w:p w:rsidR="00423F74" w:rsidRPr="006D71C7" w:rsidRDefault="00423F74" w:rsidP="006D71C7">
      <w:pPr>
        <w:jc w:val="both"/>
        <w:rPr>
          <w:noProof/>
          <w:szCs w:val="24"/>
        </w:rPr>
      </w:pPr>
    </w:p>
    <w:p w:rsidR="00EB7A9D" w:rsidRPr="006D71C7" w:rsidRDefault="005D6BA1" w:rsidP="006D71C7">
      <w:pPr>
        <w:jc w:val="both"/>
        <w:rPr>
          <w:noProof/>
          <w:szCs w:val="24"/>
        </w:rPr>
      </w:pPr>
      <w:r w:rsidRPr="006D71C7">
        <w:rPr>
          <w:noProof/>
          <w:szCs w:val="24"/>
        </w:rPr>
        <w:t xml:space="preserve">W ramach przedmiotowego priorytetu najaktywniejszymi beneficjentami były powiaty z południa województwa, </w:t>
      </w:r>
      <w:r w:rsidR="00B16256" w:rsidRPr="006D71C7">
        <w:rPr>
          <w:noProof/>
          <w:szCs w:val="24"/>
        </w:rPr>
        <w:t xml:space="preserve">tj. </w:t>
      </w:r>
      <w:r w:rsidRPr="006D71C7">
        <w:rPr>
          <w:noProof/>
          <w:szCs w:val="24"/>
        </w:rPr>
        <w:t>obszar o dużych walorach rekreacyjnych i turystycznych. Najwięcej projektów otrzymało do</w:t>
      </w:r>
      <w:r w:rsidR="00BB61CA" w:rsidRPr="006D71C7">
        <w:rPr>
          <w:noProof/>
          <w:szCs w:val="24"/>
        </w:rPr>
        <w:t>f</w:t>
      </w:r>
      <w:r w:rsidRPr="006D71C7">
        <w:rPr>
          <w:noProof/>
          <w:szCs w:val="24"/>
        </w:rPr>
        <w:t>inansowanie z powiatu cieszyńskiego (55 projektów na</w:t>
      </w:r>
      <w:r w:rsidR="00E626FF" w:rsidRPr="006D71C7">
        <w:rPr>
          <w:noProof/>
          <w:szCs w:val="24"/>
        </w:rPr>
        <w:t> </w:t>
      </w:r>
      <w:r w:rsidRPr="006D71C7">
        <w:rPr>
          <w:noProof/>
          <w:szCs w:val="24"/>
        </w:rPr>
        <w:t>kwotę dofinansowania 12 mln EUR), drugim w kolejności</w:t>
      </w:r>
      <w:r w:rsidR="001B2CAB" w:rsidRPr="006D71C7">
        <w:rPr>
          <w:noProof/>
          <w:szCs w:val="24"/>
        </w:rPr>
        <w:t xml:space="preserve"> pod względem wartości projektów</w:t>
      </w:r>
      <w:r w:rsidRPr="006D71C7">
        <w:rPr>
          <w:noProof/>
          <w:szCs w:val="24"/>
        </w:rPr>
        <w:t xml:space="preserve"> jest Miasto Bielsko –</w:t>
      </w:r>
      <w:r w:rsidR="00B16256" w:rsidRPr="006D71C7">
        <w:rPr>
          <w:noProof/>
          <w:szCs w:val="24"/>
        </w:rPr>
        <w:t xml:space="preserve"> </w:t>
      </w:r>
      <w:r w:rsidRPr="006D71C7">
        <w:rPr>
          <w:noProof/>
          <w:szCs w:val="24"/>
        </w:rPr>
        <w:t>Biała (15 projektów na kwotę dofinansowania 11 mln EUR).</w:t>
      </w:r>
      <w:r w:rsidR="001B2CAB" w:rsidRPr="006D71C7">
        <w:rPr>
          <w:noProof/>
          <w:szCs w:val="24"/>
        </w:rPr>
        <w:t xml:space="preserve"> Aktywni beneficjenci byli w powiecie żywiec</w:t>
      </w:r>
      <w:r w:rsidR="00370E1D" w:rsidRPr="006D71C7">
        <w:rPr>
          <w:noProof/>
          <w:szCs w:val="24"/>
        </w:rPr>
        <w:t xml:space="preserve">kim - </w:t>
      </w:r>
      <w:r w:rsidR="001B2CAB" w:rsidRPr="006D71C7">
        <w:rPr>
          <w:noProof/>
          <w:szCs w:val="24"/>
        </w:rPr>
        <w:t>dofinansowanie otrzymało 26 projektów.</w:t>
      </w:r>
    </w:p>
    <w:p w:rsidR="00EB7A9D" w:rsidRPr="006D71C7" w:rsidRDefault="00EB7A9D" w:rsidP="006D71C7">
      <w:pPr>
        <w:jc w:val="both"/>
        <w:rPr>
          <w:szCs w:val="24"/>
        </w:rPr>
      </w:pPr>
      <w:r w:rsidRPr="006D71C7">
        <w:rPr>
          <w:noProof/>
          <w:szCs w:val="24"/>
        </w:rPr>
        <w:drawing>
          <wp:inline distT="0" distB="0" distL="0" distR="0">
            <wp:extent cx="5759450" cy="5232471"/>
            <wp:effectExtent l="19050" t="0" r="0" b="0"/>
            <wp:docPr id="4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srcRect/>
                    <a:stretch>
                      <a:fillRect/>
                    </a:stretch>
                  </pic:blipFill>
                  <pic:spPr bwMode="auto">
                    <a:xfrm>
                      <a:off x="0" y="0"/>
                      <a:ext cx="5759450" cy="5232471"/>
                    </a:xfrm>
                    <a:prstGeom prst="rect">
                      <a:avLst/>
                    </a:prstGeom>
                    <a:noFill/>
                    <a:ln w="9525">
                      <a:noFill/>
                      <a:miter lim="800000"/>
                      <a:headEnd/>
                      <a:tailEnd/>
                    </a:ln>
                  </pic:spPr>
                </pic:pic>
              </a:graphicData>
            </a:graphic>
          </wp:inline>
        </w:drawing>
      </w:r>
    </w:p>
    <w:p w:rsidR="00245F70" w:rsidRPr="006D71C7" w:rsidRDefault="007338BD" w:rsidP="006D71C7">
      <w:pPr>
        <w:pStyle w:val="Legenda"/>
        <w:jc w:val="both"/>
        <w:rPr>
          <w:b w:val="0"/>
          <w:bCs w:val="0"/>
          <w:i/>
          <w:color w:val="auto"/>
          <w:sz w:val="20"/>
          <w:szCs w:val="20"/>
        </w:rPr>
      </w:pPr>
      <w:bookmarkStart w:id="387" w:name="_Toc324786941"/>
      <w:bookmarkStart w:id="388" w:name="_Toc324854706"/>
      <w:bookmarkStart w:id="389" w:name="_Toc324854770"/>
      <w:bookmarkStart w:id="390" w:name="_Toc326055352"/>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34</w:t>
      </w:r>
      <w:r w:rsidR="008F7228">
        <w:rPr>
          <w:color w:val="auto"/>
          <w:sz w:val="20"/>
          <w:szCs w:val="20"/>
        </w:rPr>
        <w:fldChar w:fldCharType="end"/>
      </w:r>
      <w:r w:rsidRPr="006D71C7">
        <w:rPr>
          <w:color w:val="auto"/>
          <w:sz w:val="20"/>
          <w:szCs w:val="20"/>
        </w:rPr>
        <w:t xml:space="preserve"> </w:t>
      </w:r>
      <w:r w:rsidRPr="006D71C7">
        <w:rPr>
          <w:b w:val="0"/>
          <w:i/>
          <w:color w:val="auto"/>
          <w:sz w:val="20"/>
          <w:szCs w:val="20"/>
        </w:rPr>
        <w:t>Rozkład projektów w podziale na powiaty</w:t>
      </w:r>
      <w:bookmarkEnd w:id="387"/>
      <w:bookmarkEnd w:id="388"/>
      <w:bookmarkEnd w:id="389"/>
      <w:bookmarkEnd w:id="390"/>
    </w:p>
    <w:p w:rsidR="00095118" w:rsidRPr="006D71C7" w:rsidRDefault="00095118" w:rsidP="006D71C7">
      <w:pPr>
        <w:pStyle w:val="Akapitzlist"/>
        <w:spacing w:before="120" w:after="120"/>
        <w:ind w:left="0"/>
        <w:jc w:val="both"/>
        <w:rPr>
          <w:b/>
          <w:bCs/>
          <w:i/>
          <w:szCs w:val="24"/>
        </w:rPr>
      </w:pPr>
      <w:r w:rsidRPr="006D71C7">
        <w:rPr>
          <w:b/>
          <w:bCs/>
          <w:i/>
          <w:szCs w:val="24"/>
        </w:rPr>
        <w:t>Analiza wskaźnikowa</w:t>
      </w:r>
    </w:p>
    <w:p w:rsidR="00095118" w:rsidRPr="006D71C7" w:rsidRDefault="00095118" w:rsidP="006D71C7">
      <w:pPr>
        <w:jc w:val="both"/>
        <w:rPr>
          <w:szCs w:val="24"/>
        </w:rPr>
      </w:pPr>
      <w:r w:rsidRPr="006D71C7">
        <w:rPr>
          <w:szCs w:val="24"/>
        </w:rPr>
        <w:t xml:space="preserve">Realizacja wskaźników programowych w ramach priorytetu III jest na średnim poziomie, chociaż w porównaniu z poprzednim okresem sprawozdawczym widzimy znaczny postęp. Biorąc pod uwagę szacowaną realizację obraz realizacji wskaźników wygląda zdecydowanie lepiej. W szczególności dot. to wskaźników </w:t>
      </w:r>
      <w:r w:rsidRPr="006D71C7">
        <w:rPr>
          <w:i/>
          <w:szCs w:val="24"/>
        </w:rPr>
        <w:t xml:space="preserve">Liczba projektów z zakresu turystyki </w:t>
      </w:r>
      <w:r w:rsidRPr="006D71C7">
        <w:rPr>
          <w:szCs w:val="24"/>
        </w:rPr>
        <w:t xml:space="preserve">czy </w:t>
      </w:r>
      <w:r w:rsidRPr="006D71C7">
        <w:rPr>
          <w:i/>
          <w:szCs w:val="24"/>
        </w:rPr>
        <w:t xml:space="preserve">Liczba turystów korzystających z infrastruktury turystyki objętej wsparciem w ramach programu, </w:t>
      </w:r>
      <w:r w:rsidRPr="006D71C7">
        <w:rPr>
          <w:szCs w:val="24"/>
        </w:rPr>
        <w:t xml:space="preserve">których wartości docelowe z pewnością zostaną osiągnięte. </w:t>
      </w:r>
    </w:p>
    <w:p w:rsidR="00095118" w:rsidRPr="006D71C7" w:rsidRDefault="00095118" w:rsidP="006D71C7">
      <w:pPr>
        <w:jc w:val="both"/>
        <w:rPr>
          <w:szCs w:val="24"/>
        </w:rPr>
      </w:pPr>
      <w:r w:rsidRPr="006D71C7">
        <w:rPr>
          <w:szCs w:val="24"/>
        </w:rPr>
        <w:t xml:space="preserve">Problematycznym wskaźnikiem jest wskaźnik rezultatu </w:t>
      </w:r>
      <w:r w:rsidRPr="006D71C7">
        <w:rPr>
          <w:i/>
          <w:szCs w:val="24"/>
        </w:rPr>
        <w:t xml:space="preserve">Przychody z infrastruktury turystyki objętej wsparciem w ramach programu, </w:t>
      </w:r>
      <w:r w:rsidRPr="006D71C7">
        <w:rPr>
          <w:szCs w:val="24"/>
        </w:rPr>
        <w:t>którego wartość na koniec 2011 roku podana na podstawie jednego zakończonego projektu, wynosiła zaledwie 169 494 EUR. Ponieważ oszacowanie realizacji wskaźnika jest praktycznie niemożliwe</w:t>
      </w:r>
      <w:r w:rsidR="006170C5" w:rsidRPr="006D71C7">
        <w:rPr>
          <w:szCs w:val="24"/>
        </w:rPr>
        <w:t>, wskaźnik nie został ujęty</w:t>
      </w:r>
      <w:r w:rsidRPr="006D71C7">
        <w:rPr>
          <w:szCs w:val="24"/>
        </w:rPr>
        <w:t xml:space="preserve"> w</w:t>
      </w:r>
      <w:r w:rsidR="006170C5" w:rsidRPr="006D71C7">
        <w:rPr>
          <w:szCs w:val="24"/>
        </w:rPr>
        <w:t> </w:t>
      </w:r>
      <w:r w:rsidRPr="006D71C7">
        <w:rPr>
          <w:szCs w:val="24"/>
        </w:rPr>
        <w:t xml:space="preserve">tabelach. Powodem zaistniałej sytuacji jest sposób jego monitorowania. Źródłem danych </w:t>
      </w:r>
      <w:r w:rsidR="006170C5" w:rsidRPr="006D71C7">
        <w:rPr>
          <w:szCs w:val="24"/>
        </w:rPr>
        <w:t>są oświadczenia dołączane do wniosków o płatność końcową, w których beneficjenci zostają zobligowani do przekazania stosownych informacji rok po zakończeniu projektu</w:t>
      </w:r>
      <w:r w:rsidRPr="006D71C7">
        <w:rPr>
          <w:szCs w:val="24"/>
        </w:rPr>
        <w:t xml:space="preserve">. </w:t>
      </w:r>
    </w:p>
    <w:p w:rsidR="00095118" w:rsidRDefault="00095118" w:rsidP="006D71C7">
      <w:pPr>
        <w:jc w:val="both"/>
      </w:pPr>
      <w:r w:rsidRPr="006D71C7">
        <w:t xml:space="preserve">Odnosząc się do analizy SWOT zawartej w </w:t>
      </w:r>
      <w:r w:rsidRPr="006D71C7">
        <w:rPr>
          <w:i/>
        </w:rPr>
        <w:t xml:space="preserve">Programie </w:t>
      </w:r>
      <w:r w:rsidRPr="006D71C7">
        <w:t xml:space="preserve">w priorytecie III realizacja wszystkich wskaźników stanowi odpowiedź na zdefiniowaną słabą stronę </w:t>
      </w:r>
      <w:r w:rsidR="00B16256" w:rsidRPr="006D71C7">
        <w:t>dot.</w:t>
      </w:r>
      <w:r w:rsidRPr="006D71C7">
        <w:t xml:space="preserve"> ubog</w:t>
      </w:r>
      <w:r w:rsidR="00B16256" w:rsidRPr="006D71C7">
        <w:t>iej</w:t>
      </w:r>
      <w:r w:rsidRPr="006D71C7">
        <w:t xml:space="preserve"> infrastruktur</w:t>
      </w:r>
      <w:r w:rsidR="00B16256" w:rsidRPr="006D71C7">
        <w:t>y</w:t>
      </w:r>
      <w:r w:rsidRPr="006D71C7">
        <w:t xml:space="preserve"> turystyczn</w:t>
      </w:r>
      <w:r w:rsidR="00B16256" w:rsidRPr="006D71C7">
        <w:t>ej</w:t>
      </w:r>
      <w:r w:rsidRPr="006D71C7">
        <w:t>.</w:t>
      </w:r>
    </w:p>
    <w:p w:rsidR="006E4456" w:rsidRPr="003030BD" w:rsidRDefault="006E4456" w:rsidP="00C74054">
      <w:pPr>
        <w:autoSpaceDE w:val="0"/>
        <w:autoSpaceDN w:val="0"/>
        <w:adjustRightInd w:val="0"/>
        <w:spacing w:after="120"/>
        <w:jc w:val="both"/>
        <w:rPr>
          <w:iCs/>
        </w:rPr>
      </w:pPr>
      <w:r>
        <w:rPr>
          <w:iCs/>
        </w:rPr>
        <w:t xml:space="preserve">Realizacja wskaźnika </w:t>
      </w:r>
      <w:r w:rsidRPr="00CE21FB">
        <w:rPr>
          <w:i/>
          <w:iCs/>
        </w:rPr>
        <w:t>Liczba bezpośrednio</w:t>
      </w:r>
      <w:r>
        <w:rPr>
          <w:iCs/>
        </w:rPr>
        <w:t xml:space="preserve"> </w:t>
      </w:r>
      <w:r>
        <w:rPr>
          <w:i/>
          <w:iCs/>
        </w:rPr>
        <w:t>utworzonych nowych</w:t>
      </w:r>
      <w:r w:rsidRPr="00D3287B">
        <w:rPr>
          <w:i/>
          <w:iCs/>
        </w:rPr>
        <w:t xml:space="preserve"> miejsca pracy </w:t>
      </w:r>
      <w:r>
        <w:rPr>
          <w:i/>
          <w:iCs/>
        </w:rPr>
        <w:t xml:space="preserve">(EPC) </w:t>
      </w:r>
      <w:r>
        <w:rPr>
          <w:iCs/>
        </w:rPr>
        <w:t xml:space="preserve">w podziale na kobiety i mężczyzn w omawianym priorytecie wskazuje na większą liczbę utworzonych miejsc prac dla kobiet (67 dla mężczyzn, a dla kobiet 106 nowych etatów). </w:t>
      </w:r>
      <w:r w:rsidRPr="0003480C">
        <w:rPr>
          <w:rFonts w:eastAsia="Calibri"/>
          <w:szCs w:val="24"/>
        </w:rPr>
        <w:t>Równość szans kobiet i mężczyzn jest w</w:t>
      </w:r>
      <w:r>
        <w:rPr>
          <w:rFonts w:eastAsia="Calibri"/>
          <w:szCs w:val="24"/>
        </w:rPr>
        <w:t>ażnym</w:t>
      </w:r>
      <w:r w:rsidRPr="0003480C">
        <w:rPr>
          <w:rFonts w:eastAsia="Calibri"/>
          <w:szCs w:val="24"/>
        </w:rPr>
        <w:t xml:space="preserve"> elementem szerszej kwestii równości szans, której przestrzeganie stanowi jedn</w:t>
      </w:r>
      <w:r>
        <w:rPr>
          <w:rFonts w:eastAsia="Calibri"/>
          <w:szCs w:val="24"/>
        </w:rPr>
        <w:t>ą z </w:t>
      </w:r>
      <w:r w:rsidRPr="0003480C">
        <w:rPr>
          <w:rFonts w:eastAsia="Calibri"/>
          <w:szCs w:val="24"/>
        </w:rPr>
        <w:t>podstawowych zasad</w:t>
      </w:r>
      <w:r>
        <w:rPr>
          <w:rFonts w:eastAsia="Calibri"/>
          <w:szCs w:val="24"/>
        </w:rPr>
        <w:t xml:space="preserve"> RPO WSL. Przy programowaniu zostały założone podwskaźniki: miejsca pracy w podziale na płeć na równym poziomie, beneficjenci składając wnioski o dofinansowanie nie deklarują kogo zatrudnią, gdyż zostałaby zaburzona omawiana zasada, każdy ma mieć równy dostęp do zatrudnienia. Analizując omawiany wskaźnik w podziale na priorytety można zaobserwować, że w jednych zatrudnionych zostało więcej kobiet w innych mężczyzn. </w:t>
      </w:r>
      <w:r w:rsidRPr="00DE3312">
        <w:rPr>
          <w:iCs/>
        </w:rPr>
        <w:t>IZ RPO WSL przyjęła odpowiednie kryteria wyboru projektów do dofinansowania dot. polityk horyzontalnych (ok</w:t>
      </w:r>
      <w:r w:rsidRPr="00DE3312">
        <w:t>reślenie stopnia realizacji polityki równych szans, polityki ochrony środowiska, wpływ projektu na utworzenie nowych miejsc pracy</w:t>
      </w:r>
      <w:r>
        <w:t>). P</w:t>
      </w:r>
      <w:r w:rsidRPr="00DE3312">
        <w:t>rojekt mający pozytywny wpływ na realizacje poszczególnych polityk horyzontalnych otrzymuje dodatkowe punkty w trakcie przeprowadzanej oceny merytoryczno-technicznej, co</w:t>
      </w:r>
      <w:r>
        <w:t xml:space="preserve"> </w:t>
      </w:r>
      <w:r w:rsidRPr="00DE3312">
        <w:t>w</w:t>
      </w:r>
      <w:r>
        <w:t xml:space="preserve"> </w:t>
      </w:r>
      <w:r w:rsidRPr="00DE3312">
        <w:t>konsekwencji zwiększa jego szansę na otrzymanie dofinansowania</w:t>
      </w:r>
      <w:r>
        <w:t>.</w:t>
      </w:r>
    </w:p>
    <w:p w:rsidR="00DA4248" w:rsidRDefault="00095118" w:rsidP="006D71C7">
      <w:pPr>
        <w:jc w:val="both"/>
        <w:rPr>
          <w:i/>
          <w:szCs w:val="24"/>
        </w:rPr>
      </w:pPr>
      <w:r w:rsidRPr="006D71C7">
        <w:rPr>
          <w:szCs w:val="24"/>
        </w:rPr>
        <w:t xml:space="preserve">W ramach </w:t>
      </w:r>
      <w:r w:rsidRPr="006D71C7">
        <w:rPr>
          <w:i/>
          <w:szCs w:val="24"/>
        </w:rPr>
        <w:t xml:space="preserve">Priorytetu III </w:t>
      </w:r>
      <w:r w:rsidRPr="006D71C7">
        <w:rPr>
          <w:szCs w:val="24"/>
        </w:rPr>
        <w:t xml:space="preserve">realizowany </w:t>
      </w:r>
      <w:r w:rsidR="00DA4248">
        <w:rPr>
          <w:szCs w:val="24"/>
        </w:rPr>
        <w:t>są</w:t>
      </w:r>
      <w:r w:rsidR="00DA4248" w:rsidRPr="006D71C7">
        <w:rPr>
          <w:szCs w:val="24"/>
        </w:rPr>
        <w:t xml:space="preserve"> </w:t>
      </w:r>
      <w:r w:rsidRPr="006D71C7">
        <w:rPr>
          <w:szCs w:val="24"/>
        </w:rPr>
        <w:t>wskaźnik</w:t>
      </w:r>
      <w:r w:rsidR="00DA4248">
        <w:rPr>
          <w:szCs w:val="24"/>
        </w:rPr>
        <w:t>i</w:t>
      </w:r>
      <w:r w:rsidRPr="006D71C7">
        <w:rPr>
          <w:szCs w:val="24"/>
        </w:rPr>
        <w:t xml:space="preserve"> KE (</w:t>
      </w:r>
      <w:r w:rsidRPr="006D71C7">
        <w:rPr>
          <w:i/>
          <w:szCs w:val="24"/>
        </w:rPr>
        <w:t xml:space="preserve">Core Indicators) </w:t>
      </w:r>
    </w:p>
    <w:p w:rsidR="00095118" w:rsidRDefault="00095118" w:rsidP="00BA2FE7">
      <w:pPr>
        <w:pStyle w:val="Akapitzlist"/>
        <w:numPr>
          <w:ilvl w:val="0"/>
          <w:numId w:val="109"/>
        </w:numPr>
        <w:jc w:val="both"/>
        <w:rPr>
          <w:i/>
          <w:szCs w:val="24"/>
        </w:rPr>
      </w:pPr>
      <w:r w:rsidRPr="00DA4248">
        <w:rPr>
          <w:i/>
          <w:szCs w:val="24"/>
        </w:rPr>
        <w:t>Liczba projektów z zakresu turystyki.</w:t>
      </w:r>
    </w:p>
    <w:p w:rsidR="00DA4248" w:rsidRPr="00DA4248" w:rsidRDefault="00DA4248" w:rsidP="00BA2FE7">
      <w:pPr>
        <w:pStyle w:val="Akapitzlist"/>
        <w:numPr>
          <w:ilvl w:val="0"/>
          <w:numId w:val="109"/>
        </w:numPr>
        <w:rPr>
          <w:i/>
        </w:rPr>
      </w:pPr>
      <w:r w:rsidRPr="00DA4248">
        <w:rPr>
          <w:i/>
        </w:rPr>
        <w:t>Liczba bezpośrednio utworzonych nowych miejsc pracy (EPC)w tym:</w:t>
      </w:r>
    </w:p>
    <w:p w:rsidR="00DA4248" w:rsidRPr="00DA4248" w:rsidRDefault="00DA4248" w:rsidP="00BA2FE7">
      <w:pPr>
        <w:pStyle w:val="Akapitzlist"/>
        <w:numPr>
          <w:ilvl w:val="0"/>
          <w:numId w:val="110"/>
        </w:numPr>
        <w:ind w:left="993"/>
        <w:rPr>
          <w:i/>
        </w:rPr>
      </w:pPr>
      <w:r w:rsidRPr="00DA4248">
        <w:rPr>
          <w:i/>
        </w:rPr>
        <w:t>Kobiety</w:t>
      </w:r>
    </w:p>
    <w:p w:rsidR="00DA4248" w:rsidRPr="00DA4248" w:rsidRDefault="00DA4248" w:rsidP="00BA2FE7">
      <w:pPr>
        <w:pStyle w:val="Akapitzlist"/>
        <w:numPr>
          <w:ilvl w:val="0"/>
          <w:numId w:val="110"/>
        </w:numPr>
        <w:ind w:left="993"/>
        <w:rPr>
          <w:i/>
        </w:rPr>
      </w:pPr>
      <w:r w:rsidRPr="00DA4248">
        <w:rPr>
          <w:i/>
        </w:rPr>
        <w:t>Mężczyźni</w:t>
      </w:r>
      <w:r>
        <w:rPr>
          <w:i/>
        </w:rPr>
        <w:t>.</w:t>
      </w:r>
    </w:p>
    <w:p w:rsidR="00095118" w:rsidRPr="006D71C7" w:rsidRDefault="00095118" w:rsidP="006D71C7">
      <w:pPr>
        <w:jc w:val="both"/>
        <w:rPr>
          <w:i/>
          <w:szCs w:val="24"/>
        </w:rPr>
      </w:pPr>
      <w:r w:rsidRPr="006D71C7">
        <w:rPr>
          <w:szCs w:val="24"/>
        </w:rPr>
        <w:t xml:space="preserve">Podczas renegocjacji </w:t>
      </w:r>
      <w:r w:rsidRPr="006D71C7">
        <w:rPr>
          <w:i/>
          <w:szCs w:val="24"/>
        </w:rPr>
        <w:t>Programu</w:t>
      </w:r>
      <w:r w:rsidRPr="006D71C7">
        <w:rPr>
          <w:szCs w:val="24"/>
        </w:rPr>
        <w:t xml:space="preserve"> w ramach priorytetu III dokonano zmniejszenia wartości docelowej w 2015 roku wskaźnika </w:t>
      </w:r>
      <w:r w:rsidRPr="006D71C7">
        <w:rPr>
          <w:rFonts w:eastAsiaTheme="minorHAnsi"/>
          <w:i/>
          <w:szCs w:val="24"/>
          <w:lang w:eastAsia="en-US"/>
        </w:rPr>
        <w:t>Liczba bezpośrednio utworzonych nowych miejsc pracy (EPC)</w:t>
      </w:r>
      <w:r w:rsidRPr="006D71C7">
        <w:rPr>
          <w:rFonts w:eastAsiaTheme="minorHAnsi"/>
          <w:szCs w:val="24"/>
          <w:lang w:eastAsia="en-US"/>
        </w:rPr>
        <w:t xml:space="preserve"> z 1930 do 1737 (powodem zmiany wskaźnika jest ujednolicenie jego nazwy ze</w:t>
      </w:r>
      <w:r w:rsidR="00E626FF" w:rsidRPr="006D71C7">
        <w:rPr>
          <w:rFonts w:eastAsiaTheme="minorHAnsi"/>
          <w:szCs w:val="24"/>
          <w:lang w:eastAsia="en-US"/>
        </w:rPr>
        <w:t> </w:t>
      </w:r>
      <w:r w:rsidRPr="006D71C7">
        <w:rPr>
          <w:rFonts w:eastAsiaTheme="minorHAnsi"/>
          <w:szCs w:val="24"/>
          <w:lang w:eastAsia="en-US"/>
        </w:rPr>
        <w:t>wskaźnikiem kluczowym KSI (SIMIK 07-13)</w:t>
      </w:r>
      <w:r w:rsidR="00B16256" w:rsidRPr="006D71C7">
        <w:rPr>
          <w:rFonts w:eastAsiaTheme="minorHAnsi"/>
          <w:szCs w:val="24"/>
          <w:lang w:eastAsia="en-US"/>
        </w:rPr>
        <w:t>)</w:t>
      </w:r>
      <w:r w:rsidRPr="006D71C7">
        <w:rPr>
          <w:rFonts w:eastAsiaTheme="minorHAnsi"/>
          <w:szCs w:val="24"/>
          <w:lang w:eastAsia="en-US"/>
        </w:rPr>
        <w:t xml:space="preserve">. Ponadto na etapie szacowania wartości docelowych, zakładano, że wskaźnik </w:t>
      </w:r>
      <w:r w:rsidRPr="006D71C7">
        <w:rPr>
          <w:rFonts w:eastAsiaTheme="minorHAnsi"/>
          <w:i/>
          <w:szCs w:val="24"/>
          <w:lang w:eastAsia="en-US"/>
        </w:rPr>
        <w:t>Utworzone miejsca pracy brutto</w:t>
      </w:r>
      <w:r w:rsidRPr="006D71C7">
        <w:rPr>
          <w:rFonts w:eastAsiaTheme="minorHAnsi"/>
          <w:szCs w:val="24"/>
          <w:lang w:eastAsia="en-US"/>
        </w:rPr>
        <w:t xml:space="preserve"> miał równać się liczbie zatrudnionych osób. </w:t>
      </w:r>
      <w:r w:rsidR="00B87083" w:rsidRPr="006D71C7">
        <w:rPr>
          <w:rFonts w:eastAsiaTheme="minorHAnsi"/>
          <w:szCs w:val="24"/>
          <w:lang w:eastAsia="en-US"/>
        </w:rPr>
        <w:t xml:space="preserve">Wejście w życie </w:t>
      </w:r>
      <w:r w:rsidR="00B87083" w:rsidRPr="006D71C7">
        <w:rPr>
          <w:rFonts w:eastAsiaTheme="minorHAnsi"/>
          <w:i/>
          <w:szCs w:val="24"/>
          <w:lang w:eastAsia="en-US"/>
        </w:rPr>
        <w:t>wytycznych w zakresie warunków gromadzenia i</w:t>
      </w:r>
      <w:r w:rsidR="00E626FF" w:rsidRPr="006D71C7">
        <w:rPr>
          <w:rFonts w:eastAsiaTheme="minorHAnsi"/>
          <w:i/>
          <w:szCs w:val="24"/>
          <w:lang w:eastAsia="en-US"/>
        </w:rPr>
        <w:t> </w:t>
      </w:r>
      <w:r w:rsidR="00B87083" w:rsidRPr="006D71C7">
        <w:rPr>
          <w:rFonts w:eastAsiaTheme="minorHAnsi"/>
          <w:i/>
          <w:szCs w:val="24"/>
          <w:lang w:eastAsia="en-US"/>
        </w:rPr>
        <w:t>przekazywania danych w formie elektronicznej</w:t>
      </w:r>
      <w:r w:rsidR="00B87083" w:rsidRPr="006D71C7">
        <w:rPr>
          <w:rFonts w:eastAsiaTheme="minorHAnsi"/>
          <w:szCs w:val="24"/>
          <w:lang w:eastAsia="en-US"/>
        </w:rPr>
        <w:t>, które jednoznacznie mówią, iż liczbę miejsc pracy należy wykazywać w ekwiwalencie pełnego czasu pracy, okazało się sprzeczne z</w:t>
      </w:r>
      <w:r w:rsidR="00E626FF" w:rsidRPr="006D71C7">
        <w:rPr>
          <w:rFonts w:eastAsiaTheme="minorHAnsi"/>
          <w:szCs w:val="24"/>
          <w:lang w:eastAsia="en-US"/>
        </w:rPr>
        <w:t> </w:t>
      </w:r>
      <w:r w:rsidR="00B87083" w:rsidRPr="006D71C7">
        <w:rPr>
          <w:rFonts w:eastAsiaTheme="minorHAnsi"/>
          <w:szCs w:val="24"/>
          <w:lang w:eastAsia="en-US"/>
        </w:rPr>
        <w:t>pierwotnymi założeniami i wymusiło zmianę wartości docelowej</w:t>
      </w:r>
      <w:r w:rsidR="00D846E6" w:rsidRPr="006D71C7">
        <w:rPr>
          <w:rFonts w:eastAsiaTheme="minorHAnsi"/>
          <w:szCs w:val="24"/>
          <w:lang w:eastAsia="en-US"/>
        </w:rPr>
        <w:t>.</w:t>
      </w:r>
      <w:r w:rsidR="00B87083" w:rsidRPr="006D71C7">
        <w:rPr>
          <w:rFonts w:eastAsiaTheme="minorHAnsi"/>
          <w:szCs w:val="24"/>
          <w:lang w:eastAsia="en-US"/>
        </w:rPr>
        <w:t xml:space="preserve"> </w:t>
      </w:r>
      <w:r w:rsidRPr="006D71C7">
        <w:rPr>
          <w:rFonts w:eastAsiaTheme="minorHAnsi"/>
          <w:szCs w:val="24"/>
          <w:lang w:eastAsia="en-US"/>
        </w:rPr>
        <w:t>Problemem w agregacji tego wskaźnika jest to, iż ww. wytyczne stanowczo zabraniają zaokrąglania wartości których jednostką jest EPC do jednostek całkowitych.</w:t>
      </w:r>
    </w:p>
    <w:p w:rsidR="00DE2E63" w:rsidRPr="006D71C7" w:rsidRDefault="00DE2E63" w:rsidP="006D71C7">
      <w:pPr>
        <w:jc w:val="both"/>
        <w:rPr>
          <w:szCs w:val="24"/>
        </w:rPr>
      </w:pPr>
      <w:r w:rsidRPr="006D71C7">
        <w:rPr>
          <w:b/>
          <w:bCs/>
          <w:i/>
          <w:szCs w:val="24"/>
        </w:rPr>
        <w:t xml:space="preserve">Realizacja ewentualnych zaleceń i rekomendacji KE odnoszące się do </w:t>
      </w:r>
      <w:r w:rsidR="00D26040" w:rsidRPr="006D71C7">
        <w:rPr>
          <w:b/>
          <w:bCs/>
          <w:i/>
          <w:szCs w:val="24"/>
        </w:rPr>
        <w:t>priorytetu</w:t>
      </w:r>
      <w:r w:rsidRPr="006D71C7">
        <w:rPr>
          <w:b/>
          <w:bCs/>
          <w:i/>
          <w:szCs w:val="24"/>
        </w:rPr>
        <w:t>:</w:t>
      </w:r>
    </w:p>
    <w:p w:rsidR="00DE2E63" w:rsidRPr="006D71C7" w:rsidRDefault="00DE2E63" w:rsidP="006D71C7">
      <w:pPr>
        <w:pStyle w:val="Akapitzlist"/>
        <w:numPr>
          <w:ilvl w:val="0"/>
          <w:numId w:val="6"/>
        </w:numPr>
        <w:spacing w:after="120"/>
        <w:jc w:val="both"/>
        <w:rPr>
          <w:bCs/>
          <w:szCs w:val="24"/>
        </w:rPr>
      </w:pPr>
      <w:r w:rsidRPr="006D71C7">
        <w:rPr>
          <w:spacing w:val="-4"/>
          <w:szCs w:val="24"/>
        </w:rPr>
        <w:t>analiza ko</w:t>
      </w:r>
      <w:r w:rsidR="00095118" w:rsidRPr="006D71C7">
        <w:rPr>
          <w:spacing w:val="-4"/>
          <w:szCs w:val="24"/>
        </w:rPr>
        <w:t>ncentruje się wokół celu/celów p</w:t>
      </w:r>
      <w:r w:rsidRPr="006D71C7">
        <w:rPr>
          <w:spacing w:val="-4"/>
          <w:szCs w:val="24"/>
        </w:rPr>
        <w:t>riorytetu III,</w:t>
      </w:r>
    </w:p>
    <w:p w:rsidR="00D26040" w:rsidRPr="006D71C7" w:rsidRDefault="00D26040" w:rsidP="006D71C7">
      <w:pPr>
        <w:pStyle w:val="Akapitzlist"/>
        <w:numPr>
          <w:ilvl w:val="0"/>
          <w:numId w:val="6"/>
        </w:numPr>
        <w:spacing w:after="120"/>
        <w:jc w:val="both"/>
        <w:rPr>
          <w:bCs/>
          <w:szCs w:val="24"/>
        </w:rPr>
      </w:pPr>
      <w:r w:rsidRPr="006D71C7">
        <w:rPr>
          <w:spacing w:val="-4"/>
          <w:szCs w:val="24"/>
        </w:rPr>
        <w:t>większą uwagę skupiono na analizie jakościowej</w:t>
      </w:r>
      <w:r w:rsidR="006628BF" w:rsidRPr="006D71C7">
        <w:rPr>
          <w:spacing w:val="-4"/>
          <w:szCs w:val="24"/>
        </w:rPr>
        <w:t>.</w:t>
      </w:r>
    </w:p>
    <w:p w:rsidR="004D126F" w:rsidRPr="006D71C7" w:rsidRDefault="004218CA" w:rsidP="004218CA">
      <w:pPr>
        <w:spacing w:after="0" w:line="240" w:lineRule="auto"/>
        <w:rPr>
          <w:b/>
          <w:bCs/>
          <w:i/>
          <w:szCs w:val="24"/>
        </w:rPr>
      </w:pPr>
      <w:r>
        <w:rPr>
          <w:b/>
          <w:bCs/>
          <w:i/>
          <w:szCs w:val="24"/>
        </w:rPr>
        <w:br w:type="page"/>
      </w:r>
    </w:p>
    <w:p w:rsidR="00DE2E63" w:rsidRPr="006D71C7" w:rsidRDefault="00DE2E63" w:rsidP="006D71C7">
      <w:pPr>
        <w:pStyle w:val="Akapitzlist"/>
        <w:spacing w:before="120" w:after="240" w:line="360" w:lineRule="auto"/>
        <w:ind w:left="0"/>
        <w:jc w:val="both"/>
        <w:rPr>
          <w:b/>
          <w:bCs/>
          <w:i/>
          <w:szCs w:val="24"/>
        </w:rPr>
      </w:pPr>
      <w:r w:rsidRPr="006D71C7">
        <w:rPr>
          <w:b/>
          <w:bCs/>
          <w:i/>
          <w:szCs w:val="24"/>
        </w:rPr>
        <w:t>Rekomendacje IZ odnośnie do</w:t>
      </w:r>
      <w:r w:rsidR="005D6BA1" w:rsidRPr="006D71C7">
        <w:rPr>
          <w:b/>
          <w:bCs/>
          <w:i/>
          <w:szCs w:val="24"/>
        </w:rPr>
        <w:t xml:space="preserve"> dalszego przebiegu realizacji p</w:t>
      </w:r>
      <w:r w:rsidRPr="006D71C7">
        <w:rPr>
          <w:b/>
          <w:bCs/>
          <w:i/>
          <w:szCs w:val="24"/>
        </w:rPr>
        <w:t>riorytetu:</w:t>
      </w:r>
    </w:p>
    <w:p w:rsidR="009810FE" w:rsidRPr="006D71C7" w:rsidRDefault="004D126F" w:rsidP="006D71C7">
      <w:pPr>
        <w:pStyle w:val="Akapitzlist"/>
        <w:spacing w:before="120" w:after="240"/>
        <w:ind w:left="0"/>
        <w:jc w:val="both"/>
        <w:rPr>
          <w:rFonts w:eastAsia="Calibri"/>
          <w:szCs w:val="24"/>
        </w:rPr>
      </w:pPr>
      <w:r w:rsidRPr="006D71C7">
        <w:rPr>
          <w:rFonts w:eastAsia="Calibri"/>
          <w:szCs w:val="24"/>
        </w:rPr>
        <w:t xml:space="preserve">IZ RPO WSL na bieżąco monitoruje postęp wdrażania priorytetu III zarówno w zakresie postępu finansowego jak i rzeczowego. Biorąc pod uwagę projekty wybrane do dofinansowania, IZ RPO WSL uznaje że przekazane wsparcie w pełni realizuje cele, jakie zostały założone na etapie programowania uwzględniając wyniki diagnozy społeczno-gospodarczej ujętej w </w:t>
      </w:r>
      <w:r w:rsidRPr="006D71C7">
        <w:rPr>
          <w:rFonts w:eastAsia="Calibri"/>
          <w:i/>
          <w:szCs w:val="24"/>
        </w:rPr>
        <w:t>Programie.</w:t>
      </w:r>
      <w:r w:rsidR="00F641AC" w:rsidRPr="006D71C7">
        <w:rPr>
          <w:rFonts w:eastAsia="Calibri"/>
          <w:i/>
          <w:szCs w:val="24"/>
        </w:rPr>
        <w:t xml:space="preserve"> </w:t>
      </w:r>
      <w:r w:rsidR="007338BD" w:rsidRPr="006D71C7">
        <w:rPr>
          <w:rFonts w:eastAsia="Calibri"/>
          <w:szCs w:val="24"/>
        </w:rPr>
        <w:t xml:space="preserve">W kolejnym okresie sprawozdawczym </w:t>
      </w:r>
      <w:r w:rsidR="00F641AC" w:rsidRPr="006D71C7">
        <w:rPr>
          <w:rFonts w:eastAsia="Calibri"/>
          <w:szCs w:val="24"/>
        </w:rPr>
        <w:t>IZ</w:t>
      </w:r>
      <w:r w:rsidR="007338BD" w:rsidRPr="006D71C7">
        <w:rPr>
          <w:rFonts w:eastAsia="Calibri"/>
          <w:szCs w:val="24"/>
        </w:rPr>
        <w:t xml:space="preserve"> RPO WSL</w:t>
      </w:r>
      <w:r w:rsidR="00F641AC" w:rsidRPr="006D71C7">
        <w:rPr>
          <w:rFonts w:eastAsia="Calibri"/>
          <w:i/>
          <w:szCs w:val="24"/>
        </w:rPr>
        <w:t xml:space="preserve"> </w:t>
      </w:r>
      <w:r w:rsidR="007338BD" w:rsidRPr="006D71C7">
        <w:rPr>
          <w:rFonts w:eastAsia="Calibri"/>
          <w:szCs w:val="24"/>
        </w:rPr>
        <w:t>na</w:t>
      </w:r>
      <w:r w:rsidR="00F641AC" w:rsidRPr="006D71C7">
        <w:rPr>
          <w:rFonts w:eastAsia="Calibri"/>
          <w:szCs w:val="24"/>
        </w:rPr>
        <w:t> </w:t>
      </w:r>
      <w:r w:rsidR="007338BD" w:rsidRPr="006D71C7">
        <w:rPr>
          <w:rFonts w:eastAsia="Calibri"/>
          <w:szCs w:val="24"/>
        </w:rPr>
        <w:t>bieżąco będzie monitorować</w:t>
      </w:r>
      <w:r w:rsidR="00AF1772" w:rsidRPr="006D71C7">
        <w:rPr>
          <w:rFonts w:eastAsia="Calibri"/>
          <w:szCs w:val="24"/>
        </w:rPr>
        <w:t xml:space="preserve"> postęp rzeczowy i finansowy priorytetu w celu sprawnego i efektywnego wdrażania, na bieżąco będzie kontaktować się z beneficjentami. Ponadto IP2 RPO WSL przeprowadzi ostatni nabór w ramach przedmiotowego priorytetu. </w:t>
      </w:r>
    </w:p>
    <w:p w:rsidR="009214D1" w:rsidRPr="006D71C7" w:rsidRDefault="009214D1" w:rsidP="006D71C7">
      <w:pPr>
        <w:pStyle w:val="Akapitzlist"/>
        <w:spacing w:before="120" w:after="240"/>
        <w:ind w:left="0"/>
        <w:jc w:val="both"/>
        <w:rPr>
          <w:b/>
          <w:bCs/>
          <w:i/>
          <w:szCs w:val="24"/>
        </w:rPr>
      </w:pPr>
    </w:p>
    <w:p w:rsidR="009810FE" w:rsidRPr="006D71C7" w:rsidRDefault="009810FE" w:rsidP="006D71C7">
      <w:pPr>
        <w:pStyle w:val="Akapitzlist"/>
        <w:spacing w:before="120" w:after="120"/>
        <w:ind w:left="0"/>
        <w:jc w:val="both"/>
        <w:rPr>
          <w:b/>
          <w:bCs/>
          <w:i/>
          <w:szCs w:val="24"/>
        </w:rPr>
      </w:pPr>
      <w:r w:rsidRPr="006D71C7">
        <w:rPr>
          <w:b/>
          <w:bCs/>
          <w:i/>
          <w:szCs w:val="24"/>
        </w:rPr>
        <w:t xml:space="preserve">Analiza </w:t>
      </w:r>
      <w:r w:rsidR="00C94277" w:rsidRPr="006D71C7">
        <w:rPr>
          <w:b/>
          <w:bCs/>
          <w:i/>
          <w:szCs w:val="24"/>
        </w:rPr>
        <w:t>jakościowa</w:t>
      </w:r>
    </w:p>
    <w:p w:rsidR="00203FB5" w:rsidRPr="006D71C7" w:rsidRDefault="009810FE" w:rsidP="006D71C7">
      <w:pPr>
        <w:autoSpaceDE w:val="0"/>
        <w:autoSpaceDN w:val="0"/>
        <w:adjustRightInd w:val="0"/>
        <w:spacing w:after="120"/>
        <w:jc w:val="both"/>
        <w:rPr>
          <w:rFonts w:eastAsia="Calibri"/>
          <w:szCs w:val="24"/>
        </w:rPr>
      </w:pPr>
      <w:bookmarkStart w:id="391" w:name="_Toc262031920"/>
      <w:bookmarkStart w:id="392" w:name="_Toc292789293"/>
      <w:bookmarkStart w:id="393" w:name="_Toc292793588"/>
      <w:r w:rsidRPr="006D71C7">
        <w:rPr>
          <w:rFonts w:eastAsia="Calibri"/>
          <w:szCs w:val="24"/>
        </w:rPr>
        <w:t>Na obszarze województwa śląskiego występują sprzyjające warunki (walory i atrakcje oraz infrastruktura) do rozwoju turystyki. Jednakże, aby spełnić oczekiwania rynków turystyczny</w:t>
      </w:r>
      <w:r w:rsidR="00BA2A35" w:rsidRPr="006D71C7">
        <w:rPr>
          <w:rFonts w:eastAsia="Calibri"/>
          <w:szCs w:val="24"/>
        </w:rPr>
        <w:t>ch, należy dokonać wielu działań</w:t>
      </w:r>
      <w:r w:rsidRPr="006D71C7">
        <w:rPr>
          <w:rFonts w:eastAsia="Calibri"/>
          <w:szCs w:val="24"/>
        </w:rPr>
        <w:t>. Realizowane w ramach przedmiotowego priorytetu projekty są odpowiedzią na zdiagnozowane słabe strony województwa</w:t>
      </w:r>
      <w:r w:rsidR="00FE4A26" w:rsidRPr="006D71C7">
        <w:rPr>
          <w:rFonts w:eastAsia="Calibri"/>
          <w:szCs w:val="24"/>
        </w:rPr>
        <w:t xml:space="preserve"> w </w:t>
      </w:r>
      <w:r w:rsidRPr="006D71C7">
        <w:rPr>
          <w:rFonts w:eastAsia="Calibri"/>
          <w:szCs w:val="24"/>
        </w:rPr>
        <w:t>odniesieniu do infrastr</w:t>
      </w:r>
      <w:r w:rsidR="00D846E6" w:rsidRPr="006D71C7">
        <w:rPr>
          <w:rFonts w:eastAsia="Calibri"/>
          <w:szCs w:val="24"/>
        </w:rPr>
        <w:t>uktury turystycznej i przyczyniają</w:t>
      </w:r>
      <w:r w:rsidRPr="006D71C7">
        <w:rPr>
          <w:rFonts w:eastAsia="Calibri"/>
          <w:szCs w:val="24"/>
        </w:rPr>
        <w:t xml:space="preserve"> się do poprawy sytuacji w tym</w:t>
      </w:r>
      <w:r w:rsidR="00FE4A26" w:rsidRPr="006D71C7">
        <w:rPr>
          <w:rFonts w:eastAsia="Calibri"/>
          <w:szCs w:val="24"/>
        </w:rPr>
        <w:t xml:space="preserve"> </w:t>
      </w:r>
      <w:r w:rsidRPr="006D71C7">
        <w:rPr>
          <w:rFonts w:eastAsia="Calibri"/>
          <w:szCs w:val="24"/>
        </w:rPr>
        <w:t>obszarze.</w:t>
      </w:r>
      <w:r w:rsidR="00D846E6" w:rsidRPr="006D71C7">
        <w:rPr>
          <w:rFonts w:eastAsia="Calibri"/>
          <w:szCs w:val="24"/>
        </w:rPr>
        <w:t xml:space="preserve"> Inwestycje wpływają</w:t>
      </w:r>
      <w:r w:rsidR="00FE4A26" w:rsidRPr="006D71C7">
        <w:rPr>
          <w:rFonts w:eastAsia="Calibri"/>
          <w:szCs w:val="24"/>
        </w:rPr>
        <w:t xml:space="preserve"> na powstanie kompleksowej usługi turystycznej począwszy od</w:t>
      </w:r>
      <w:r w:rsidR="00E626FF" w:rsidRPr="006D71C7">
        <w:rPr>
          <w:rFonts w:eastAsia="Calibri"/>
          <w:szCs w:val="24"/>
        </w:rPr>
        <w:t> </w:t>
      </w:r>
      <w:r w:rsidR="00FE4A26" w:rsidRPr="006D71C7">
        <w:rPr>
          <w:rFonts w:eastAsia="Calibri"/>
          <w:szCs w:val="24"/>
        </w:rPr>
        <w:t xml:space="preserve">rozbudowanej i nowoczesnej informacji, a kończąc na hotelach, centrach rekreacyjno-sportowych oraz kompleksach restauracyjno - konferencyjnych zlokalizowanych na terenach o szczególnych walorach turystycznych. </w:t>
      </w:r>
      <w:r w:rsidR="00203FB5" w:rsidRPr="006D71C7">
        <w:rPr>
          <w:rFonts w:eastAsia="Calibri"/>
          <w:szCs w:val="24"/>
        </w:rPr>
        <w:t>Realizowane p</w:t>
      </w:r>
      <w:r w:rsidR="00FE4A26" w:rsidRPr="006D71C7">
        <w:rPr>
          <w:rFonts w:eastAsia="Calibri"/>
          <w:szCs w:val="24"/>
        </w:rPr>
        <w:t xml:space="preserve">rojekty </w:t>
      </w:r>
      <w:r w:rsidR="00203FB5" w:rsidRPr="006D71C7">
        <w:rPr>
          <w:rFonts w:eastAsia="Calibri"/>
          <w:szCs w:val="24"/>
        </w:rPr>
        <w:t>przyczynią się do </w:t>
      </w:r>
      <w:r w:rsidR="00FE4A26" w:rsidRPr="006D71C7">
        <w:rPr>
          <w:rFonts w:eastAsia="Calibri"/>
          <w:szCs w:val="24"/>
        </w:rPr>
        <w:t xml:space="preserve">podniesienia standardu świadczonych usług, a tym samym </w:t>
      </w:r>
      <w:r w:rsidR="00D846E6" w:rsidRPr="006D71C7">
        <w:rPr>
          <w:rFonts w:eastAsia="Calibri"/>
          <w:szCs w:val="24"/>
        </w:rPr>
        <w:t>zapewniają</w:t>
      </w:r>
      <w:r w:rsidR="00203FB5" w:rsidRPr="006D71C7">
        <w:rPr>
          <w:rFonts w:eastAsia="Calibri"/>
          <w:szCs w:val="24"/>
        </w:rPr>
        <w:t xml:space="preserve"> wzrost atrakcyjności i </w:t>
      </w:r>
      <w:r w:rsidR="00FE4A26" w:rsidRPr="006D71C7">
        <w:rPr>
          <w:rFonts w:eastAsia="Calibri"/>
          <w:szCs w:val="24"/>
        </w:rPr>
        <w:t>konkurencyjności województwa. W konsekwencji poprawa jakości oferowanych usług wpłynie na przyciągnięcie turystów nie tylko z regionu, ale również spoza niego.</w:t>
      </w:r>
      <w:r w:rsidR="000A5F27" w:rsidRPr="006D71C7">
        <w:rPr>
          <w:rFonts w:eastAsia="Calibri"/>
          <w:szCs w:val="24"/>
        </w:rPr>
        <w:t xml:space="preserve"> </w:t>
      </w:r>
    </w:p>
    <w:p w:rsidR="000356F8" w:rsidRPr="006D71C7" w:rsidRDefault="000356F8" w:rsidP="006D71C7">
      <w:pPr>
        <w:autoSpaceDE w:val="0"/>
        <w:autoSpaceDN w:val="0"/>
        <w:adjustRightInd w:val="0"/>
        <w:spacing w:after="120"/>
        <w:jc w:val="both"/>
        <w:rPr>
          <w:rFonts w:eastAsia="Calibri"/>
          <w:szCs w:val="24"/>
        </w:rPr>
      </w:pPr>
      <w:r w:rsidRPr="006D71C7">
        <w:rPr>
          <w:rFonts w:eastAsia="Calibri"/>
          <w:szCs w:val="24"/>
        </w:rPr>
        <w:t>Analizując rozkład przestrzenny województwa</w:t>
      </w:r>
      <w:r w:rsidR="00203FB5" w:rsidRPr="006D71C7">
        <w:rPr>
          <w:rFonts w:eastAsia="Calibri"/>
          <w:szCs w:val="24"/>
        </w:rPr>
        <w:t xml:space="preserve"> można wyróżnić</w:t>
      </w:r>
      <w:r w:rsidRPr="006D71C7">
        <w:rPr>
          <w:rFonts w:eastAsia="Calibri"/>
          <w:szCs w:val="24"/>
        </w:rPr>
        <w:t xml:space="preserve"> kilka pod</w:t>
      </w:r>
      <w:r w:rsidR="00203FB5" w:rsidRPr="006D71C7">
        <w:rPr>
          <w:rFonts w:eastAsia="Calibri"/>
          <w:szCs w:val="24"/>
        </w:rPr>
        <w:t>regionów specjalizujących się w </w:t>
      </w:r>
      <w:r w:rsidRPr="006D71C7">
        <w:rPr>
          <w:rFonts w:eastAsia="Calibri"/>
          <w:szCs w:val="24"/>
        </w:rPr>
        <w:t xml:space="preserve">różnych typach turystyki. Obszar północny województwa wykazuje koncentrację turystyki religijnej i pielgrzymkowej, oferując dodatkowo również uzupełniające atrakcje turystyczne związane z miastem Częstochową - jej kulturą, historią i zabytkami techniki. W ramach RPO WSL realizowany jest m.in. projekt </w:t>
      </w:r>
      <w:r w:rsidRPr="006D71C7">
        <w:rPr>
          <w:i/>
        </w:rPr>
        <w:t>Drogi Maryjne na Jasną Górę w Częstochowie</w:t>
      </w:r>
      <w:r w:rsidRPr="006D71C7">
        <w:rPr>
          <w:rFonts w:eastAsia="Calibri"/>
          <w:szCs w:val="24"/>
        </w:rPr>
        <w:t xml:space="preserve">, którego celem jest zinwentaryzowanie istniejących szlaków pielgrzymkowych </w:t>
      </w:r>
      <w:r w:rsidR="002A0906" w:rsidRPr="006D71C7">
        <w:rPr>
          <w:rFonts w:eastAsia="Calibri"/>
          <w:szCs w:val="24"/>
        </w:rPr>
        <w:t xml:space="preserve">wiodących </w:t>
      </w:r>
      <w:r w:rsidR="00203FB5" w:rsidRPr="006D71C7">
        <w:rPr>
          <w:rFonts w:eastAsia="Calibri"/>
          <w:szCs w:val="24"/>
        </w:rPr>
        <w:t xml:space="preserve">z </w:t>
      </w:r>
      <w:r w:rsidR="002A0906" w:rsidRPr="006D71C7">
        <w:rPr>
          <w:rFonts w:eastAsia="Calibri"/>
          <w:szCs w:val="24"/>
        </w:rPr>
        <w:t>terenu całej Polski na Jasną Górę w Częstochowie.</w:t>
      </w:r>
      <w:r w:rsidRPr="006D71C7">
        <w:rPr>
          <w:rFonts w:eastAsia="Calibri"/>
          <w:szCs w:val="24"/>
        </w:rPr>
        <w:t xml:space="preserve"> Region północno-wschodni obejmuje bardzo atrakcyjny turystycznie obszar Wyżyny Krakowsko-Częstochowskiej. Rozwija się tam przede wszystkim turystyka aktywna i specjalistyczna</w:t>
      </w:r>
      <w:r w:rsidR="002A0906" w:rsidRPr="006D71C7">
        <w:rPr>
          <w:rFonts w:eastAsia="Calibri"/>
          <w:szCs w:val="24"/>
        </w:rPr>
        <w:t xml:space="preserve"> (realizowany projekt z </w:t>
      </w:r>
      <w:r w:rsidR="002A0906" w:rsidRPr="006D71C7">
        <w:rPr>
          <w:rFonts w:eastAsia="Calibri"/>
          <w:i/>
          <w:szCs w:val="24"/>
        </w:rPr>
        <w:t>Programu</w:t>
      </w:r>
      <w:r w:rsidR="002A0906" w:rsidRPr="006D71C7">
        <w:rPr>
          <w:rFonts w:eastAsia="Calibri"/>
          <w:szCs w:val="24"/>
        </w:rPr>
        <w:t xml:space="preserve"> to m.in. </w:t>
      </w:r>
      <w:r w:rsidR="002A0906" w:rsidRPr="006D71C7">
        <w:rPr>
          <w:i/>
        </w:rPr>
        <w:t>Sieć tras rowerowych dla centralnej części Jury Krakowsko-Częstochowskiej w gminie Ogrodzieniec).</w:t>
      </w:r>
      <w:r w:rsidR="002A0906" w:rsidRPr="006D71C7">
        <w:t xml:space="preserve"> </w:t>
      </w:r>
      <w:r w:rsidRPr="006D71C7">
        <w:rPr>
          <w:rFonts w:eastAsia="Calibri"/>
          <w:szCs w:val="24"/>
        </w:rPr>
        <w:t xml:space="preserve">Centrum </w:t>
      </w:r>
      <w:r w:rsidR="002A0906" w:rsidRPr="006D71C7">
        <w:rPr>
          <w:rFonts w:eastAsia="Calibri"/>
          <w:szCs w:val="24"/>
        </w:rPr>
        <w:t>województwa</w:t>
      </w:r>
      <w:r w:rsidRPr="006D71C7">
        <w:rPr>
          <w:rFonts w:eastAsia="Calibri"/>
          <w:szCs w:val="24"/>
        </w:rPr>
        <w:t xml:space="preserve"> śląskiego czyli rejon Aglomeracji Górnośląskiej jest wybitnie</w:t>
      </w:r>
      <w:r w:rsidR="002A0906" w:rsidRPr="006D71C7">
        <w:rPr>
          <w:rFonts w:eastAsia="Calibri"/>
          <w:szCs w:val="24"/>
        </w:rPr>
        <w:t xml:space="preserve"> </w:t>
      </w:r>
      <w:r w:rsidRPr="006D71C7">
        <w:rPr>
          <w:rFonts w:eastAsia="Calibri"/>
          <w:szCs w:val="24"/>
        </w:rPr>
        <w:t xml:space="preserve">predysponowany do rozwoju turystyki biznesowej i turystyki </w:t>
      </w:r>
      <w:r w:rsidR="00B16256" w:rsidRPr="006D71C7">
        <w:rPr>
          <w:rFonts w:eastAsia="Calibri"/>
          <w:szCs w:val="24"/>
        </w:rPr>
        <w:t>po</w:t>
      </w:r>
      <w:r w:rsidRPr="006D71C7">
        <w:rPr>
          <w:rFonts w:eastAsia="Calibri"/>
          <w:szCs w:val="24"/>
        </w:rPr>
        <w:t>przemysłowej</w:t>
      </w:r>
      <w:r w:rsidR="002A0906" w:rsidRPr="006D71C7">
        <w:rPr>
          <w:rFonts w:eastAsia="Calibri"/>
          <w:szCs w:val="24"/>
        </w:rPr>
        <w:t xml:space="preserve"> </w:t>
      </w:r>
      <w:r w:rsidRPr="006D71C7">
        <w:rPr>
          <w:rFonts w:eastAsia="Calibri"/>
          <w:szCs w:val="24"/>
        </w:rPr>
        <w:t>(indywidualnej).</w:t>
      </w:r>
      <w:r w:rsidR="002A0906" w:rsidRPr="006D71C7">
        <w:rPr>
          <w:rFonts w:eastAsia="Calibri"/>
          <w:szCs w:val="24"/>
        </w:rPr>
        <w:t xml:space="preserve"> Realizowane projekty z RPO WSL to</w:t>
      </w:r>
      <w:r w:rsidR="00203FB5" w:rsidRPr="006D71C7">
        <w:rPr>
          <w:rFonts w:eastAsia="Calibri"/>
          <w:szCs w:val="24"/>
        </w:rPr>
        <w:t> </w:t>
      </w:r>
      <w:r w:rsidR="002A0906" w:rsidRPr="006D71C7">
        <w:rPr>
          <w:rFonts w:eastAsia="Calibri"/>
          <w:szCs w:val="24"/>
        </w:rPr>
        <w:t>m.in.</w:t>
      </w:r>
      <w:r w:rsidR="002A0906" w:rsidRPr="006D71C7">
        <w:t xml:space="preserve"> </w:t>
      </w:r>
      <w:hyperlink r:id="rId92" w:tgtFrame="_blank" w:history="1">
        <w:r w:rsidR="002A0906" w:rsidRPr="006D71C7">
          <w:rPr>
            <w:rStyle w:val="Hipercze"/>
            <w:i/>
            <w:color w:val="auto"/>
            <w:u w:val="none"/>
          </w:rPr>
          <w:t>Przeprowadzenie kampanii promocyjnej produktu turystyki biznesowej Katowic- II etap</w:t>
        </w:r>
      </w:hyperlink>
      <w:r w:rsidR="002A0906" w:rsidRPr="006D71C7">
        <w:rPr>
          <w:i/>
        </w:rPr>
        <w:t xml:space="preserve">, </w:t>
      </w:r>
      <w:r w:rsidR="002A0906" w:rsidRPr="006D71C7">
        <w:t xml:space="preserve">którego celem jest kontynuacja kampanii promocyjnej produktu turystyki biznesowej, która </w:t>
      </w:r>
      <w:r w:rsidR="00D97AE2" w:rsidRPr="006D71C7">
        <w:t>wzmacnia</w:t>
      </w:r>
      <w:r w:rsidR="002A0906" w:rsidRPr="006D71C7">
        <w:t xml:space="preserve"> Katowice i województwo śląskie jako miejsca spotkań wiążących</w:t>
      </w:r>
      <w:r w:rsidR="00203FB5" w:rsidRPr="006D71C7">
        <w:t xml:space="preserve"> się z </w:t>
      </w:r>
      <w:r w:rsidR="002A0906" w:rsidRPr="006D71C7">
        <w:t xml:space="preserve">rozwojem turystyki </w:t>
      </w:r>
      <w:r w:rsidR="00203FB5" w:rsidRPr="006D71C7">
        <w:t>biznesowej,</w:t>
      </w:r>
      <w:r w:rsidR="002A0906" w:rsidRPr="006D71C7">
        <w:t xml:space="preserve"> </w:t>
      </w:r>
      <w:r w:rsidR="00203FB5" w:rsidRPr="006D71C7">
        <w:t>p</w:t>
      </w:r>
      <w:r w:rsidR="002A0906" w:rsidRPr="006D71C7">
        <w:t xml:space="preserve">onadto wdrażany jest projekt </w:t>
      </w:r>
      <w:hyperlink r:id="rId93" w:tgtFrame="_blank" w:history="1">
        <w:r w:rsidR="002A0906" w:rsidRPr="006D71C7">
          <w:rPr>
            <w:rStyle w:val="Hipercze"/>
            <w:i/>
            <w:color w:val="auto"/>
            <w:u w:val="none"/>
          </w:rPr>
          <w:t>Zabrze - Kopalnia możliwości - promocja oferty turystycznej miasta</w:t>
        </w:r>
      </w:hyperlink>
      <w:r w:rsidR="002A0906" w:rsidRPr="006D71C7">
        <w:t xml:space="preserve">, którego celem jest wykreowanie silnej marki Zabrza jako ośrodka turystyki poprzemysłowej w oparciu o markowe produkty turystyczne, tj. Skansen Górniczy „Królowa Luiza”, Zabytkową Kopalnię Węgla Kamiennego „Guido” oraz projekt „Europejski Ośrodek Kultury Technicznej i Turystyki Poprzemysłowej. </w:t>
      </w:r>
    </w:p>
    <w:p w:rsidR="000A5F27" w:rsidRPr="006D71C7" w:rsidRDefault="000A5F27" w:rsidP="006D71C7">
      <w:pPr>
        <w:autoSpaceDE w:val="0"/>
        <w:autoSpaceDN w:val="0"/>
        <w:adjustRightInd w:val="0"/>
        <w:spacing w:after="0"/>
        <w:jc w:val="both"/>
        <w:rPr>
          <w:rFonts w:eastAsia="Calibri"/>
          <w:szCs w:val="24"/>
        </w:rPr>
      </w:pPr>
      <w:r w:rsidRPr="006D71C7">
        <w:rPr>
          <w:rFonts w:eastAsia="Calibri"/>
          <w:szCs w:val="24"/>
        </w:rPr>
        <w:t xml:space="preserve">W ramach przedmiotowego priorytetu bardzo duże zainteresowanie realizacją projektów przejawiali przedsiębiorcy. Projekty wdrażane były głównie w branży „hotele i restauracje” (ok. 72% projektów). </w:t>
      </w:r>
      <w:r w:rsidR="00B54FE9" w:rsidRPr="006D71C7">
        <w:rPr>
          <w:rFonts w:eastAsia="Calibri"/>
          <w:szCs w:val="24"/>
        </w:rPr>
        <w:t>Realizowane projekty w większości przypadków miały skalę regionalną (50%).</w:t>
      </w:r>
      <w:r w:rsidR="00930A81" w:rsidRPr="006D71C7">
        <w:rPr>
          <w:rFonts w:eastAsia="Calibri"/>
          <w:szCs w:val="24"/>
        </w:rPr>
        <w:t xml:space="preserve"> Dzięki realizacji projektów turystycznych przedsiębiorcy wprowadzili na rynek nowe usługi, rzadziej produkty.</w:t>
      </w:r>
    </w:p>
    <w:p w:rsidR="00020049" w:rsidRPr="006D71C7" w:rsidRDefault="00930A81" w:rsidP="006D71C7">
      <w:pPr>
        <w:autoSpaceDE w:val="0"/>
        <w:autoSpaceDN w:val="0"/>
        <w:adjustRightInd w:val="0"/>
        <w:spacing w:after="0"/>
        <w:jc w:val="both"/>
      </w:pPr>
      <w:r w:rsidRPr="006D71C7">
        <w:rPr>
          <w:rFonts w:eastAsia="Calibri"/>
          <w:szCs w:val="24"/>
        </w:rPr>
        <w:t>Podsumowując</w:t>
      </w:r>
      <w:r w:rsidR="00B16256" w:rsidRPr="006D71C7">
        <w:rPr>
          <w:rFonts w:eastAsia="Calibri"/>
          <w:szCs w:val="24"/>
        </w:rPr>
        <w:t>:</w:t>
      </w:r>
      <w:r w:rsidRPr="006D71C7">
        <w:rPr>
          <w:rFonts w:eastAsia="Calibri"/>
          <w:szCs w:val="24"/>
        </w:rPr>
        <w:t xml:space="preserve"> </w:t>
      </w:r>
      <w:r w:rsidR="00B16256" w:rsidRPr="006D71C7">
        <w:rPr>
          <w:rFonts w:eastAsia="Calibri"/>
          <w:szCs w:val="24"/>
        </w:rPr>
        <w:t xml:space="preserve">województwo w pełni korzysta z </w:t>
      </w:r>
      <w:r w:rsidRPr="006D71C7">
        <w:rPr>
          <w:rFonts w:eastAsia="Calibri"/>
          <w:szCs w:val="24"/>
        </w:rPr>
        <w:t xml:space="preserve">możliwość uzyskania środków unijnych </w:t>
      </w:r>
      <w:r w:rsidR="00203FB5" w:rsidRPr="006D71C7">
        <w:rPr>
          <w:rFonts w:eastAsia="Calibri"/>
          <w:szCs w:val="24"/>
        </w:rPr>
        <w:t>z</w:t>
      </w:r>
      <w:r w:rsidR="00E626FF" w:rsidRPr="006D71C7">
        <w:rPr>
          <w:rFonts w:eastAsia="Calibri"/>
          <w:szCs w:val="24"/>
        </w:rPr>
        <w:t> </w:t>
      </w:r>
      <w:r w:rsidR="00203FB5" w:rsidRPr="006D71C7">
        <w:rPr>
          <w:rFonts w:eastAsia="Calibri"/>
          <w:szCs w:val="24"/>
        </w:rPr>
        <w:t>zakresu</w:t>
      </w:r>
      <w:r w:rsidRPr="006D71C7">
        <w:rPr>
          <w:rFonts w:eastAsia="Calibri"/>
          <w:szCs w:val="24"/>
        </w:rPr>
        <w:t xml:space="preserve"> </w:t>
      </w:r>
      <w:r w:rsidR="00B16256" w:rsidRPr="006D71C7">
        <w:rPr>
          <w:rFonts w:eastAsia="Calibri"/>
          <w:szCs w:val="24"/>
        </w:rPr>
        <w:t xml:space="preserve">szeroko rozumianej </w:t>
      </w:r>
      <w:r w:rsidRPr="006D71C7">
        <w:rPr>
          <w:rFonts w:eastAsia="Calibri"/>
          <w:szCs w:val="24"/>
        </w:rPr>
        <w:t>turystyki</w:t>
      </w:r>
      <w:r w:rsidR="00020049" w:rsidRPr="006D71C7">
        <w:rPr>
          <w:rFonts w:eastAsia="Calibri"/>
          <w:szCs w:val="24"/>
        </w:rPr>
        <w:t xml:space="preserve">. </w:t>
      </w:r>
      <w:r w:rsidR="00B16256" w:rsidRPr="006D71C7">
        <w:rPr>
          <w:rFonts w:eastAsia="Calibri"/>
          <w:szCs w:val="24"/>
        </w:rPr>
        <w:t xml:space="preserve">Stereotypowo </w:t>
      </w:r>
      <w:r w:rsidR="00B16256" w:rsidRPr="006D71C7">
        <w:rPr>
          <w:szCs w:val="24"/>
        </w:rPr>
        <w:t>p</w:t>
      </w:r>
      <w:r w:rsidRPr="006D71C7">
        <w:rPr>
          <w:szCs w:val="24"/>
        </w:rPr>
        <w:t>atrząc przez</w:t>
      </w:r>
      <w:r w:rsidRPr="006D71C7">
        <w:t xml:space="preserve"> pryzmat przemysłu, można odnieść wrażenie, że niewiele jest </w:t>
      </w:r>
      <w:r w:rsidR="00020049" w:rsidRPr="006D71C7">
        <w:t xml:space="preserve">w województwie </w:t>
      </w:r>
      <w:r w:rsidR="00203FB5" w:rsidRPr="006D71C7">
        <w:t>do </w:t>
      </w:r>
      <w:r w:rsidRPr="006D71C7">
        <w:t xml:space="preserve">obejrzenia czy zwiedzania. Nic bardziej mylnego. Wiele miast powstało na długo przed rewolucją przemysłową i </w:t>
      </w:r>
      <w:r w:rsidR="00B16256" w:rsidRPr="006D71C7">
        <w:t xml:space="preserve">rozwijają się </w:t>
      </w:r>
      <w:r w:rsidRPr="006D71C7">
        <w:t xml:space="preserve">nieprzerwanie od wieków. </w:t>
      </w:r>
      <w:r w:rsidR="00B16256" w:rsidRPr="006D71C7">
        <w:t>Zróżnicowana oferta turystyczna przekłada się na w</w:t>
      </w:r>
      <w:r w:rsidR="00020049" w:rsidRPr="006D71C7">
        <w:t>zrost popularności regionu. To efekt m.in. możliwości skorzystania z dodatkowych środków unijnych</w:t>
      </w:r>
      <w:r w:rsidR="00203FB5" w:rsidRPr="006D71C7">
        <w:t>, które są sprawnie wykorzystywane</w:t>
      </w:r>
      <w:r w:rsidR="00B16256" w:rsidRPr="006D71C7">
        <w:t>,</w:t>
      </w:r>
      <w:r w:rsidR="00203FB5" w:rsidRPr="006D71C7">
        <w:t xml:space="preserve"> a ich efekty coraz </w:t>
      </w:r>
      <w:r w:rsidR="00B16256" w:rsidRPr="006D71C7">
        <w:t xml:space="preserve">bardziej </w:t>
      </w:r>
      <w:r w:rsidR="00203FB5" w:rsidRPr="006D71C7">
        <w:t>widoczne</w:t>
      </w:r>
      <w:r w:rsidR="00020049" w:rsidRPr="006D71C7">
        <w:t xml:space="preserve">. </w:t>
      </w:r>
    </w:p>
    <w:p w:rsidR="00E07EB5" w:rsidRDefault="00C94277" w:rsidP="006D71C7">
      <w:pPr>
        <w:spacing w:after="0"/>
        <w:jc w:val="both"/>
        <w:rPr>
          <w:szCs w:val="24"/>
        </w:rPr>
      </w:pPr>
      <w:r w:rsidRPr="006D71C7">
        <w:rPr>
          <w:noProof/>
        </w:rPr>
        <w:drawing>
          <wp:anchor distT="0" distB="0" distL="114300" distR="114300" simplePos="0" relativeHeight="251760128" behindDoc="0" locked="0" layoutInCell="1" allowOverlap="1">
            <wp:simplePos x="0" y="0"/>
            <wp:positionH relativeFrom="margin">
              <wp:posOffset>-52070</wp:posOffset>
            </wp:positionH>
            <wp:positionV relativeFrom="margin">
              <wp:posOffset>7169150</wp:posOffset>
            </wp:positionV>
            <wp:extent cx="2574925" cy="1796415"/>
            <wp:effectExtent l="19050" t="0" r="0" b="0"/>
            <wp:wrapSquare wrapText="bothSides"/>
            <wp:docPr id="43" name="zdj1" descr="http://rpo.slaskie.pl/zalaczniki/2012/02/22/1329913551.jpg">
              <a:hlinkClick xmlns:a="http://schemas.openxmlformats.org/drawingml/2006/main" r:id="rId9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2/02/22/1329913551.jpg">
                      <a:hlinkClick r:id="rId94" tooltip="&quot;&quot;"/>
                    </pic:cNvPr>
                    <pic:cNvPicPr>
                      <a:picLocks noChangeAspect="1" noChangeArrowheads="1"/>
                    </pic:cNvPicPr>
                  </pic:nvPicPr>
                  <pic:blipFill>
                    <a:blip r:embed="rId95" cstate="print"/>
                    <a:srcRect/>
                    <a:stretch>
                      <a:fillRect/>
                    </a:stretch>
                  </pic:blipFill>
                  <pic:spPr bwMode="auto">
                    <a:xfrm>
                      <a:off x="0" y="0"/>
                      <a:ext cx="2574925" cy="1796415"/>
                    </a:xfrm>
                    <a:prstGeom prst="rect">
                      <a:avLst/>
                    </a:prstGeom>
                    <a:noFill/>
                    <a:ln w="9525">
                      <a:noFill/>
                      <a:miter lim="800000"/>
                      <a:headEnd/>
                      <a:tailEnd/>
                    </a:ln>
                  </pic:spPr>
                </pic:pic>
              </a:graphicData>
            </a:graphic>
          </wp:anchor>
        </w:drawing>
      </w:r>
      <w:r w:rsidR="00E07EB5" w:rsidRPr="006D71C7">
        <w:t>Na uwagę zasługuje projekt</w:t>
      </w:r>
      <w:r w:rsidR="00E07EB5" w:rsidRPr="006D71C7">
        <w:rPr>
          <w:i/>
          <w:szCs w:val="24"/>
        </w:rPr>
        <w:t xml:space="preserve"> </w:t>
      </w:r>
      <w:r w:rsidR="00E07EB5" w:rsidRPr="006D71C7">
        <w:rPr>
          <w:b/>
          <w:i/>
          <w:szCs w:val="24"/>
        </w:rPr>
        <w:t xml:space="preserve">Rozwój infrastruktury aktywnych form turystyki i rekreacji na terenie gmin Będzin, Siewierz, Sławków i Dąbrowa Górnicza - Centrum Sportów Letnich i Wodnych POGORIA – Etap I. </w:t>
      </w:r>
      <w:r w:rsidR="00E07EB5" w:rsidRPr="006D71C7">
        <w:rPr>
          <w:szCs w:val="24"/>
        </w:rPr>
        <w:t xml:space="preserve">Dąbrowa Górnicza ze względu na </w:t>
      </w:r>
      <w:r w:rsidR="00E07EB5" w:rsidRPr="006D71C7">
        <w:rPr>
          <w:bCs/>
          <w:szCs w:val="24"/>
        </w:rPr>
        <w:t>doskonałe położenie geograficzne</w:t>
      </w:r>
      <w:r w:rsidR="00E07EB5" w:rsidRPr="006D71C7">
        <w:rPr>
          <w:szCs w:val="24"/>
        </w:rPr>
        <w:t xml:space="preserve"> – z jednej strony na obrzeżu Aglomeracji Śląskiej, a z drugiej strony w sąsiedztwie urokliwej Jury Krakowsko-Częstochowskiej – stanowi idealne miejsce wypoczynku mieszkańców regionu. Przedmiotem projektu </w:t>
      </w:r>
      <w:r w:rsidR="00E07EB5" w:rsidRPr="006D71C7">
        <w:rPr>
          <w:i/>
          <w:szCs w:val="24"/>
        </w:rPr>
        <w:t>Rozwój infrastruktury aktywnych form turystyki i rekreacji na terenie gmin Będzin, Siewierz, Sławków i Dąbrowa Górnicza – Centrum Sportów Letnich i Wodnych Pogoria –</w:t>
      </w:r>
      <w:r w:rsidR="00B16256" w:rsidRPr="006D71C7">
        <w:rPr>
          <w:i/>
          <w:szCs w:val="24"/>
        </w:rPr>
        <w:t xml:space="preserve"> </w:t>
      </w:r>
      <w:r w:rsidR="00E07EB5" w:rsidRPr="006D71C7">
        <w:rPr>
          <w:szCs w:val="24"/>
        </w:rPr>
        <w:t>była rozbudowa infrastruktury rekreacyjnej wokół zbiornika Pogoria III</w:t>
      </w:r>
      <w:r w:rsidR="00CC739E" w:rsidRPr="006D71C7">
        <w:rPr>
          <w:szCs w:val="24"/>
        </w:rPr>
        <w:t xml:space="preserve">, </w:t>
      </w:r>
      <w:r w:rsidR="00E07EB5" w:rsidRPr="006D71C7">
        <w:rPr>
          <w:szCs w:val="24"/>
        </w:rPr>
        <w:t>Parku Zielona w Dąbrowie Górniczej oraz systemu ścieżek rowerowych łączących Dąbrowę z sąsiednimi miastami.</w:t>
      </w:r>
      <w:r w:rsidRPr="006D71C7">
        <w:rPr>
          <w:noProof/>
          <w:szCs w:val="24"/>
        </w:rPr>
        <w:t xml:space="preserve"> </w:t>
      </w:r>
      <w:r w:rsidR="00E07EB5" w:rsidRPr="006D71C7">
        <w:rPr>
          <w:szCs w:val="24"/>
        </w:rPr>
        <w:t>Celem projektu było stworzenie w Zagłębiu regionalnych produktów turystycznych w postaci Centrum Sportów Letnich i Wodnych „Pogoria” w Dąbrowie Górniczej oraz tras rowerowych łączących Dąbrowę z atrakcjami turystycznymi sąsiednich miast – Będzina, Siewierza i Sławkowa</w:t>
      </w:r>
      <w:r w:rsidR="003D6481" w:rsidRPr="006D71C7">
        <w:rPr>
          <w:szCs w:val="24"/>
        </w:rPr>
        <w:t xml:space="preserve">. </w:t>
      </w:r>
      <w:r w:rsidR="00E07EB5" w:rsidRPr="006D71C7">
        <w:rPr>
          <w:szCs w:val="24"/>
        </w:rPr>
        <w:t>Kluczowym elementem projektu było powstanie w Dąbrowie Górniczej Centrum Sportów Letnich i</w:t>
      </w:r>
      <w:r w:rsidR="003D6481" w:rsidRPr="006D71C7">
        <w:rPr>
          <w:szCs w:val="24"/>
        </w:rPr>
        <w:t> </w:t>
      </w:r>
      <w:r w:rsidR="00E07EB5" w:rsidRPr="006D71C7">
        <w:rPr>
          <w:szCs w:val="24"/>
        </w:rPr>
        <w:t>Wodnych Pogoria – w Parku „Zielona” oraz przy jeziorze Pogoria III. Znajdujące się tu do tej pory obiekty były przestarzałe i nie spełniały swojej funkcji oraz oczekiwań mieszkańców. Obiekt znajdujący się w Parku Zielona został poddany kapitalnemu remontowi, dzięki czemu główny budynek zyskał dodatkowe pomieszczenia oraz został przystosowany do potrzeb osób niepełnosprawnych. W obiekcie znajduje się hangar na łodzie oraz sanitariaty publiczne. Budynek zaopatrzono w kanalizację wraz z biologiczną oczyszczalnią ścieków. Powstały tutaj także profesjonalne boiska do siatkówki plażowej wraz z systemem odwodnienia i oświetleniem oraz skatepark, ścianka wspinaczkowe i zadaszone grillowisko. Zupełnie nowy wygląd zyskało Centrum Sportów Letnich i Wodnych Pogoria nad zbiornikiem Pogoria III. W ramach projektu powstała tutaj przystań, w której stacjonować będą w okresie letnim jednostki Straży Miejskiej, Policji oraz WOPR czuwające nad bezpieczeństwem osób wypoczywających nad wodą. Przystań wyposażona jest w hangar oraz magazyny połączone slipem z jeziorem. Plażowicze będą mogli skorzystać z natrysków przy plaży oraz sanitariatów publicznych. Podobnie jak w Parku Zielona powstało tu zadaszone grillowisko oraz wielofunkcyjne boisko o nawierzchni syntetycznej i boiska do siatkówki plażowej. Nad Pogorią zmienił się również wygląd okolicy plaży, gdzie powstałą promenada spacerowa z wytyczoną dodatkową ścieżką rowerową. Powstało tutaj także reprezentacyjne molo o długości 56 metrów, zakończone wieżą widokową. Sama plaża uległa poszerzeniu i wymieniony został piasek. Przy deptaku w</w:t>
      </w:r>
      <w:r w:rsidR="009214D1" w:rsidRPr="006D71C7">
        <w:rPr>
          <w:szCs w:val="24"/>
        </w:rPr>
        <w:t> </w:t>
      </w:r>
      <w:r w:rsidR="00E07EB5" w:rsidRPr="006D71C7">
        <w:rPr>
          <w:szCs w:val="24"/>
        </w:rPr>
        <w:t>okolicy Centrum Sportów Letnich powstał plac zabaw dla dzieci oraz plac centralny z</w:t>
      </w:r>
      <w:r w:rsidR="009214D1" w:rsidRPr="006D71C7">
        <w:rPr>
          <w:szCs w:val="24"/>
        </w:rPr>
        <w:t> </w:t>
      </w:r>
      <w:r w:rsidR="00E07EB5" w:rsidRPr="006D71C7">
        <w:rPr>
          <w:szCs w:val="24"/>
        </w:rPr>
        <w:t>amfiteatrem i drewnianą pergolą. Nowe ścieżki rowerowe, rozchodzą się gwieździście znad brzegu Pogorii III w kierunku Będzina, Siewierza i Sławkowa. Korzystając z nich, można dojechać bezpośrednio do najatrakcyjniejszych punktów sąsiednich miast: zamku w Będzinie, ruin zamku w Siewierzu oraz Starego Rynku w Sławkowie. Na trasach rowerowych spotkamy także 3 miejsca odpoczynkowe wokół Pogorii III oraz 4 miejsca postojowe i 2 miejsca widokowe przy ścieżce w Sławkowie. W Siewierzu, w sąsiedztwie zamku, powstał zespół kortów tenisowych, bieżnia lekkoatletyczna, skatepark oraz nowoczesny plac zabaw.</w:t>
      </w:r>
    </w:p>
    <w:p w:rsidR="0060162D" w:rsidRDefault="0060162D" w:rsidP="006D71C7">
      <w:pPr>
        <w:spacing w:after="0"/>
        <w:jc w:val="both"/>
        <w:rPr>
          <w:szCs w:val="24"/>
        </w:rPr>
      </w:pPr>
    </w:p>
    <w:p w:rsidR="00020049" w:rsidRPr="006D71C7" w:rsidRDefault="0060162D" w:rsidP="006D71C7">
      <w:pPr>
        <w:autoSpaceDE w:val="0"/>
        <w:autoSpaceDN w:val="0"/>
        <w:adjustRightInd w:val="0"/>
        <w:spacing w:after="0"/>
        <w:jc w:val="both"/>
      </w:pPr>
      <w:r>
        <w:rPr>
          <w:szCs w:val="24"/>
        </w:rPr>
        <w:t xml:space="preserve">W ramach przedmiotowego obszaru tj. turystyka na terenie województwa śląskiego realizowane są także projekty w ramach jednego krajowego programu operacyjnego. Szczegółowe informacje zostały przedstawione w pkt. 2.1.6.2 niniejszego </w:t>
      </w:r>
      <w:r w:rsidRPr="0060162D">
        <w:rPr>
          <w:i/>
          <w:szCs w:val="24"/>
        </w:rPr>
        <w:t>Sprawozdania</w:t>
      </w:r>
      <w:r>
        <w:rPr>
          <w:i/>
          <w:szCs w:val="24"/>
        </w:rPr>
        <w:t>.</w:t>
      </w:r>
    </w:p>
    <w:p w:rsidR="0005410E" w:rsidRPr="006D71C7" w:rsidRDefault="0005410E" w:rsidP="00BA2FE7">
      <w:pPr>
        <w:pStyle w:val="Nagwek1"/>
        <w:numPr>
          <w:ilvl w:val="2"/>
          <w:numId w:val="63"/>
        </w:numPr>
        <w:tabs>
          <w:tab w:val="left" w:pos="1560"/>
        </w:tabs>
        <w:spacing w:before="120" w:after="120"/>
        <w:jc w:val="both"/>
        <w:rPr>
          <w:szCs w:val="24"/>
        </w:rPr>
      </w:pPr>
      <w:bookmarkStart w:id="394" w:name="_Toc324853909"/>
      <w:bookmarkStart w:id="395" w:name="_Toc327259261"/>
      <w:r w:rsidRPr="006D71C7">
        <w:rPr>
          <w:szCs w:val="24"/>
        </w:rPr>
        <w:t>Opis istotnych problemów we wdrażaniu wraz z podjętymi środkami zaradczymi</w:t>
      </w:r>
      <w:bookmarkEnd w:id="391"/>
      <w:bookmarkEnd w:id="392"/>
      <w:bookmarkEnd w:id="393"/>
      <w:bookmarkEnd w:id="394"/>
      <w:bookmarkEnd w:id="395"/>
    </w:p>
    <w:p w:rsidR="006170C5" w:rsidRPr="006D71C7" w:rsidRDefault="0005410E" w:rsidP="006D71C7">
      <w:pPr>
        <w:pStyle w:val="Akapitzlist"/>
        <w:widowControl w:val="0"/>
        <w:autoSpaceDE w:val="0"/>
        <w:autoSpaceDN w:val="0"/>
        <w:adjustRightInd w:val="0"/>
        <w:spacing w:after="0"/>
        <w:ind w:left="0" w:right="-23"/>
        <w:jc w:val="both"/>
        <w:rPr>
          <w:bCs/>
          <w:szCs w:val="24"/>
        </w:rPr>
      </w:pPr>
      <w:r w:rsidRPr="006D71C7">
        <w:rPr>
          <w:bCs/>
          <w:szCs w:val="24"/>
        </w:rPr>
        <w:t>W okresie sprawozdawczym nie pojawiły się problemy z wdrażaniem przedmiotowego priorytetu RPO WSL.</w:t>
      </w:r>
    </w:p>
    <w:p w:rsidR="00245F70" w:rsidRPr="006D71C7" w:rsidRDefault="00245F70" w:rsidP="006D71C7">
      <w:pPr>
        <w:pStyle w:val="Akapitzlist"/>
        <w:widowControl w:val="0"/>
        <w:autoSpaceDE w:val="0"/>
        <w:autoSpaceDN w:val="0"/>
        <w:adjustRightInd w:val="0"/>
        <w:spacing w:after="0"/>
        <w:ind w:left="0" w:right="-23"/>
        <w:jc w:val="both"/>
        <w:rPr>
          <w:bCs/>
          <w:szCs w:val="24"/>
        </w:rPr>
      </w:pPr>
    </w:p>
    <w:p w:rsidR="0005410E" w:rsidRPr="006D71C7" w:rsidRDefault="0005410E" w:rsidP="00BA2FE7">
      <w:pPr>
        <w:pStyle w:val="Nagwek1"/>
        <w:numPr>
          <w:ilvl w:val="1"/>
          <w:numId w:val="63"/>
        </w:numPr>
        <w:pBdr>
          <w:top w:val="single" w:sz="24" w:space="1" w:color="DE6A5C" w:themeColor="accent2" w:themeTint="99"/>
          <w:left w:val="single" w:sz="24" w:space="4" w:color="DE6A5C" w:themeColor="accent2" w:themeTint="99"/>
          <w:bottom w:val="single" w:sz="24" w:space="1" w:color="DE6A5C" w:themeColor="accent2" w:themeTint="99"/>
          <w:right w:val="single" w:sz="24" w:space="4" w:color="DE6A5C" w:themeColor="accent2" w:themeTint="99"/>
        </w:pBdr>
        <w:tabs>
          <w:tab w:val="left" w:pos="1560"/>
        </w:tabs>
        <w:spacing w:before="120" w:after="120"/>
        <w:jc w:val="both"/>
        <w:rPr>
          <w:bCs w:val="0"/>
          <w:szCs w:val="24"/>
        </w:rPr>
      </w:pPr>
      <w:bookmarkStart w:id="396" w:name="_Toc262031921"/>
      <w:bookmarkStart w:id="397" w:name="_Toc292789294"/>
      <w:bookmarkStart w:id="398" w:name="_Toc292793589"/>
      <w:bookmarkStart w:id="399" w:name="_Toc327259262"/>
      <w:r w:rsidRPr="006D71C7">
        <w:rPr>
          <w:bCs w:val="0"/>
          <w:szCs w:val="24"/>
        </w:rPr>
        <w:t>Priorytet IV – Kultura</w:t>
      </w:r>
      <w:bookmarkEnd w:id="396"/>
      <w:bookmarkEnd w:id="397"/>
      <w:bookmarkEnd w:id="398"/>
      <w:bookmarkEnd w:id="399"/>
    </w:p>
    <w:p w:rsidR="004A2760" w:rsidRPr="006D71C7" w:rsidRDefault="004A2760" w:rsidP="00BA2FE7">
      <w:pPr>
        <w:pStyle w:val="Nagwek1"/>
        <w:numPr>
          <w:ilvl w:val="2"/>
          <w:numId w:val="63"/>
        </w:numPr>
        <w:tabs>
          <w:tab w:val="left" w:pos="851"/>
        </w:tabs>
        <w:spacing w:before="120" w:after="120"/>
        <w:jc w:val="both"/>
      </w:pPr>
      <w:bookmarkStart w:id="400" w:name="_Toc292793590"/>
      <w:bookmarkStart w:id="401" w:name="_Toc324853911"/>
      <w:bookmarkStart w:id="402" w:name="_Toc327259263"/>
      <w:r w:rsidRPr="006D71C7">
        <w:t>Osiągnięcie celów i analiza postępów</w:t>
      </w:r>
      <w:bookmarkEnd w:id="400"/>
      <w:bookmarkEnd w:id="401"/>
      <w:bookmarkEnd w:id="402"/>
    </w:p>
    <w:p w:rsidR="0049026B" w:rsidRPr="006D71C7" w:rsidRDefault="0066614A" w:rsidP="00BA2FE7">
      <w:pPr>
        <w:pStyle w:val="Nagwek1"/>
        <w:numPr>
          <w:ilvl w:val="3"/>
          <w:numId w:val="63"/>
        </w:numPr>
        <w:tabs>
          <w:tab w:val="left" w:pos="851"/>
        </w:tabs>
        <w:spacing w:before="120" w:after="120"/>
        <w:jc w:val="both"/>
        <w:rPr>
          <w:szCs w:val="24"/>
        </w:rPr>
      </w:pPr>
      <w:bookmarkStart w:id="403" w:name="_Toc292789295"/>
      <w:bookmarkStart w:id="404" w:name="_Toc292793591"/>
      <w:bookmarkStart w:id="405" w:name="_Toc292888973"/>
      <w:bookmarkStart w:id="406" w:name="_Toc324853912"/>
      <w:bookmarkStart w:id="407" w:name="_Toc327259264"/>
      <w:r w:rsidRPr="006D71C7">
        <w:rPr>
          <w:szCs w:val="24"/>
        </w:rPr>
        <w:t>Informacja</w:t>
      </w:r>
      <w:r w:rsidR="0049026B" w:rsidRPr="006D71C7">
        <w:rPr>
          <w:szCs w:val="24"/>
        </w:rPr>
        <w:t xml:space="preserve"> na temat fizycznych i finansowych postępów priorytetu</w:t>
      </w:r>
      <w:bookmarkEnd w:id="403"/>
      <w:bookmarkEnd w:id="404"/>
      <w:bookmarkEnd w:id="405"/>
      <w:bookmarkEnd w:id="406"/>
      <w:bookmarkEnd w:id="407"/>
    </w:p>
    <w:p w:rsidR="008D7B59" w:rsidRPr="006D71C7" w:rsidRDefault="0066614A" w:rsidP="006D71C7">
      <w:pPr>
        <w:pStyle w:val="Nagwek2"/>
        <w:numPr>
          <w:ilvl w:val="0"/>
          <w:numId w:val="0"/>
        </w:numPr>
        <w:spacing w:before="0" w:beforeAutospacing="0" w:after="120" w:afterAutospacing="0" w:line="276" w:lineRule="auto"/>
        <w:jc w:val="both"/>
        <w:rPr>
          <w:b w:val="0"/>
          <w:sz w:val="24"/>
          <w:szCs w:val="24"/>
        </w:rPr>
      </w:pPr>
      <w:bookmarkStart w:id="408" w:name="_Toc292789296"/>
      <w:bookmarkStart w:id="409" w:name="_Toc292793592"/>
      <w:bookmarkStart w:id="410" w:name="_Toc292888974"/>
      <w:bookmarkStart w:id="411" w:name="_Toc324786856"/>
      <w:bookmarkStart w:id="412" w:name="_Toc324853913"/>
      <w:bookmarkStart w:id="413" w:name="_Toc327259265"/>
      <w:r w:rsidRPr="006D71C7">
        <w:rPr>
          <w:b w:val="0"/>
          <w:sz w:val="24"/>
          <w:szCs w:val="24"/>
        </w:rPr>
        <w:t>W załącznik</w:t>
      </w:r>
      <w:r w:rsidR="00B87083"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dla priorytetu IV, dla kolejnych lat w ujęciu kumulatywnym. Przedstawione informacje prezentowane są według stanu na koniec 2011 roku oparte na danych dotyczących operacji zakończonych. Określone zostały wartości docelowe dla 2010, 2013 i 2015 roku oraz zaprezentowano szacowaną wartość na podstawie podpisanych umów o dofinansowanie. Przedstawiono także wskaźniki przedmiotowego priorytetu w podziale na działania i poddziałania.</w:t>
      </w:r>
      <w:bookmarkEnd w:id="408"/>
      <w:bookmarkEnd w:id="409"/>
      <w:bookmarkEnd w:id="410"/>
      <w:bookmarkEnd w:id="411"/>
      <w:bookmarkEnd w:id="412"/>
      <w:bookmarkEnd w:id="413"/>
    </w:p>
    <w:p w:rsidR="0049026B" w:rsidRPr="006D71C7" w:rsidRDefault="0066614A" w:rsidP="00BA2FE7">
      <w:pPr>
        <w:pStyle w:val="Nagwek1"/>
        <w:numPr>
          <w:ilvl w:val="3"/>
          <w:numId w:val="63"/>
        </w:numPr>
        <w:tabs>
          <w:tab w:val="left" w:pos="851"/>
        </w:tabs>
        <w:spacing w:before="120" w:after="120"/>
        <w:jc w:val="both"/>
        <w:rPr>
          <w:i/>
          <w:szCs w:val="24"/>
        </w:rPr>
      </w:pPr>
      <w:r w:rsidRPr="006D71C7">
        <w:rPr>
          <w:b w:val="0"/>
          <w:i/>
          <w:szCs w:val="24"/>
        </w:rPr>
        <w:t xml:space="preserve"> </w:t>
      </w:r>
      <w:bookmarkStart w:id="414" w:name="_Toc324853914"/>
      <w:bookmarkStart w:id="415" w:name="_Toc327259266"/>
      <w:r w:rsidR="0049026B" w:rsidRPr="006D71C7">
        <w:rPr>
          <w:i/>
          <w:szCs w:val="24"/>
        </w:rPr>
        <w:t>Analiza jakościowa</w:t>
      </w:r>
      <w:r w:rsidRPr="006D71C7">
        <w:rPr>
          <w:i/>
          <w:szCs w:val="24"/>
        </w:rPr>
        <w:t xml:space="preserve"> (poziom priorytetu)</w:t>
      </w:r>
      <w:bookmarkEnd w:id="414"/>
      <w:bookmarkEnd w:id="415"/>
    </w:p>
    <w:p w:rsidR="0066614A" w:rsidRPr="006D71C7" w:rsidRDefault="0066614A" w:rsidP="006D71C7">
      <w:pPr>
        <w:jc w:val="both"/>
        <w:rPr>
          <w:b/>
          <w:i/>
        </w:rPr>
      </w:pPr>
      <w:r w:rsidRPr="006D71C7">
        <w:rPr>
          <w:b/>
          <w:i/>
        </w:rPr>
        <w:t>Informacje ogólne</w:t>
      </w:r>
    </w:p>
    <w:p w:rsidR="00245F70" w:rsidRPr="006D71C7" w:rsidRDefault="0049026B" w:rsidP="006D71C7">
      <w:pPr>
        <w:jc w:val="both"/>
        <w:rPr>
          <w:b/>
          <w:i/>
        </w:rPr>
      </w:pPr>
      <w:r w:rsidRPr="006D71C7">
        <w:rPr>
          <w:szCs w:val="24"/>
        </w:rPr>
        <w:t xml:space="preserve">Celem głównym Priorytetu IV jest </w:t>
      </w:r>
      <w:r w:rsidRPr="006D71C7">
        <w:rPr>
          <w:i/>
          <w:iCs/>
          <w:szCs w:val="24"/>
        </w:rPr>
        <w:t>Wzrost znaczenia kultury jako czynnika rozwoju społeczno – gospodarczego</w:t>
      </w:r>
      <w:r w:rsidRPr="006D71C7">
        <w:rPr>
          <w:szCs w:val="24"/>
        </w:rPr>
        <w:t xml:space="preserve">. W ramach priorytetu wspierane </w:t>
      </w:r>
      <w:r w:rsidR="00B87083" w:rsidRPr="006D71C7">
        <w:rPr>
          <w:szCs w:val="24"/>
        </w:rPr>
        <w:t xml:space="preserve">są </w:t>
      </w:r>
      <w:r w:rsidRPr="006D71C7">
        <w:rPr>
          <w:szCs w:val="24"/>
        </w:rPr>
        <w:t>działania z zakresu infrastruktury kultury, systemu informacji kulturalnej i promocji kultury.</w:t>
      </w:r>
    </w:p>
    <w:p w:rsidR="0049026B" w:rsidRPr="006D71C7" w:rsidRDefault="0049026B" w:rsidP="006D71C7">
      <w:pPr>
        <w:spacing w:after="0"/>
        <w:jc w:val="both"/>
        <w:rPr>
          <w:szCs w:val="24"/>
        </w:rPr>
      </w:pPr>
      <w:r w:rsidRPr="006D71C7">
        <w:rPr>
          <w:szCs w:val="24"/>
        </w:rPr>
        <w:t>Realizacji priorytetu służyć mają trzy działania:</w:t>
      </w:r>
    </w:p>
    <w:p w:rsidR="0049026B" w:rsidRPr="006D71C7" w:rsidRDefault="0049026B" w:rsidP="006D71C7">
      <w:pPr>
        <w:pStyle w:val="Akapitzlist"/>
        <w:numPr>
          <w:ilvl w:val="0"/>
          <w:numId w:val="4"/>
        </w:numPr>
        <w:spacing w:after="0"/>
        <w:jc w:val="both"/>
        <w:rPr>
          <w:i/>
          <w:szCs w:val="24"/>
        </w:rPr>
      </w:pPr>
      <w:r w:rsidRPr="006D71C7">
        <w:rPr>
          <w:i/>
          <w:szCs w:val="24"/>
        </w:rPr>
        <w:t>4.1 Infrastruktura kultury</w:t>
      </w:r>
      <w:r w:rsidR="008B612B" w:rsidRPr="006D71C7">
        <w:rPr>
          <w:i/>
          <w:szCs w:val="24"/>
        </w:rPr>
        <w:t>,</w:t>
      </w:r>
    </w:p>
    <w:p w:rsidR="0049026B" w:rsidRPr="006D71C7" w:rsidRDefault="0049026B" w:rsidP="006D71C7">
      <w:pPr>
        <w:pStyle w:val="Akapitzlist"/>
        <w:numPr>
          <w:ilvl w:val="0"/>
          <w:numId w:val="4"/>
        </w:numPr>
        <w:spacing w:after="0"/>
        <w:jc w:val="both"/>
        <w:rPr>
          <w:i/>
          <w:szCs w:val="24"/>
        </w:rPr>
      </w:pPr>
      <w:r w:rsidRPr="006D71C7">
        <w:rPr>
          <w:i/>
          <w:szCs w:val="24"/>
        </w:rPr>
        <w:t>4.2 Systemy informacji kulturalnej</w:t>
      </w:r>
      <w:r w:rsidR="008B612B" w:rsidRPr="006D71C7">
        <w:rPr>
          <w:i/>
          <w:szCs w:val="24"/>
        </w:rPr>
        <w:t>,</w:t>
      </w:r>
    </w:p>
    <w:p w:rsidR="0049026B" w:rsidRPr="006D71C7" w:rsidRDefault="0049026B" w:rsidP="006D71C7">
      <w:pPr>
        <w:pStyle w:val="Akapitzlist"/>
        <w:numPr>
          <w:ilvl w:val="0"/>
          <w:numId w:val="4"/>
        </w:numPr>
        <w:spacing w:after="120"/>
        <w:ind w:left="714" w:hanging="357"/>
        <w:jc w:val="both"/>
        <w:rPr>
          <w:i/>
          <w:szCs w:val="24"/>
        </w:rPr>
      </w:pPr>
      <w:r w:rsidRPr="006D71C7">
        <w:rPr>
          <w:i/>
          <w:szCs w:val="24"/>
        </w:rPr>
        <w:t>4.3 Promocja kultury</w:t>
      </w:r>
      <w:r w:rsidR="008B612B" w:rsidRPr="006D71C7">
        <w:rPr>
          <w:i/>
          <w:szCs w:val="24"/>
        </w:rPr>
        <w:t>.</w:t>
      </w:r>
    </w:p>
    <w:p w:rsidR="0049026B" w:rsidRPr="006D71C7" w:rsidRDefault="0049026B" w:rsidP="006D71C7">
      <w:pPr>
        <w:spacing w:after="120"/>
        <w:jc w:val="both"/>
        <w:rPr>
          <w:szCs w:val="24"/>
        </w:rPr>
      </w:pPr>
      <w:r w:rsidRPr="006D71C7">
        <w:rPr>
          <w:szCs w:val="24"/>
        </w:rPr>
        <w:t xml:space="preserve">Na realizację Priorytetu IV alokowano </w:t>
      </w:r>
      <w:r w:rsidR="008B612B" w:rsidRPr="006D71C7">
        <w:rPr>
          <w:szCs w:val="24"/>
        </w:rPr>
        <w:t>53 274 150 EUR</w:t>
      </w:r>
      <w:r w:rsidR="008B612B" w:rsidRPr="006D71C7">
        <w:rPr>
          <w:b/>
          <w:szCs w:val="24"/>
        </w:rPr>
        <w:t xml:space="preserve"> </w:t>
      </w:r>
      <w:r w:rsidR="008B612B" w:rsidRPr="006D71C7">
        <w:rPr>
          <w:szCs w:val="24"/>
        </w:rPr>
        <w:t>pochodzących z </w:t>
      </w:r>
      <w:r w:rsidRPr="006D71C7">
        <w:rPr>
          <w:szCs w:val="24"/>
        </w:rPr>
        <w:t xml:space="preserve">EFRR, co stanowi </w:t>
      </w:r>
      <w:r w:rsidR="0066614A" w:rsidRPr="006D71C7">
        <w:rPr>
          <w:szCs w:val="24"/>
        </w:rPr>
        <w:t>3,05</w:t>
      </w:r>
      <w:r w:rsidRPr="006D71C7">
        <w:rPr>
          <w:szCs w:val="24"/>
        </w:rPr>
        <w:t xml:space="preserve">% wartości </w:t>
      </w:r>
      <w:r w:rsidRPr="006D71C7">
        <w:rPr>
          <w:i/>
          <w:szCs w:val="24"/>
        </w:rPr>
        <w:t>Programu</w:t>
      </w:r>
      <w:r w:rsidRPr="006D71C7">
        <w:rPr>
          <w:szCs w:val="24"/>
        </w:rPr>
        <w:t>.</w:t>
      </w:r>
    </w:p>
    <w:p w:rsidR="00E93652" w:rsidRPr="006D71C7" w:rsidRDefault="00E93652" w:rsidP="006D71C7">
      <w:pPr>
        <w:widowControl w:val="0"/>
        <w:autoSpaceDE w:val="0"/>
        <w:autoSpaceDN w:val="0"/>
        <w:adjustRightInd w:val="0"/>
        <w:spacing w:after="120"/>
        <w:ind w:right="-23"/>
        <w:jc w:val="both"/>
        <w:rPr>
          <w:szCs w:val="24"/>
        </w:rPr>
      </w:pPr>
      <w:r w:rsidRPr="006D71C7">
        <w:rPr>
          <w:szCs w:val="24"/>
        </w:rPr>
        <w:t>O</w:t>
      </w:r>
      <w:r w:rsidR="004A1751" w:rsidRPr="006D71C7">
        <w:rPr>
          <w:szCs w:val="24"/>
        </w:rPr>
        <w:t xml:space="preserve">pis wkładu priorytetu w promowanie równości szans kobiet i mężczyzn znajduje się w pkt. 2.2.1 </w:t>
      </w:r>
      <w:r w:rsidR="004A1751" w:rsidRPr="006D71C7">
        <w:rPr>
          <w:i/>
          <w:szCs w:val="24"/>
        </w:rPr>
        <w:t>Sprawozdania</w:t>
      </w:r>
      <w:r w:rsidRPr="006D71C7">
        <w:rPr>
          <w:i/>
          <w:szCs w:val="24"/>
        </w:rPr>
        <w:t>.</w:t>
      </w:r>
      <w:r w:rsidRPr="006D71C7">
        <w:rPr>
          <w:szCs w:val="24"/>
        </w:rPr>
        <w:t>.</w:t>
      </w:r>
    </w:p>
    <w:p w:rsidR="004A1751" w:rsidRPr="006D71C7" w:rsidRDefault="00E93652" w:rsidP="006D71C7">
      <w:pPr>
        <w:widowControl w:val="0"/>
        <w:autoSpaceDE w:val="0"/>
        <w:autoSpaceDN w:val="0"/>
        <w:adjustRightInd w:val="0"/>
        <w:spacing w:after="120"/>
        <w:ind w:right="-23"/>
        <w:jc w:val="both"/>
        <w:rPr>
          <w:szCs w:val="24"/>
        </w:rPr>
      </w:pPr>
      <w:r w:rsidRPr="006D71C7">
        <w:rPr>
          <w:szCs w:val="24"/>
        </w:rPr>
        <w:t>W</w:t>
      </w:r>
      <w:r w:rsidR="004A1751" w:rsidRPr="006D71C7">
        <w:rPr>
          <w:szCs w:val="24"/>
        </w:rPr>
        <w:t xml:space="preserve"> ramach priorytetu nie przewidziano finansowania krzyżowego</w:t>
      </w:r>
      <w:r w:rsidRPr="006D71C7">
        <w:rPr>
          <w:i/>
          <w:szCs w:val="24"/>
        </w:rPr>
        <w:t>.</w:t>
      </w:r>
    </w:p>
    <w:p w:rsidR="00E93652" w:rsidRPr="006D71C7" w:rsidRDefault="004A1751" w:rsidP="006D71C7">
      <w:pPr>
        <w:widowControl w:val="0"/>
        <w:autoSpaceDE w:val="0"/>
        <w:autoSpaceDN w:val="0"/>
        <w:adjustRightInd w:val="0"/>
        <w:spacing w:after="120"/>
        <w:ind w:right="-23"/>
        <w:jc w:val="both"/>
        <w:rPr>
          <w:szCs w:val="24"/>
        </w:rPr>
      </w:pPr>
      <w:r w:rsidRPr="006D71C7">
        <w:rPr>
          <w:szCs w:val="24"/>
        </w:rPr>
        <w:t>IZ RPO WSL nie planuje żadnych zmian w alokacji prio</w:t>
      </w:r>
      <w:r w:rsidR="0037114F" w:rsidRPr="006D71C7">
        <w:rPr>
          <w:szCs w:val="24"/>
        </w:rPr>
        <w:t>rytetu.</w:t>
      </w:r>
    </w:p>
    <w:p w:rsidR="0037114F" w:rsidRPr="006D71C7" w:rsidRDefault="00E93652" w:rsidP="006D71C7">
      <w:pPr>
        <w:widowControl w:val="0"/>
        <w:autoSpaceDE w:val="0"/>
        <w:autoSpaceDN w:val="0"/>
        <w:adjustRightInd w:val="0"/>
        <w:spacing w:after="120"/>
        <w:ind w:right="-23"/>
        <w:jc w:val="both"/>
        <w:rPr>
          <w:szCs w:val="24"/>
        </w:rPr>
      </w:pPr>
      <w:r w:rsidRPr="006D71C7">
        <w:rPr>
          <w:szCs w:val="24"/>
        </w:rPr>
        <w:t>W</w:t>
      </w:r>
      <w:r w:rsidR="004A1751" w:rsidRPr="006D71C7">
        <w:t xml:space="preserve"> ramach priorytetu IV w poprzednim okresie sprawozdawczym zostało przeprowadzone badanie ewaluacyjne </w:t>
      </w:r>
      <w:r w:rsidR="004A1751" w:rsidRPr="006D71C7">
        <w:rPr>
          <w:i/>
        </w:rPr>
        <w:t>Analiza wpływu inwestycji w infrastrukturę kultury i turystyki dofinansowanych z funduszy strukturalnych na rozwój społeczno – gospodarczy poszczególnych gmin/powiatów województwa</w:t>
      </w:r>
      <w:r w:rsidR="004A1751" w:rsidRPr="006D71C7">
        <w:t xml:space="preserve">. Szczegółowe informacje dot. ww. badania zostały przedstawione w </w:t>
      </w:r>
      <w:r w:rsidR="004A1751" w:rsidRPr="006D71C7">
        <w:rPr>
          <w:i/>
        </w:rPr>
        <w:t>Sprawozdaniu rocznym za 2010 roku.</w:t>
      </w:r>
    </w:p>
    <w:p w:rsidR="0038329F" w:rsidRPr="006D71C7" w:rsidRDefault="0066614A" w:rsidP="006D71C7">
      <w:pPr>
        <w:jc w:val="both"/>
        <w:rPr>
          <w:b/>
          <w:i/>
          <w:szCs w:val="24"/>
        </w:rPr>
      </w:pPr>
      <w:r w:rsidRPr="006D71C7">
        <w:rPr>
          <w:b/>
          <w:i/>
          <w:szCs w:val="24"/>
        </w:rPr>
        <w:t>Postęp wdrażania priorytetu IV</w:t>
      </w:r>
    </w:p>
    <w:p w:rsidR="0066614A" w:rsidRPr="006D71C7" w:rsidRDefault="00203F7B" w:rsidP="006D71C7">
      <w:pPr>
        <w:jc w:val="both"/>
        <w:rPr>
          <w:szCs w:val="24"/>
        </w:rPr>
      </w:pPr>
      <w:r w:rsidRPr="006D71C7">
        <w:rPr>
          <w:szCs w:val="24"/>
        </w:rPr>
        <w:t xml:space="preserve">Wszystkie zmienne przedstawione na poniższym wykresie wykazują dodatnią dynamikę wzrostu. Wyjątkiem jest zmienna </w:t>
      </w:r>
      <w:r w:rsidRPr="006D71C7">
        <w:rPr>
          <w:i/>
          <w:szCs w:val="24"/>
        </w:rPr>
        <w:t xml:space="preserve">wnioski po ocenie formalnej, </w:t>
      </w:r>
      <w:r w:rsidRPr="006D71C7">
        <w:rPr>
          <w:szCs w:val="24"/>
        </w:rPr>
        <w:t>której wartość w okresie sprawozdawczym wynosi zero, a jest to spowodowane faktem, iż w okresie sprawozdawczym nie został ogłoszony żaden nabór. Ostatni nabór ogłoszono na początku 2010 roku, i wszystkie złożone wnioski zostały ocenione w 2010 roku.</w:t>
      </w:r>
      <w:r w:rsidR="00A422AB" w:rsidRPr="006D71C7">
        <w:rPr>
          <w:szCs w:val="24"/>
        </w:rPr>
        <w:t xml:space="preserve"> Realizacja przedmiotowego priorytetu jest na bardzo wysokim poziomie. Na koniec 2011 roku poziom kontraktacji wyniósł 86%, a środki zatwierdzone przez IC na poziomie 57%.</w:t>
      </w:r>
    </w:p>
    <w:p w:rsidR="0066614A" w:rsidRPr="006D71C7" w:rsidRDefault="0012397E" w:rsidP="006D71C7">
      <w:pPr>
        <w:tabs>
          <w:tab w:val="left" w:pos="7655"/>
        </w:tabs>
        <w:ind w:left="-567" w:right="1415"/>
        <w:jc w:val="both"/>
        <w:rPr>
          <w:b/>
          <w:i/>
          <w:szCs w:val="24"/>
        </w:rPr>
      </w:pPr>
      <w:r w:rsidRPr="006D71C7">
        <w:rPr>
          <w:b/>
          <w:i/>
          <w:noProof/>
          <w:szCs w:val="24"/>
        </w:rPr>
        <w:drawing>
          <wp:inline distT="0" distB="0" distL="0" distR="0">
            <wp:extent cx="6625974" cy="3987209"/>
            <wp:effectExtent l="38100" t="19050" r="22476" b="0"/>
            <wp:docPr id="25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915C3" w:rsidRPr="006D71C7" w:rsidRDefault="007338BD" w:rsidP="006D71C7">
      <w:pPr>
        <w:pStyle w:val="Legenda"/>
        <w:jc w:val="both"/>
        <w:rPr>
          <w:color w:val="auto"/>
          <w:sz w:val="20"/>
          <w:szCs w:val="20"/>
        </w:rPr>
      </w:pPr>
      <w:bookmarkStart w:id="416" w:name="_Toc324853725"/>
      <w:bookmarkStart w:id="417" w:name="_Toc326055353"/>
      <w:r w:rsidRPr="006D71C7">
        <w:rPr>
          <w:color w:val="auto"/>
          <w:sz w:val="20"/>
          <w:szCs w:val="20"/>
        </w:rPr>
        <w:t xml:space="preserve">Rysunek </w:t>
      </w:r>
      <w:r w:rsidR="008F7228">
        <w:rPr>
          <w:color w:val="auto"/>
          <w:sz w:val="20"/>
          <w:szCs w:val="20"/>
        </w:rPr>
        <w:fldChar w:fldCharType="begin"/>
      </w:r>
      <w:r w:rsidR="00942E6B">
        <w:rPr>
          <w:color w:val="auto"/>
          <w:sz w:val="20"/>
          <w:szCs w:val="20"/>
        </w:rPr>
        <w:instrText xml:space="preserve"> SEQ Rysunek \* ARABIC </w:instrText>
      </w:r>
      <w:r w:rsidR="008F7228">
        <w:rPr>
          <w:color w:val="auto"/>
          <w:sz w:val="20"/>
          <w:szCs w:val="20"/>
        </w:rPr>
        <w:fldChar w:fldCharType="separate"/>
      </w:r>
      <w:r w:rsidR="006667B3">
        <w:rPr>
          <w:noProof/>
          <w:color w:val="auto"/>
          <w:sz w:val="20"/>
          <w:szCs w:val="20"/>
        </w:rPr>
        <w:t>35</w:t>
      </w:r>
      <w:r w:rsidR="008F7228">
        <w:rPr>
          <w:color w:val="auto"/>
          <w:sz w:val="20"/>
          <w:szCs w:val="20"/>
        </w:rPr>
        <w:fldChar w:fldCharType="end"/>
      </w:r>
      <w:r w:rsidR="009214D1" w:rsidRPr="006D71C7">
        <w:rPr>
          <w:color w:val="auto"/>
        </w:rPr>
        <w:t xml:space="preserve"> </w:t>
      </w:r>
      <w:r w:rsidR="00203F7B" w:rsidRPr="006D71C7">
        <w:rPr>
          <w:b w:val="0"/>
          <w:i/>
          <w:color w:val="auto"/>
          <w:sz w:val="20"/>
          <w:szCs w:val="20"/>
        </w:rPr>
        <w:t>Realizacja priorytetu IV od uruchomienia Programu i w okresie sprawozdawczym</w:t>
      </w:r>
      <w:bookmarkEnd w:id="416"/>
      <w:bookmarkEnd w:id="417"/>
    </w:p>
    <w:p w:rsidR="00203F7B" w:rsidRPr="006D71C7" w:rsidRDefault="00A422AB" w:rsidP="006D71C7">
      <w:pPr>
        <w:pStyle w:val="Legenda"/>
        <w:spacing w:line="276" w:lineRule="auto"/>
        <w:jc w:val="both"/>
        <w:rPr>
          <w:b w:val="0"/>
          <w:color w:val="auto"/>
          <w:sz w:val="24"/>
          <w:szCs w:val="24"/>
        </w:rPr>
      </w:pPr>
      <w:r w:rsidRPr="006D71C7">
        <w:rPr>
          <w:b w:val="0"/>
          <w:color w:val="auto"/>
          <w:sz w:val="24"/>
          <w:szCs w:val="24"/>
        </w:rPr>
        <w:t>Poniżej w tabeli przedstawiono realizację priorytetu w podziale na działania. Stopień wykorzystania alokacji w poszczególnych działaniach i na różnych etapach jest bardzo wysoki. Wszystkie działania na poziomie kontraktacji przekroczyły 80%, poziom płatności także jest wysoki. Zaawansowany stan wdrażania priorytetu związany jest m.in. z faktem, iż pierwsze nabory zostały ogłoszone bardzo wcześnie bo na początku 2008 roku. Nie pojawiły się także problemy prawne, stąd beneficjenci bez przeszkód mogli realizować swoje projekty.</w:t>
      </w:r>
    </w:p>
    <w:p w:rsidR="001915C3" w:rsidRPr="006D71C7" w:rsidRDefault="007338BD" w:rsidP="006D71C7">
      <w:pPr>
        <w:pStyle w:val="Legenda"/>
        <w:jc w:val="both"/>
        <w:rPr>
          <w:b w:val="0"/>
          <w:i/>
          <w:color w:val="auto"/>
          <w:sz w:val="20"/>
          <w:szCs w:val="20"/>
        </w:rPr>
      </w:pPr>
      <w:bookmarkStart w:id="418" w:name="_Toc324853726"/>
      <w:bookmarkStart w:id="419" w:name="_Toc326046375"/>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23</w:t>
      </w:r>
      <w:r w:rsidR="008F7228" w:rsidRPr="006D71C7">
        <w:rPr>
          <w:color w:val="auto"/>
          <w:sz w:val="20"/>
          <w:szCs w:val="20"/>
        </w:rPr>
        <w:fldChar w:fldCharType="end"/>
      </w:r>
      <w:r w:rsidR="009214D1" w:rsidRPr="006D71C7">
        <w:rPr>
          <w:color w:val="auto"/>
        </w:rPr>
        <w:t xml:space="preserve"> </w:t>
      </w:r>
      <w:r w:rsidR="00203F7B" w:rsidRPr="006D71C7">
        <w:rPr>
          <w:b w:val="0"/>
          <w:i/>
          <w:color w:val="auto"/>
          <w:sz w:val="20"/>
          <w:szCs w:val="20"/>
        </w:rPr>
        <w:t xml:space="preserve">Postęp realizacji </w:t>
      </w:r>
      <w:r w:rsidR="009214D1" w:rsidRPr="006D71C7">
        <w:rPr>
          <w:b w:val="0"/>
          <w:i/>
          <w:color w:val="auto"/>
          <w:sz w:val="20"/>
          <w:szCs w:val="20"/>
        </w:rPr>
        <w:t>p</w:t>
      </w:r>
      <w:r w:rsidR="00203F7B" w:rsidRPr="006D71C7">
        <w:rPr>
          <w:b w:val="0"/>
          <w:i/>
          <w:color w:val="auto"/>
          <w:sz w:val="20"/>
          <w:szCs w:val="20"/>
        </w:rPr>
        <w:t>riorytetu IV w podziale na działania</w:t>
      </w:r>
      <w:bookmarkEnd w:id="418"/>
      <w:bookmarkEnd w:id="419"/>
    </w:p>
    <w:tbl>
      <w:tblPr>
        <w:tblW w:w="9400" w:type="dxa"/>
        <w:tblInd w:w="60" w:type="dxa"/>
        <w:tblCellMar>
          <w:left w:w="70" w:type="dxa"/>
          <w:right w:w="70" w:type="dxa"/>
        </w:tblCellMar>
        <w:tblLook w:val="04A0" w:firstRow="1" w:lastRow="0" w:firstColumn="1" w:lastColumn="0" w:noHBand="0" w:noVBand="1"/>
      </w:tblPr>
      <w:tblGrid>
        <w:gridCol w:w="1080"/>
        <w:gridCol w:w="1080"/>
        <w:gridCol w:w="1394"/>
        <w:gridCol w:w="992"/>
        <w:gridCol w:w="1134"/>
        <w:gridCol w:w="1560"/>
        <w:gridCol w:w="1080"/>
        <w:gridCol w:w="1080"/>
      </w:tblGrid>
      <w:tr w:rsidR="00203F7B" w:rsidRPr="006D71C7" w:rsidTr="00203F7B">
        <w:trPr>
          <w:trHeight w:val="845"/>
        </w:trPr>
        <w:tc>
          <w:tcPr>
            <w:tcW w:w="1080" w:type="dxa"/>
            <w:vMerge w:val="restart"/>
            <w:tcBorders>
              <w:top w:val="single" w:sz="8" w:space="0" w:color="FFFFFF"/>
              <w:left w:val="single" w:sz="8" w:space="0" w:color="FFFFFF"/>
              <w:bottom w:val="single" w:sz="8" w:space="0" w:color="FFFFFF"/>
              <w:right w:val="single" w:sz="8" w:space="0" w:color="FFFFFF"/>
            </w:tcBorders>
            <w:shd w:val="clear" w:color="000000" w:fill="F4B29B"/>
            <w:noWrap/>
            <w:vAlign w:val="center"/>
            <w:hideMark/>
          </w:tcPr>
          <w:p w:rsidR="00C43B75" w:rsidRDefault="00203F7B" w:rsidP="00C43B75">
            <w:pPr>
              <w:spacing w:after="0" w:line="240" w:lineRule="auto"/>
              <w:jc w:val="center"/>
              <w:rPr>
                <w:b/>
                <w:bCs/>
                <w:sz w:val="20"/>
                <w:szCs w:val="20"/>
              </w:rPr>
            </w:pPr>
            <w:r w:rsidRPr="006D71C7">
              <w:rPr>
                <w:b/>
                <w:bCs/>
                <w:sz w:val="20"/>
                <w:szCs w:val="20"/>
              </w:rPr>
              <w:t>Działanie</w:t>
            </w:r>
          </w:p>
        </w:tc>
        <w:tc>
          <w:tcPr>
            <w:tcW w:w="1080" w:type="dxa"/>
            <w:vMerge w:val="restart"/>
            <w:tcBorders>
              <w:top w:val="single" w:sz="8" w:space="0" w:color="FFFFFF"/>
              <w:left w:val="single" w:sz="8" w:space="0" w:color="FFFFFF"/>
              <w:bottom w:val="single" w:sz="8" w:space="0" w:color="FFFFFF"/>
              <w:right w:val="single" w:sz="8" w:space="0" w:color="FFFFFF"/>
            </w:tcBorders>
            <w:shd w:val="clear" w:color="000000" w:fill="F4B29B"/>
            <w:vAlign w:val="center"/>
            <w:hideMark/>
          </w:tcPr>
          <w:p w:rsidR="00C43B75" w:rsidRDefault="00203F7B" w:rsidP="00C43B75">
            <w:pPr>
              <w:spacing w:after="0" w:line="240" w:lineRule="auto"/>
              <w:jc w:val="center"/>
              <w:rPr>
                <w:b/>
                <w:bCs/>
                <w:sz w:val="20"/>
                <w:szCs w:val="20"/>
              </w:rPr>
            </w:pPr>
            <w:r w:rsidRPr="006D71C7">
              <w:rPr>
                <w:b/>
                <w:bCs/>
                <w:sz w:val="20"/>
                <w:szCs w:val="20"/>
              </w:rPr>
              <w:t>Alokacja mln EUR</w:t>
            </w:r>
          </w:p>
        </w:tc>
        <w:tc>
          <w:tcPr>
            <w:tcW w:w="2386" w:type="dxa"/>
            <w:gridSpan w:val="2"/>
            <w:tcBorders>
              <w:top w:val="single" w:sz="8" w:space="0" w:color="FFFFFF"/>
              <w:left w:val="nil"/>
              <w:bottom w:val="single" w:sz="12" w:space="0" w:color="FFFFFF"/>
              <w:right w:val="single" w:sz="8" w:space="0" w:color="FFFFFF"/>
            </w:tcBorders>
            <w:shd w:val="clear" w:color="000000" w:fill="F4B29B"/>
            <w:vAlign w:val="center"/>
            <w:hideMark/>
          </w:tcPr>
          <w:p w:rsidR="00C43B75" w:rsidRDefault="00203F7B" w:rsidP="00C43B75">
            <w:pPr>
              <w:spacing w:after="0" w:line="240" w:lineRule="auto"/>
              <w:jc w:val="center"/>
              <w:rPr>
                <w:b/>
                <w:bCs/>
                <w:sz w:val="20"/>
                <w:szCs w:val="20"/>
              </w:rPr>
            </w:pPr>
            <w:r w:rsidRPr="006D71C7">
              <w:rPr>
                <w:b/>
                <w:bCs/>
                <w:sz w:val="20"/>
                <w:szCs w:val="20"/>
              </w:rPr>
              <w:t>Zatwierdzone wnioski do dofinansowania</w:t>
            </w:r>
          </w:p>
        </w:tc>
        <w:tc>
          <w:tcPr>
            <w:tcW w:w="2694" w:type="dxa"/>
            <w:gridSpan w:val="2"/>
            <w:tcBorders>
              <w:top w:val="single" w:sz="8" w:space="0" w:color="FFFFFF"/>
              <w:left w:val="nil"/>
              <w:bottom w:val="single" w:sz="12" w:space="0" w:color="FFFFFF"/>
              <w:right w:val="single" w:sz="8" w:space="0" w:color="FFFFFF"/>
            </w:tcBorders>
            <w:shd w:val="clear" w:color="000000" w:fill="F4B29B"/>
            <w:vAlign w:val="center"/>
            <w:hideMark/>
          </w:tcPr>
          <w:p w:rsidR="00C43B75" w:rsidRDefault="00203F7B" w:rsidP="00C43B75">
            <w:pPr>
              <w:spacing w:after="0" w:line="240" w:lineRule="auto"/>
              <w:jc w:val="center"/>
              <w:rPr>
                <w:b/>
                <w:bCs/>
                <w:sz w:val="20"/>
                <w:szCs w:val="20"/>
              </w:rPr>
            </w:pPr>
            <w:r w:rsidRPr="006D71C7">
              <w:rPr>
                <w:b/>
                <w:bCs/>
                <w:sz w:val="20"/>
                <w:szCs w:val="20"/>
              </w:rPr>
              <w:t>Podpisane umowy</w:t>
            </w:r>
          </w:p>
        </w:tc>
        <w:tc>
          <w:tcPr>
            <w:tcW w:w="2160" w:type="dxa"/>
            <w:gridSpan w:val="2"/>
            <w:tcBorders>
              <w:top w:val="single" w:sz="8" w:space="0" w:color="FFFFFF"/>
              <w:left w:val="nil"/>
              <w:bottom w:val="single" w:sz="12" w:space="0" w:color="FFFFFF"/>
              <w:right w:val="single" w:sz="8" w:space="0" w:color="FFFFFF"/>
            </w:tcBorders>
            <w:shd w:val="clear" w:color="000000" w:fill="F4B29B"/>
            <w:noWrap/>
            <w:vAlign w:val="center"/>
            <w:hideMark/>
          </w:tcPr>
          <w:p w:rsidR="00C43B75" w:rsidRDefault="00203F7B" w:rsidP="00C43B75">
            <w:pPr>
              <w:spacing w:after="0" w:line="240" w:lineRule="auto"/>
              <w:jc w:val="center"/>
              <w:rPr>
                <w:b/>
                <w:bCs/>
                <w:sz w:val="22"/>
              </w:rPr>
            </w:pPr>
            <w:r w:rsidRPr="006D71C7">
              <w:rPr>
                <w:b/>
                <w:bCs/>
                <w:sz w:val="22"/>
              </w:rPr>
              <w:t>Płatności</w:t>
            </w:r>
          </w:p>
        </w:tc>
      </w:tr>
      <w:tr w:rsidR="00203F7B" w:rsidRPr="006D71C7" w:rsidTr="00203F7B">
        <w:trPr>
          <w:trHeight w:val="515"/>
        </w:trPr>
        <w:tc>
          <w:tcPr>
            <w:tcW w:w="1080" w:type="dxa"/>
            <w:vMerge/>
            <w:tcBorders>
              <w:top w:val="single" w:sz="8" w:space="0" w:color="FFFFFF"/>
              <w:left w:val="single" w:sz="8" w:space="0" w:color="FFFFFF"/>
              <w:bottom w:val="single" w:sz="8" w:space="0" w:color="FFFFFF"/>
              <w:right w:val="single" w:sz="8" w:space="0" w:color="FFFFFF"/>
            </w:tcBorders>
            <w:vAlign w:val="center"/>
            <w:hideMark/>
          </w:tcPr>
          <w:p w:rsidR="00C43B75" w:rsidRDefault="00C43B75" w:rsidP="00C43B75">
            <w:pPr>
              <w:spacing w:after="0" w:line="240" w:lineRule="auto"/>
              <w:jc w:val="center"/>
              <w:rPr>
                <w:b/>
                <w:bCs/>
                <w:sz w:val="20"/>
                <w:szCs w:val="20"/>
              </w:rPr>
            </w:pPr>
          </w:p>
        </w:tc>
        <w:tc>
          <w:tcPr>
            <w:tcW w:w="1080" w:type="dxa"/>
            <w:vMerge/>
            <w:tcBorders>
              <w:top w:val="single" w:sz="8" w:space="0" w:color="FFFFFF"/>
              <w:left w:val="single" w:sz="8" w:space="0" w:color="FFFFFF"/>
              <w:bottom w:val="single" w:sz="8" w:space="0" w:color="FFFFFF"/>
              <w:right w:val="single" w:sz="8" w:space="0" w:color="FFFFFF"/>
            </w:tcBorders>
            <w:vAlign w:val="center"/>
            <w:hideMark/>
          </w:tcPr>
          <w:p w:rsidR="00C43B75" w:rsidRDefault="00C43B75" w:rsidP="00C43B75">
            <w:pPr>
              <w:spacing w:after="0" w:line="240" w:lineRule="auto"/>
              <w:jc w:val="center"/>
              <w:rPr>
                <w:b/>
                <w:bCs/>
                <w:sz w:val="20"/>
                <w:szCs w:val="20"/>
              </w:rPr>
            </w:pPr>
          </w:p>
        </w:tc>
        <w:tc>
          <w:tcPr>
            <w:tcW w:w="1394" w:type="dxa"/>
            <w:tcBorders>
              <w:top w:val="nil"/>
              <w:left w:val="nil"/>
              <w:bottom w:val="single" w:sz="8" w:space="0" w:color="FFFFFF"/>
              <w:right w:val="single" w:sz="8" w:space="0" w:color="FFFFFF"/>
            </w:tcBorders>
            <w:shd w:val="clear" w:color="000000" w:fill="F4B29B"/>
            <w:vAlign w:val="center"/>
            <w:hideMark/>
          </w:tcPr>
          <w:p w:rsidR="00C43B75" w:rsidRDefault="00203F7B" w:rsidP="00C43B75">
            <w:pPr>
              <w:spacing w:after="0" w:line="240" w:lineRule="auto"/>
              <w:jc w:val="center"/>
              <w:rPr>
                <w:b/>
                <w:bCs/>
                <w:sz w:val="20"/>
                <w:szCs w:val="20"/>
              </w:rPr>
            </w:pPr>
            <w:r w:rsidRPr="006D71C7">
              <w:rPr>
                <w:b/>
                <w:bCs/>
                <w:sz w:val="20"/>
                <w:szCs w:val="20"/>
              </w:rPr>
              <w:t>mln EUR</w:t>
            </w:r>
          </w:p>
        </w:tc>
        <w:tc>
          <w:tcPr>
            <w:tcW w:w="992" w:type="dxa"/>
            <w:tcBorders>
              <w:top w:val="nil"/>
              <w:left w:val="nil"/>
              <w:bottom w:val="single" w:sz="8" w:space="0" w:color="FFFFFF"/>
              <w:right w:val="single" w:sz="8" w:space="0" w:color="FFFFFF"/>
            </w:tcBorders>
            <w:shd w:val="clear" w:color="000000" w:fill="F4B29B"/>
            <w:vAlign w:val="center"/>
            <w:hideMark/>
          </w:tcPr>
          <w:p w:rsidR="00C43B75" w:rsidRDefault="00203F7B" w:rsidP="00C43B75">
            <w:pPr>
              <w:spacing w:after="0" w:line="240" w:lineRule="auto"/>
              <w:jc w:val="center"/>
              <w:rPr>
                <w:b/>
                <w:bCs/>
                <w:sz w:val="20"/>
                <w:szCs w:val="20"/>
              </w:rPr>
            </w:pPr>
            <w:r w:rsidRPr="006D71C7">
              <w:rPr>
                <w:b/>
                <w:bCs/>
                <w:sz w:val="20"/>
                <w:szCs w:val="20"/>
              </w:rPr>
              <w:t>%</w:t>
            </w:r>
          </w:p>
        </w:tc>
        <w:tc>
          <w:tcPr>
            <w:tcW w:w="1134" w:type="dxa"/>
            <w:tcBorders>
              <w:top w:val="nil"/>
              <w:left w:val="nil"/>
              <w:bottom w:val="single" w:sz="8" w:space="0" w:color="FFFFFF"/>
              <w:right w:val="single" w:sz="8" w:space="0" w:color="FFFFFF"/>
            </w:tcBorders>
            <w:shd w:val="clear" w:color="000000" w:fill="F4B29B"/>
            <w:vAlign w:val="center"/>
            <w:hideMark/>
          </w:tcPr>
          <w:p w:rsidR="00C43B75" w:rsidRDefault="00203F7B" w:rsidP="00C43B75">
            <w:pPr>
              <w:spacing w:after="0" w:line="240" w:lineRule="auto"/>
              <w:jc w:val="center"/>
              <w:rPr>
                <w:b/>
                <w:bCs/>
                <w:sz w:val="20"/>
                <w:szCs w:val="20"/>
              </w:rPr>
            </w:pPr>
            <w:r w:rsidRPr="006D71C7">
              <w:rPr>
                <w:b/>
                <w:bCs/>
                <w:sz w:val="20"/>
                <w:szCs w:val="20"/>
              </w:rPr>
              <w:t>mln EUR</w:t>
            </w:r>
          </w:p>
        </w:tc>
        <w:tc>
          <w:tcPr>
            <w:tcW w:w="1560" w:type="dxa"/>
            <w:tcBorders>
              <w:top w:val="nil"/>
              <w:left w:val="nil"/>
              <w:bottom w:val="single" w:sz="8" w:space="0" w:color="FFFFFF"/>
              <w:right w:val="single" w:sz="8" w:space="0" w:color="FFFFFF"/>
            </w:tcBorders>
            <w:shd w:val="clear" w:color="000000" w:fill="F4B29B"/>
            <w:vAlign w:val="center"/>
            <w:hideMark/>
          </w:tcPr>
          <w:p w:rsidR="00C43B75" w:rsidRDefault="00203F7B" w:rsidP="00C43B75">
            <w:pPr>
              <w:spacing w:after="0" w:line="240" w:lineRule="auto"/>
              <w:jc w:val="center"/>
              <w:rPr>
                <w:b/>
                <w:bCs/>
                <w:sz w:val="20"/>
                <w:szCs w:val="20"/>
              </w:rPr>
            </w:pPr>
            <w:r w:rsidRPr="006D71C7">
              <w:rPr>
                <w:b/>
                <w:bCs/>
                <w:sz w:val="20"/>
                <w:szCs w:val="20"/>
              </w:rPr>
              <w:t>%</w:t>
            </w:r>
          </w:p>
        </w:tc>
        <w:tc>
          <w:tcPr>
            <w:tcW w:w="1080" w:type="dxa"/>
            <w:tcBorders>
              <w:top w:val="nil"/>
              <w:left w:val="nil"/>
              <w:bottom w:val="single" w:sz="8" w:space="0" w:color="FFFFFF"/>
              <w:right w:val="single" w:sz="8" w:space="0" w:color="FFFFFF"/>
            </w:tcBorders>
            <w:shd w:val="clear" w:color="000000" w:fill="F4B29B"/>
            <w:vAlign w:val="center"/>
            <w:hideMark/>
          </w:tcPr>
          <w:p w:rsidR="00C43B75" w:rsidRDefault="00203F7B" w:rsidP="00C43B75">
            <w:pPr>
              <w:spacing w:after="0" w:line="240" w:lineRule="auto"/>
              <w:jc w:val="center"/>
              <w:rPr>
                <w:b/>
                <w:bCs/>
                <w:sz w:val="20"/>
                <w:szCs w:val="20"/>
              </w:rPr>
            </w:pPr>
            <w:r w:rsidRPr="006D71C7">
              <w:rPr>
                <w:b/>
                <w:bCs/>
                <w:sz w:val="20"/>
                <w:szCs w:val="20"/>
              </w:rPr>
              <w:t>mln EUR</w:t>
            </w:r>
          </w:p>
        </w:tc>
        <w:tc>
          <w:tcPr>
            <w:tcW w:w="1080" w:type="dxa"/>
            <w:tcBorders>
              <w:top w:val="nil"/>
              <w:left w:val="nil"/>
              <w:bottom w:val="single" w:sz="8" w:space="0" w:color="FFFFFF"/>
              <w:right w:val="single" w:sz="8" w:space="0" w:color="FFFFFF"/>
            </w:tcBorders>
            <w:shd w:val="clear" w:color="000000" w:fill="F4B29B"/>
            <w:vAlign w:val="center"/>
            <w:hideMark/>
          </w:tcPr>
          <w:p w:rsidR="00C43B75" w:rsidRDefault="00203F7B" w:rsidP="00C43B75">
            <w:pPr>
              <w:spacing w:after="0" w:line="240" w:lineRule="auto"/>
              <w:jc w:val="center"/>
              <w:rPr>
                <w:b/>
                <w:bCs/>
                <w:sz w:val="20"/>
                <w:szCs w:val="20"/>
              </w:rPr>
            </w:pPr>
            <w:r w:rsidRPr="006D71C7">
              <w:rPr>
                <w:b/>
                <w:bCs/>
                <w:sz w:val="20"/>
                <w:szCs w:val="20"/>
              </w:rPr>
              <w:t>%</w:t>
            </w:r>
          </w:p>
        </w:tc>
      </w:tr>
      <w:tr w:rsidR="00203F7B" w:rsidRPr="006D71C7" w:rsidTr="00203F7B">
        <w:trPr>
          <w:trHeight w:val="300"/>
        </w:trPr>
        <w:tc>
          <w:tcPr>
            <w:tcW w:w="1080" w:type="dxa"/>
            <w:tcBorders>
              <w:top w:val="nil"/>
              <w:left w:val="single" w:sz="8" w:space="0" w:color="FFFFFF"/>
              <w:bottom w:val="nil"/>
              <w:right w:val="single" w:sz="12" w:space="0" w:color="FFFFFF"/>
            </w:tcBorders>
            <w:shd w:val="clear" w:color="000000" w:fill="F4B29B"/>
            <w:noWrap/>
            <w:vAlign w:val="center"/>
            <w:hideMark/>
          </w:tcPr>
          <w:p w:rsidR="00C43B75" w:rsidRDefault="00203F7B" w:rsidP="00C43B75">
            <w:pPr>
              <w:spacing w:after="0" w:line="240" w:lineRule="auto"/>
              <w:jc w:val="center"/>
              <w:rPr>
                <w:b/>
                <w:bCs/>
                <w:sz w:val="20"/>
                <w:szCs w:val="20"/>
              </w:rPr>
            </w:pPr>
            <w:r w:rsidRPr="006D71C7">
              <w:rPr>
                <w:b/>
                <w:bCs/>
                <w:sz w:val="20"/>
                <w:szCs w:val="20"/>
              </w:rPr>
              <w:t>4.1</w:t>
            </w:r>
          </w:p>
        </w:tc>
        <w:tc>
          <w:tcPr>
            <w:tcW w:w="108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43,72</w:t>
            </w:r>
          </w:p>
        </w:tc>
        <w:tc>
          <w:tcPr>
            <w:tcW w:w="1394"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42,54</w:t>
            </w:r>
          </w:p>
        </w:tc>
        <w:tc>
          <w:tcPr>
            <w:tcW w:w="992"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97,30%</w:t>
            </w:r>
          </w:p>
        </w:tc>
        <w:tc>
          <w:tcPr>
            <w:tcW w:w="1134"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37,51</w:t>
            </w:r>
          </w:p>
        </w:tc>
        <w:tc>
          <w:tcPr>
            <w:tcW w:w="156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85,80%</w:t>
            </w:r>
          </w:p>
        </w:tc>
        <w:tc>
          <w:tcPr>
            <w:tcW w:w="108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27,71</w:t>
            </w:r>
          </w:p>
        </w:tc>
        <w:tc>
          <w:tcPr>
            <w:tcW w:w="108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63,38%</w:t>
            </w:r>
          </w:p>
        </w:tc>
      </w:tr>
      <w:tr w:rsidR="00203F7B" w:rsidRPr="006D71C7" w:rsidTr="00203F7B">
        <w:trPr>
          <w:trHeight w:val="300"/>
        </w:trPr>
        <w:tc>
          <w:tcPr>
            <w:tcW w:w="1080" w:type="dxa"/>
            <w:tcBorders>
              <w:top w:val="single" w:sz="8" w:space="0" w:color="FFFFFF"/>
              <w:left w:val="single" w:sz="8" w:space="0" w:color="FFFFFF"/>
              <w:bottom w:val="nil"/>
              <w:right w:val="single" w:sz="12" w:space="0" w:color="FFFFFF"/>
            </w:tcBorders>
            <w:shd w:val="clear" w:color="000000" w:fill="F4B29B"/>
            <w:noWrap/>
            <w:vAlign w:val="center"/>
            <w:hideMark/>
          </w:tcPr>
          <w:p w:rsidR="00C43B75" w:rsidRDefault="00203F7B" w:rsidP="00C43B75">
            <w:pPr>
              <w:spacing w:after="0" w:line="240" w:lineRule="auto"/>
              <w:jc w:val="center"/>
              <w:rPr>
                <w:b/>
                <w:bCs/>
                <w:sz w:val="20"/>
                <w:szCs w:val="20"/>
              </w:rPr>
            </w:pPr>
            <w:r w:rsidRPr="006D71C7">
              <w:rPr>
                <w:b/>
                <w:bCs/>
                <w:sz w:val="20"/>
                <w:szCs w:val="20"/>
              </w:rPr>
              <w:t>4.2</w:t>
            </w:r>
          </w:p>
        </w:tc>
        <w:tc>
          <w:tcPr>
            <w:tcW w:w="108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5,01</w:t>
            </w:r>
          </w:p>
        </w:tc>
        <w:tc>
          <w:tcPr>
            <w:tcW w:w="1394"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4,63</w:t>
            </w:r>
          </w:p>
        </w:tc>
        <w:tc>
          <w:tcPr>
            <w:tcW w:w="992"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92,42%</w:t>
            </w:r>
          </w:p>
        </w:tc>
        <w:tc>
          <w:tcPr>
            <w:tcW w:w="1134"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4,57</w:t>
            </w:r>
          </w:p>
        </w:tc>
        <w:tc>
          <w:tcPr>
            <w:tcW w:w="156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91,22%</w:t>
            </w:r>
          </w:p>
        </w:tc>
        <w:tc>
          <w:tcPr>
            <w:tcW w:w="108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1,27</w:t>
            </w:r>
          </w:p>
        </w:tc>
        <w:tc>
          <w:tcPr>
            <w:tcW w:w="108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25,35%</w:t>
            </w:r>
          </w:p>
        </w:tc>
      </w:tr>
      <w:tr w:rsidR="00203F7B" w:rsidRPr="006D71C7" w:rsidTr="00203F7B">
        <w:trPr>
          <w:trHeight w:val="300"/>
        </w:trPr>
        <w:tc>
          <w:tcPr>
            <w:tcW w:w="1080" w:type="dxa"/>
            <w:tcBorders>
              <w:top w:val="single" w:sz="8" w:space="0" w:color="FFFFFF"/>
              <w:left w:val="single" w:sz="8" w:space="0" w:color="FFFFFF"/>
              <w:bottom w:val="nil"/>
              <w:right w:val="single" w:sz="12" w:space="0" w:color="FFFFFF"/>
            </w:tcBorders>
            <w:shd w:val="clear" w:color="000000" w:fill="F4B29B"/>
            <w:noWrap/>
            <w:vAlign w:val="center"/>
            <w:hideMark/>
          </w:tcPr>
          <w:p w:rsidR="00C43B75" w:rsidRDefault="00203F7B" w:rsidP="00C43B75">
            <w:pPr>
              <w:spacing w:after="0" w:line="240" w:lineRule="auto"/>
              <w:jc w:val="center"/>
              <w:rPr>
                <w:b/>
                <w:bCs/>
                <w:sz w:val="20"/>
                <w:szCs w:val="20"/>
              </w:rPr>
            </w:pPr>
            <w:r w:rsidRPr="006D71C7">
              <w:rPr>
                <w:b/>
                <w:bCs/>
                <w:sz w:val="20"/>
                <w:szCs w:val="20"/>
              </w:rPr>
              <w:t>4.3</w:t>
            </w:r>
          </w:p>
        </w:tc>
        <w:tc>
          <w:tcPr>
            <w:tcW w:w="108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4,54</w:t>
            </w:r>
          </w:p>
        </w:tc>
        <w:tc>
          <w:tcPr>
            <w:tcW w:w="1394"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4,37</w:t>
            </w:r>
          </w:p>
        </w:tc>
        <w:tc>
          <w:tcPr>
            <w:tcW w:w="992"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96,26%</w:t>
            </w:r>
          </w:p>
        </w:tc>
        <w:tc>
          <w:tcPr>
            <w:tcW w:w="1134"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3,84</w:t>
            </w:r>
          </w:p>
        </w:tc>
        <w:tc>
          <w:tcPr>
            <w:tcW w:w="156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84,58%</w:t>
            </w:r>
          </w:p>
        </w:tc>
        <w:tc>
          <w:tcPr>
            <w:tcW w:w="108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2,39</w:t>
            </w:r>
          </w:p>
        </w:tc>
        <w:tc>
          <w:tcPr>
            <w:tcW w:w="1080" w:type="dxa"/>
            <w:tcBorders>
              <w:top w:val="nil"/>
              <w:left w:val="nil"/>
              <w:bottom w:val="single" w:sz="8" w:space="0" w:color="FFFFFF"/>
              <w:right w:val="single" w:sz="8" w:space="0" w:color="FFFFFF"/>
            </w:tcBorders>
            <w:shd w:val="clear" w:color="000000" w:fill="F9D8CD"/>
            <w:noWrap/>
            <w:vAlign w:val="center"/>
            <w:hideMark/>
          </w:tcPr>
          <w:p w:rsidR="00C43B75" w:rsidRDefault="00203F7B" w:rsidP="00C43B75">
            <w:pPr>
              <w:spacing w:after="0" w:line="240" w:lineRule="auto"/>
              <w:jc w:val="center"/>
              <w:rPr>
                <w:sz w:val="20"/>
                <w:szCs w:val="20"/>
              </w:rPr>
            </w:pPr>
            <w:r w:rsidRPr="006D71C7">
              <w:rPr>
                <w:sz w:val="20"/>
                <w:szCs w:val="20"/>
              </w:rPr>
              <w:t>52,64%</w:t>
            </w:r>
          </w:p>
        </w:tc>
      </w:tr>
    </w:tbl>
    <w:p w:rsidR="002B4EDB" w:rsidRPr="006D71C7" w:rsidRDefault="002B4EDB" w:rsidP="004218CA">
      <w:pPr>
        <w:spacing w:after="120"/>
        <w:jc w:val="both"/>
        <w:rPr>
          <w:szCs w:val="24"/>
        </w:rPr>
      </w:pPr>
    </w:p>
    <w:p w:rsidR="00C43B75" w:rsidRDefault="00C43B75" w:rsidP="004218CA">
      <w:pPr>
        <w:pStyle w:val="Legenda"/>
        <w:spacing w:line="276" w:lineRule="auto"/>
        <w:jc w:val="both"/>
        <w:rPr>
          <w:szCs w:val="24"/>
        </w:rPr>
      </w:pPr>
      <w:r w:rsidRPr="00C43B75">
        <w:rPr>
          <w:b w:val="0"/>
          <w:color w:val="auto"/>
          <w:sz w:val="24"/>
          <w:szCs w:val="24"/>
        </w:rPr>
        <w:t xml:space="preserve">W ramach priorytetu IV przewidziano trzy procedury oceny i wyboru projektów: konkursową, PRS i projekty kluczowe. W ramach priorytetu realizowany jest jeden projekt kluczowy </w:t>
      </w:r>
      <w:r w:rsidRPr="00C43B75">
        <w:rPr>
          <w:b w:val="0"/>
          <w:i/>
          <w:color w:val="auto"/>
          <w:sz w:val="24"/>
          <w:szCs w:val="24"/>
        </w:rPr>
        <w:t xml:space="preserve">Kompleksowa restauracja zabudowań klasztoru Ojców Paulinów na Jasnej Górze, </w:t>
      </w:r>
      <w:r w:rsidRPr="00C43B75">
        <w:rPr>
          <w:b w:val="0"/>
          <w:color w:val="auto"/>
          <w:sz w:val="24"/>
          <w:szCs w:val="24"/>
        </w:rPr>
        <w:t xml:space="preserve">w ramach którego podpisano 3 umowy o dofinansowanie z podprojektami. Dwa z trzech podprojektów zostały już zakończone, ostatni wg. harmonogramu zakończy się w przyszłym okresie sprawozdawczym. </w:t>
      </w:r>
      <w:r w:rsidRPr="00C43B75">
        <w:rPr>
          <w:b w:val="0"/>
          <w:i/>
          <w:color w:val="auto"/>
          <w:sz w:val="24"/>
          <w:szCs w:val="24"/>
        </w:rPr>
        <w:t xml:space="preserve"> </w:t>
      </w:r>
      <w:r w:rsidRPr="00C43B75">
        <w:rPr>
          <w:b w:val="0"/>
          <w:color w:val="auto"/>
          <w:sz w:val="24"/>
          <w:szCs w:val="24"/>
        </w:rPr>
        <w:t xml:space="preserve">Realizacja w ramach przedmiotowego priorytetu w każdej ścieżce jest na wysokim poziomie. Z analizy wynika, że najbardziej zaawansowany w realizacji jest projekt kluczowy zarówno pod względem kontraktacji, jak i płatności. W okresie sprawozdawczym, w związku z powstałymi oszczędnościami złożone zostały do oceny 3 projekty z listy rezerwowej w ramach ścieżki PRS, w związku z tym poziom kontraktacji w kolejnym okresie znacznie wzrośnie.  </w:t>
      </w:r>
    </w:p>
    <w:p w:rsidR="00760EB8" w:rsidRDefault="00D342FB">
      <w:pPr>
        <w:pStyle w:val="Legenda"/>
        <w:jc w:val="both"/>
        <w:rPr>
          <w:b w:val="0"/>
          <w:color w:val="auto"/>
          <w:sz w:val="20"/>
          <w:szCs w:val="20"/>
        </w:rPr>
      </w:pPr>
      <w:r w:rsidRPr="006D71C7">
        <w:rPr>
          <w:noProof/>
          <w:szCs w:val="24"/>
        </w:rPr>
        <w:drawing>
          <wp:inline distT="0" distB="0" distL="0" distR="0">
            <wp:extent cx="5759450" cy="3819829"/>
            <wp:effectExtent l="38100" t="0" r="12700" b="0"/>
            <wp:docPr id="33"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420" w:name="_Toc292793753"/>
      <w:bookmarkStart w:id="421" w:name="_Toc292796334"/>
      <w:bookmarkStart w:id="422" w:name="_Toc292796828"/>
      <w:bookmarkStart w:id="423" w:name="_Toc292889138"/>
      <w:bookmarkStart w:id="424" w:name="_Toc295293446"/>
      <w:bookmarkStart w:id="425" w:name="_Toc324853727"/>
      <w:bookmarkStart w:id="426" w:name="_Toc324855896"/>
      <w:r w:rsidR="00942E6B">
        <w:t xml:space="preserve"> </w:t>
      </w:r>
      <w:r w:rsidR="00CA7BF8">
        <w:t xml:space="preserve"> </w:t>
      </w:r>
      <w:bookmarkStart w:id="427" w:name="_Toc326055354"/>
      <w:r w:rsidR="00C43B75" w:rsidRPr="00C43B75">
        <w:rPr>
          <w:color w:val="auto"/>
          <w:sz w:val="20"/>
          <w:szCs w:val="20"/>
        </w:rPr>
        <w:t xml:space="preserve">Rysunek </w:t>
      </w:r>
      <w:r w:rsidR="008F7228" w:rsidRPr="00C43B75">
        <w:rPr>
          <w:color w:val="auto"/>
          <w:sz w:val="20"/>
          <w:szCs w:val="20"/>
        </w:rPr>
        <w:fldChar w:fldCharType="begin"/>
      </w:r>
      <w:r w:rsidR="00C43B75"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36</w:t>
      </w:r>
      <w:r w:rsidR="008F7228" w:rsidRPr="00C43B75">
        <w:rPr>
          <w:color w:val="auto"/>
          <w:sz w:val="20"/>
          <w:szCs w:val="20"/>
        </w:rPr>
        <w:fldChar w:fldCharType="end"/>
      </w:r>
      <w:r w:rsidR="00C43B75" w:rsidRPr="00C43B75">
        <w:rPr>
          <w:color w:val="auto"/>
          <w:sz w:val="20"/>
          <w:szCs w:val="20"/>
        </w:rPr>
        <w:t xml:space="preserve"> </w:t>
      </w:r>
      <w:r w:rsidR="00C43B75" w:rsidRPr="00C43B75">
        <w:rPr>
          <w:b w:val="0"/>
          <w:i/>
          <w:color w:val="auto"/>
          <w:sz w:val="20"/>
          <w:szCs w:val="20"/>
        </w:rPr>
        <w:t>Realizacja priorytety IV w podziale na trzy procedury wyboru projektów</w:t>
      </w:r>
      <w:bookmarkEnd w:id="420"/>
      <w:bookmarkEnd w:id="421"/>
      <w:bookmarkEnd w:id="422"/>
      <w:bookmarkEnd w:id="423"/>
      <w:bookmarkEnd w:id="424"/>
      <w:bookmarkEnd w:id="425"/>
      <w:bookmarkEnd w:id="426"/>
      <w:bookmarkEnd w:id="427"/>
    </w:p>
    <w:p w:rsidR="00A93621" w:rsidRPr="006D71C7" w:rsidRDefault="00D342FB" w:rsidP="006D71C7">
      <w:pPr>
        <w:jc w:val="both"/>
        <w:rPr>
          <w:szCs w:val="24"/>
        </w:rPr>
      </w:pPr>
      <w:r w:rsidRPr="006D71C7">
        <w:rPr>
          <w:szCs w:val="24"/>
        </w:rPr>
        <w:t xml:space="preserve">W ramach przedmiotowego priorytetu ostatni nabór </w:t>
      </w:r>
      <w:r w:rsidR="0042054D" w:rsidRPr="006D71C7">
        <w:rPr>
          <w:szCs w:val="24"/>
        </w:rPr>
        <w:t xml:space="preserve">w ścieżce konkursowej </w:t>
      </w:r>
      <w:r w:rsidRPr="006D71C7">
        <w:rPr>
          <w:szCs w:val="24"/>
        </w:rPr>
        <w:t>został ogłoszony na początku 2010 roku. W okresie sprawozdawczym n</w:t>
      </w:r>
      <w:r w:rsidR="004A1751" w:rsidRPr="006D71C7">
        <w:rPr>
          <w:szCs w:val="24"/>
        </w:rPr>
        <w:t>ie ogłoszono żadnego naboru, od </w:t>
      </w:r>
      <w:r w:rsidRPr="006D71C7">
        <w:rPr>
          <w:szCs w:val="24"/>
        </w:rPr>
        <w:t xml:space="preserve">uruchomienia </w:t>
      </w:r>
      <w:r w:rsidRPr="006D71C7">
        <w:rPr>
          <w:i/>
          <w:szCs w:val="24"/>
        </w:rPr>
        <w:t>Programu</w:t>
      </w:r>
      <w:r w:rsidRPr="006D71C7">
        <w:rPr>
          <w:szCs w:val="24"/>
        </w:rPr>
        <w:t xml:space="preserve"> ogłoszono 7 naborów na kwotę 33,27 mln EUR.</w:t>
      </w:r>
    </w:p>
    <w:p w:rsidR="00E632B4" w:rsidRPr="006D71C7" w:rsidRDefault="00E632B4" w:rsidP="006D71C7">
      <w:pPr>
        <w:spacing w:before="240"/>
        <w:jc w:val="both"/>
        <w:rPr>
          <w:b/>
          <w:i/>
          <w:szCs w:val="24"/>
        </w:rPr>
      </w:pPr>
      <w:r w:rsidRPr="006D71C7">
        <w:rPr>
          <w:b/>
          <w:i/>
          <w:szCs w:val="24"/>
        </w:rPr>
        <w:t>Rozkład projektów</w:t>
      </w:r>
      <w:r w:rsidR="006628BF" w:rsidRPr="006D71C7">
        <w:rPr>
          <w:b/>
          <w:i/>
          <w:szCs w:val="24"/>
        </w:rPr>
        <w:t xml:space="preserve"> realizowanych w ramach p</w:t>
      </w:r>
      <w:r w:rsidRPr="006D71C7">
        <w:rPr>
          <w:b/>
          <w:i/>
          <w:szCs w:val="24"/>
        </w:rPr>
        <w:t>riorytetu IV</w:t>
      </w:r>
      <w:r w:rsidR="00145970" w:rsidRPr="006D71C7">
        <w:rPr>
          <w:b/>
          <w:i/>
          <w:szCs w:val="24"/>
        </w:rPr>
        <w:t xml:space="preserve"> </w:t>
      </w:r>
    </w:p>
    <w:p w:rsidR="0038329F" w:rsidRPr="006D71C7" w:rsidRDefault="00720F07" w:rsidP="004218CA">
      <w:pPr>
        <w:spacing w:after="120"/>
        <w:jc w:val="both"/>
        <w:rPr>
          <w:bCs/>
          <w:szCs w:val="24"/>
        </w:rPr>
      </w:pPr>
      <w:r w:rsidRPr="006D71C7">
        <w:rPr>
          <w:bCs/>
          <w:szCs w:val="24"/>
        </w:rPr>
        <w:t xml:space="preserve">Analizując rozkład udzielonego wsparcia według typu beneficjentów najszersze grono stanowią JST zarówno pod względem wartości realizowanych projektów jak i liczby. </w:t>
      </w:r>
    </w:p>
    <w:p w:rsidR="00C43B75" w:rsidRDefault="00720F07" w:rsidP="00C43B75">
      <w:pPr>
        <w:spacing w:after="120" w:line="240" w:lineRule="auto"/>
        <w:jc w:val="center"/>
        <w:rPr>
          <w:b/>
          <w:bCs/>
          <w:szCs w:val="24"/>
        </w:rPr>
      </w:pPr>
      <w:r w:rsidRPr="006D71C7">
        <w:rPr>
          <w:b/>
          <w:bCs/>
          <w:noProof/>
          <w:szCs w:val="24"/>
        </w:rPr>
        <w:drawing>
          <wp:inline distT="0" distB="0" distL="0" distR="0">
            <wp:extent cx="4946975" cy="2511499"/>
            <wp:effectExtent l="38100" t="19050" r="25075" b="3101"/>
            <wp:docPr id="3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60EB8" w:rsidRDefault="00C43B75">
      <w:pPr>
        <w:pStyle w:val="Legenda"/>
        <w:jc w:val="both"/>
        <w:rPr>
          <w:bCs w:val="0"/>
          <w:color w:val="auto"/>
          <w:sz w:val="20"/>
          <w:szCs w:val="20"/>
        </w:rPr>
      </w:pPr>
      <w:bookmarkStart w:id="428" w:name="_Toc324854707"/>
      <w:bookmarkStart w:id="429" w:name="_Toc324854771"/>
      <w:bookmarkStart w:id="430" w:name="_Toc326055355"/>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37</w:t>
      </w:r>
      <w:r w:rsidR="008F7228" w:rsidRPr="00C43B75">
        <w:rPr>
          <w:color w:val="auto"/>
          <w:sz w:val="20"/>
          <w:szCs w:val="20"/>
        </w:rPr>
        <w:fldChar w:fldCharType="end"/>
      </w:r>
      <w:r w:rsidRPr="00C43B75">
        <w:rPr>
          <w:bCs w:val="0"/>
          <w:color w:val="auto"/>
          <w:sz w:val="20"/>
          <w:szCs w:val="20"/>
        </w:rPr>
        <w:t xml:space="preserve"> </w:t>
      </w:r>
      <w:r w:rsidRPr="00C43B75">
        <w:rPr>
          <w:b w:val="0"/>
          <w:bCs w:val="0"/>
          <w:color w:val="auto"/>
          <w:sz w:val="20"/>
          <w:szCs w:val="20"/>
        </w:rPr>
        <w:t>R</w:t>
      </w:r>
      <w:r w:rsidR="00D20EE2" w:rsidRPr="00D20EE2">
        <w:rPr>
          <w:b w:val="0"/>
          <w:i/>
          <w:color w:val="auto"/>
          <w:sz w:val="20"/>
          <w:szCs w:val="20"/>
        </w:rPr>
        <w:t>ozkład projektów w podziale na beneficjentów</w:t>
      </w:r>
      <w:bookmarkEnd w:id="428"/>
      <w:bookmarkEnd w:id="429"/>
      <w:bookmarkEnd w:id="430"/>
    </w:p>
    <w:p w:rsidR="00720F07" w:rsidRPr="006D71C7" w:rsidRDefault="00CA72BF" w:rsidP="006D71C7">
      <w:pPr>
        <w:pStyle w:val="Legenda"/>
        <w:spacing w:line="276" w:lineRule="auto"/>
        <w:jc w:val="both"/>
        <w:rPr>
          <w:b w:val="0"/>
          <w:color w:val="auto"/>
          <w:sz w:val="24"/>
          <w:szCs w:val="24"/>
        </w:rPr>
      </w:pPr>
      <w:bookmarkStart w:id="431" w:name="_Toc292793756"/>
      <w:bookmarkStart w:id="432" w:name="_Toc292796337"/>
      <w:bookmarkStart w:id="433" w:name="_Toc292796831"/>
      <w:bookmarkStart w:id="434" w:name="_Toc292889141"/>
      <w:bookmarkStart w:id="435" w:name="_Toc295293449"/>
      <w:r w:rsidRPr="006D71C7">
        <w:rPr>
          <w:b w:val="0"/>
          <w:color w:val="auto"/>
          <w:sz w:val="24"/>
          <w:szCs w:val="24"/>
        </w:rPr>
        <w:t>Większość projektów (65%) realizowanych w ramach przedmiotowego priorytetu realizowana jest na obszarach miejskich. W województwie śląskim znaczące obiekty kultury  znajdują się w większych miastach, stąd liczba projektów jest dwa razy większa niż na obszarach wiejskich.</w:t>
      </w:r>
    </w:p>
    <w:p w:rsidR="001915C3" w:rsidRPr="006D71C7" w:rsidRDefault="007338BD" w:rsidP="006D71C7">
      <w:pPr>
        <w:pStyle w:val="Legenda"/>
        <w:jc w:val="both"/>
        <w:rPr>
          <w:rFonts w:eastAsia="Calibri"/>
          <w:color w:val="auto"/>
          <w:sz w:val="20"/>
          <w:szCs w:val="20"/>
        </w:rPr>
      </w:pPr>
      <w:bookmarkStart w:id="436" w:name="_Toc324853728"/>
      <w:bookmarkStart w:id="437" w:name="_Toc326046376"/>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24</w:t>
      </w:r>
      <w:r w:rsidR="008F7228" w:rsidRPr="006D71C7">
        <w:rPr>
          <w:color w:val="auto"/>
          <w:sz w:val="20"/>
          <w:szCs w:val="20"/>
        </w:rPr>
        <w:fldChar w:fldCharType="end"/>
      </w:r>
      <w:r w:rsidR="009214D1" w:rsidRPr="006D71C7">
        <w:rPr>
          <w:color w:val="auto"/>
        </w:rPr>
        <w:t xml:space="preserve"> </w:t>
      </w:r>
      <w:r w:rsidR="008D0DB4" w:rsidRPr="006D71C7">
        <w:rPr>
          <w:b w:val="0"/>
          <w:i/>
          <w:color w:val="auto"/>
          <w:sz w:val="20"/>
          <w:szCs w:val="20"/>
        </w:rPr>
        <w:t xml:space="preserve">Rozkład projektów </w:t>
      </w:r>
      <w:r w:rsidR="00C94B41" w:rsidRPr="006D71C7">
        <w:rPr>
          <w:b w:val="0"/>
          <w:i/>
          <w:color w:val="auto"/>
          <w:sz w:val="20"/>
          <w:szCs w:val="20"/>
        </w:rPr>
        <w:t xml:space="preserve">realizowanych w ramach </w:t>
      </w:r>
      <w:r w:rsidR="009214D1" w:rsidRPr="006D71C7">
        <w:rPr>
          <w:b w:val="0"/>
          <w:i/>
          <w:color w:val="auto"/>
          <w:sz w:val="20"/>
          <w:szCs w:val="20"/>
        </w:rPr>
        <w:t>p</w:t>
      </w:r>
      <w:r w:rsidR="00C94B41" w:rsidRPr="006D71C7">
        <w:rPr>
          <w:b w:val="0"/>
          <w:i/>
          <w:color w:val="auto"/>
          <w:sz w:val="20"/>
          <w:szCs w:val="20"/>
        </w:rPr>
        <w:t xml:space="preserve">riorytetu IV </w:t>
      </w:r>
      <w:r w:rsidR="008D0DB4" w:rsidRPr="006D71C7">
        <w:rPr>
          <w:b w:val="0"/>
          <w:i/>
          <w:color w:val="auto"/>
          <w:sz w:val="20"/>
          <w:szCs w:val="20"/>
        </w:rPr>
        <w:t>w podziale na obszary</w:t>
      </w:r>
      <w:bookmarkEnd w:id="431"/>
      <w:bookmarkEnd w:id="432"/>
      <w:bookmarkEnd w:id="433"/>
      <w:bookmarkEnd w:id="434"/>
      <w:bookmarkEnd w:id="435"/>
      <w:r w:rsidR="0075215C" w:rsidRPr="006D71C7">
        <w:rPr>
          <w:b w:val="0"/>
          <w:i/>
          <w:color w:val="auto"/>
          <w:sz w:val="20"/>
          <w:szCs w:val="20"/>
        </w:rPr>
        <w:t xml:space="preserve"> w mln EUR</w:t>
      </w:r>
      <w:bookmarkEnd w:id="436"/>
      <w:bookmarkEnd w:id="437"/>
    </w:p>
    <w:tbl>
      <w:tblPr>
        <w:tblW w:w="6242" w:type="dxa"/>
        <w:jc w:val="center"/>
        <w:tblInd w:w="60" w:type="dxa"/>
        <w:tblLayout w:type="fixed"/>
        <w:tblCellMar>
          <w:left w:w="70" w:type="dxa"/>
          <w:right w:w="70" w:type="dxa"/>
        </w:tblCellMar>
        <w:tblLook w:val="04A0" w:firstRow="1" w:lastRow="0" w:firstColumn="1" w:lastColumn="0" w:noHBand="0" w:noVBand="1"/>
      </w:tblPr>
      <w:tblGrid>
        <w:gridCol w:w="1286"/>
        <w:gridCol w:w="1128"/>
        <w:gridCol w:w="1701"/>
        <w:gridCol w:w="2127"/>
      </w:tblGrid>
      <w:tr w:rsidR="00CA72BF" w:rsidRPr="006D71C7" w:rsidTr="00D413B9">
        <w:trPr>
          <w:trHeight w:val="780"/>
          <w:jc w:val="center"/>
        </w:trPr>
        <w:tc>
          <w:tcPr>
            <w:tcW w:w="1286" w:type="dxa"/>
            <w:tcBorders>
              <w:top w:val="single" w:sz="8" w:space="0" w:color="D34817"/>
              <w:left w:val="single" w:sz="8" w:space="0" w:color="D34817"/>
              <w:bottom w:val="single" w:sz="8" w:space="0" w:color="D34817"/>
              <w:right w:val="single" w:sz="8" w:space="0" w:color="D34817"/>
            </w:tcBorders>
            <w:shd w:val="clear" w:color="000000" w:fill="F4B29B"/>
            <w:vAlign w:val="center"/>
            <w:hideMark/>
          </w:tcPr>
          <w:p w:rsidR="00C43B75" w:rsidRDefault="00CA72BF" w:rsidP="00C43B75">
            <w:pPr>
              <w:spacing w:after="0" w:line="240" w:lineRule="auto"/>
              <w:jc w:val="center"/>
              <w:rPr>
                <w:b/>
                <w:bCs/>
                <w:sz w:val="20"/>
                <w:szCs w:val="20"/>
              </w:rPr>
            </w:pPr>
            <w:r w:rsidRPr="006D71C7">
              <w:rPr>
                <w:b/>
                <w:bCs/>
                <w:sz w:val="20"/>
                <w:szCs w:val="20"/>
              </w:rPr>
              <w:t>OBSZAR</w:t>
            </w:r>
          </w:p>
        </w:tc>
        <w:tc>
          <w:tcPr>
            <w:tcW w:w="1128" w:type="dxa"/>
            <w:tcBorders>
              <w:top w:val="single" w:sz="8" w:space="0" w:color="D34817"/>
              <w:left w:val="nil"/>
              <w:bottom w:val="single" w:sz="8" w:space="0" w:color="D34817"/>
              <w:right w:val="single" w:sz="8" w:space="0" w:color="D34817"/>
            </w:tcBorders>
            <w:shd w:val="clear" w:color="000000" w:fill="F4B29B"/>
            <w:vAlign w:val="center"/>
            <w:hideMark/>
          </w:tcPr>
          <w:p w:rsidR="00C43B75" w:rsidRDefault="00CA72BF" w:rsidP="00C43B75">
            <w:pPr>
              <w:spacing w:after="0" w:line="240" w:lineRule="auto"/>
              <w:jc w:val="center"/>
              <w:rPr>
                <w:b/>
                <w:bCs/>
                <w:sz w:val="20"/>
                <w:szCs w:val="20"/>
              </w:rPr>
            </w:pPr>
            <w:r w:rsidRPr="006D71C7">
              <w:rPr>
                <w:b/>
                <w:bCs/>
                <w:sz w:val="20"/>
                <w:szCs w:val="20"/>
              </w:rPr>
              <w:t>LICZBA</w:t>
            </w:r>
          </w:p>
        </w:tc>
        <w:tc>
          <w:tcPr>
            <w:tcW w:w="1701" w:type="dxa"/>
            <w:tcBorders>
              <w:top w:val="single" w:sz="8" w:space="0" w:color="D34817"/>
              <w:left w:val="nil"/>
              <w:bottom w:val="single" w:sz="8" w:space="0" w:color="D34817"/>
              <w:right w:val="single" w:sz="8" w:space="0" w:color="D34817"/>
            </w:tcBorders>
            <w:shd w:val="clear" w:color="000000" w:fill="F4B29B"/>
            <w:vAlign w:val="center"/>
            <w:hideMark/>
          </w:tcPr>
          <w:p w:rsidR="00C43B75" w:rsidRDefault="00CA72BF" w:rsidP="00C43B75">
            <w:pPr>
              <w:spacing w:after="0" w:line="240" w:lineRule="auto"/>
              <w:jc w:val="center"/>
              <w:rPr>
                <w:b/>
                <w:bCs/>
                <w:sz w:val="20"/>
                <w:szCs w:val="20"/>
              </w:rPr>
            </w:pPr>
            <w:r w:rsidRPr="006D71C7">
              <w:rPr>
                <w:b/>
                <w:bCs/>
                <w:sz w:val="20"/>
                <w:szCs w:val="20"/>
              </w:rPr>
              <w:t>WARTOŚĆ OGÓŁEM</w:t>
            </w:r>
          </w:p>
        </w:tc>
        <w:tc>
          <w:tcPr>
            <w:tcW w:w="2127" w:type="dxa"/>
            <w:tcBorders>
              <w:top w:val="single" w:sz="8" w:space="0" w:color="D34817"/>
              <w:left w:val="nil"/>
              <w:bottom w:val="single" w:sz="8" w:space="0" w:color="D34817"/>
              <w:right w:val="single" w:sz="8" w:space="0" w:color="D34817"/>
            </w:tcBorders>
            <w:shd w:val="clear" w:color="000000" w:fill="F4B29B"/>
            <w:vAlign w:val="center"/>
            <w:hideMark/>
          </w:tcPr>
          <w:p w:rsidR="00C43B75" w:rsidRDefault="00CA72BF" w:rsidP="00C43B75">
            <w:pPr>
              <w:spacing w:after="0" w:line="240" w:lineRule="auto"/>
              <w:jc w:val="center"/>
              <w:rPr>
                <w:b/>
                <w:bCs/>
                <w:sz w:val="20"/>
                <w:szCs w:val="20"/>
              </w:rPr>
            </w:pPr>
            <w:r w:rsidRPr="006D71C7">
              <w:rPr>
                <w:b/>
                <w:bCs/>
                <w:sz w:val="20"/>
                <w:szCs w:val="20"/>
              </w:rPr>
              <w:t>DOFINANSOWANIE UE</w:t>
            </w:r>
          </w:p>
        </w:tc>
      </w:tr>
      <w:tr w:rsidR="00CA72BF" w:rsidRPr="006D71C7" w:rsidTr="00D413B9">
        <w:trPr>
          <w:trHeight w:val="537"/>
          <w:jc w:val="center"/>
        </w:trPr>
        <w:tc>
          <w:tcPr>
            <w:tcW w:w="1286" w:type="dxa"/>
            <w:tcBorders>
              <w:top w:val="nil"/>
              <w:left w:val="single" w:sz="8" w:space="0" w:color="D34817"/>
              <w:bottom w:val="single" w:sz="8" w:space="0" w:color="D34817"/>
              <w:right w:val="single" w:sz="8" w:space="0" w:color="D34817"/>
            </w:tcBorders>
            <w:shd w:val="clear" w:color="000000" w:fill="F4B29B"/>
            <w:vAlign w:val="center"/>
            <w:hideMark/>
          </w:tcPr>
          <w:p w:rsidR="00C43B75" w:rsidRDefault="00CA72BF" w:rsidP="00C43B75">
            <w:pPr>
              <w:spacing w:after="0" w:line="240" w:lineRule="auto"/>
              <w:jc w:val="center"/>
              <w:rPr>
                <w:b/>
                <w:bCs/>
                <w:sz w:val="20"/>
                <w:szCs w:val="20"/>
              </w:rPr>
            </w:pPr>
            <w:r w:rsidRPr="006D71C7">
              <w:rPr>
                <w:b/>
                <w:bCs/>
                <w:sz w:val="20"/>
                <w:szCs w:val="20"/>
              </w:rPr>
              <w:t>MIEJSKI</w:t>
            </w:r>
          </w:p>
        </w:tc>
        <w:tc>
          <w:tcPr>
            <w:tcW w:w="1128" w:type="dxa"/>
            <w:tcBorders>
              <w:top w:val="nil"/>
              <w:left w:val="nil"/>
              <w:bottom w:val="single" w:sz="8" w:space="0" w:color="D34817"/>
              <w:right w:val="single" w:sz="8" w:space="0" w:color="D34817"/>
            </w:tcBorders>
            <w:shd w:val="clear" w:color="000000" w:fill="F9D8CD"/>
            <w:vAlign w:val="center"/>
            <w:hideMark/>
          </w:tcPr>
          <w:p w:rsidR="00C43B75" w:rsidRDefault="00CA72BF" w:rsidP="00C43B75">
            <w:pPr>
              <w:spacing w:after="0" w:line="240" w:lineRule="auto"/>
              <w:jc w:val="center"/>
              <w:rPr>
                <w:sz w:val="22"/>
              </w:rPr>
            </w:pPr>
            <w:r w:rsidRPr="006D71C7">
              <w:rPr>
                <w:sz w:val="22"/>
              </w:rPr>
              <w:t>82</w:t>
            </w:r>
          </w:p>
        </w:tc>
        <w:tc>
          <w:tcPr>
            <w:tcW w:w="1701" w:type="dxa"/>
            <w:tcBorders>
              <w:top w:val="nil"/>
              <w:left w:val="nil"/>
              <w:bottom w:val="single" w:sz="8" w:space="0" w:color="D34817"/>
              <w:right w:val="single" w:sz="8" w:space="0" w:color="D34817"/>
            </w:tcBorders>
            <w:shd w:val="clear" w:color="000000" w:fill="F9D8CD"/>
            <w:vAlign w:val="center"/>
            <w:hideMark/>
          </w:tcPr>
          <w:p w:rsidR="00C43B75" w:rsidRDefault="00CA72BF" w:rsidP="00C43B75">
            <w:pPr>
              <w:spacing w:after="0" w:line="240" w:lineRule="auto"/>
              <w:jc w:val="center"/>
              <w:rPr>
                <w:sz w:val="22"/>
              </w:rPr>
            </w:pPr>
            <w:r w:rsidRPr="006D71C7">
              <w:rPr>
                <w:sz w:val="22"/>
              </w:rPr>
              <w:t>46,67</w:t>
            </w:r>
          </w:p>
        </w:tc>
        <w:tc>
          <w:tcPr>
            <w:tcW w:w="2127" w:type="dxa"/>
            <w:tcBorders>
              <w:top w:val="nil"/>
              <w:left w:val="nil"/>
              <w:bottom w:val="single" w:sz="8" w:space="0" w:color="D34817"/>
              <w:right w:val="single" w:sz="8" w:space="0" w:color="D34817"/>
            </w:tcBorders>
            <w:shd w:val="clear" w:color="000000" w:fill="F9D8CD"/>
            <w:vAlign w:val="center"/>
            <w:hideMark/>
          </w:tcPr>
          <w:p w:rsidR="00C43B75" w:rsidRDefault="00CA72BF" w:rsidP="00C43B75">
            <w:pPr>
              <w:spacing w:after="0" w:line="240" w:lineRule="auto"/>
              <w:jc w:val="center"/>
              <w:rPr>
                <w:sz w:val="22"/>
              </w:rPr>
            </w:pPr>
            <w:r w:rsidRPr="006D71C7">
              <w:rPr>
                <w:sz w:val="22"/>
              </w:rPr>
              <w:t>35,73</w:t>
            </w:r>
          </w:p>
        </w:tc>
      </w:tr>
      <w:tr w:rsidR="00CA72BF" w:rsidRPr="006D71C7" w:rsidTr="00D413B9">
        <w:trPr>
          <w:trHeight w:val="543"/>
          <w:jc w:val="center"/>
        </w:trPr>
        <w:tc>
          <w:tcPr>
            <w:tcW w:w="1286" w:type="dxa"/>
            <w:tcBorders>
              <w:top w:val="nil"/>
              <w:left w:val="single" w:sz="8" w:space="0" w:color="D34817"/>
              <w:bottom w:val="single" w:sz="8" w:space="0" w:color="D34817"/>
              <w:right w:val="single" w:sz="8" w:space="0" w:color="D34817"/>
            </w:tcBorders>
            <w:shd w:val="clear" w:color="000000" w:fill="F4B29B"/>
            <w:vAlign w:val="center"/>
            <w:hideMark/>
          </w:tcPr>
          <w:p w:rsidR="00C43B75" w:rsidRDefault="00CA72BF" w:rsidP="00C43B75">
            <w:pPr>
              <w:spacing w:after="0" w:line="240" w:lineRule="auto"/>
              <w:jc w:val="center"/>
              <w:rPr>
                <w:b/>
                <w:bCs/>
                <w:sz w:val="20"/>
                <w:szCs w:val="20"/>
              </w:rPr>
            </w:pPr>
            <w:r w:rsidRPr="006D71C7">
              <w:rPr>
                <w:b/>
                <w:bCs/>
                <w:sz w:val="20"/>
                <w:szCs w:val="20"/>
              </w:rPr>
              <w:t>WIEJSKI</w:t>
            </w:r>
          </w:p>
        </w:tc>
        <w:tc>
          <w:tcPr>
            <w:tcW w:w="1128" w:type="dxa"/>
            <w:tcBorders>
              <w:top w:val="nil"/>
              <w:left w:val="nil"/>
              <w:bottom w:val="single" w:sz="8" w:space="0" w:color="D34817"/>
              <w:right w:val="single" w:sz="8" w:space="0" w:color="D34817"/>
            </w:tcBorders>
            <w:shd w:val="clear" w:color="000000" w:fill="F9D8CD"/>
            <w:vAlign w:val="center"/>
            <w:hideMark/>
          </w:tcPr>
          <w:p w:rsidR="00C43B75" w:rsidRDefault="00CA72BF" w:rsidP="00C43B75">
            <w:pPr>
              <w:spacing w:after="0" w:line="240" w:lineRule="auto"/>
              <w:jc w:val="center"/>
              <w:rPr>
                <w:sz w:val="22"/>
              </w:rPr>
            </w:pPr>
            <w:r w:rsidRPr="006D71C7">
              <w:rPr>
                <w:sz w:val="22"/>
              </w:rPr>
              <w:t>40</w:t>
            </w:r>
          </w:p>
        </w:tc>
        <w:tc>
          <w:tcPr>
            <w:tcW w:w="1701" w:type="dxa"/>
            <w:tcBorders>
              <w:top w:val="nil"/>
              <w:left w:val="nil"/>
              <w:bottom w:val="single" w:sz="8" w:space="0" w:color="D34817"/>
              <w:right w:val="single" w:sz="8" w:space="0" w:color="D34817"/>
            </w:tcBorders>
            <w:shd w:val="clear" w:color="000000" w:fill="F9D8CD"/>
            <w:vAlign w:val="center"/>
            <w:hideMark/>
          </w:tcPr>
          <w:p w:rsidR="00C43B75" w:rsidRDefault="00CA72BF" w:rsidP="00C43B75">
            <w:pPr>
              <w:spacing w:after="0" w:line="240" w:lineRule="auto"/>
              <w:jc w:val="center"/>
              <w:rPr>
                <w:sz w:val="22"/>
              </w:rPr>
            </w:pPr>
            <w:r w:rsidRPr="006D71C7">
              <w:rPr>
                <w:sz w:val="22"/>
              </w:rPr>
              <w:t>12,06</w:t>
            </w:r>
          </w:p>
        </w:tc>
        <w:tc>
          <w:tcPr>
            <w:tcW w:w="2127" w:type="dxa"/>
            <w:tcBorders>
              <w:top w:val="nil"/>
              <w:left w:val="nil"/>
              <w:bottom w:val="single" w:sz="8" w:space="0" w:color="D34817"/>
              <w:right w:val="single" w:sz="8" w:space="0" w:color="D34817"/>
            </w:tcBorders>
            <w:shd w:val="clear" w:color="000000" w:fill="F9D8CD"/>
            <w:vAlign w:val="center"/>
            <w:hideMark/>
          </w:tcPr>
          <w:p w:rsidR="00C43B75" w:rsidRDefault="00CA72BF" w:rsidP="00C43B75">
            <w:pPr>
              <w:spacing w:after="0" w:line="240" w:lineRule="auto"/>
              <w:jc w:val="center"/>
              <w:rPr>
                <w:sz w:val="22"/>
              </w:rPr>
            </w:pPr>
            <w:r w:rsidRPr="006D71C7">
              <w:rPr>
                <w:sz w:val="22"/>
              </w:rPr>
              <w:t>9,06</w:t>
            </w:r>
          </w:p>
        </w:tc>
      </w:tr>
      <w:tr w:rsidR="00CA72BF" w:rsidRPr="006D71C7" w:rsidTr="00D413B9">
        <w:trPr>
          <w:trHeight w:val="539"/>
          <w:jc w:val="center"/>
        </w:trPr>
        <w:tc>
          <w:tcPr>
            <w:tcW w:w="1286" w:type="dxa"/>
            <w:tcBorders>
              <w:top w:val="nil"/>
              <w:left w:val="single" w:sz="8" w:space="0" w:color="D34817"/>
              <w:bottom w:val="single" w:sz="8" w:space="0" w:color="D34817"/>
              <w:right w:val="single" w:sz="8" w:space="0" w:color="D34817"/>
            </w:tcBorders>
            <w:shd w:val="clear" w:color="000000" w:fill="F4B29B"/>
            <w:vAlign w:val="center"/>
            <w:hideMark/>
          </w:tcPr>
          <w:p w:rsidR="00C43B75" w:rsidRDefault="00CA72BF" w:rsidP="00C43B75">
            <w:pPr>
              <w:spacing w:after="0" w:line="240" w:lineRule="auto"/>
              <w:jc w:val="center"/>
              <w:rPr>
                <w:b/>
                <w:bCs/>
                <w:sz w:val="20"/>
                <w:szCs w:val="20"/>
              </w:rPr>
            </w:pPr>
            <w:r w:rsidRPr="006D71C7">
              <w:rPr>
                <w:b/>
                <w:bCs/>
                <w:sz w:val="20"/>
                <w:szCs w:val="20"/>
              </w:rPr>
              <w:t>GÓRSKI</w:t>
            </w:r>
          </w:p>
        </w:tc>
        <w:tc>
          <w:tcPr>
            <w:tcW w:w="1128" w:type="dxa"/>
            <w:tcBorders>
              <w:top w:val="nil"/>
              <w:left w:val="nil"/>
              <w:bottom w:val="single" w:sz="8" w:space="0" w:color="D34817"/>
              <w:right w:val="single" w:sz="8" w:space="0" w:color="D34817"/>
            </w:tcBorders>
            <w:shd w:val="clear" w:color="000000" w:fill="F9D8CD"/>
            <w:vAlign w:val="center"/>
            <w:hideMark/>
          </w:tcPr>
          <w:p w:rsidR="00C43B75" w:rsidRDefault="00CA72BF" w:rsidP="00C43B75">
            <w:pPr>
              <w:spacing w:after="0" w:line="240" w:lineRule="auto"/>
              <w:jc w:val="center"/>
              <w:rPr>
                <w:sz w:val="22"/>
              </w:rPr>
            </w:pPr>
            <w:r w:rsidRPr="006D71C7">
              <w:rPr>
                <w:sz w:val="22"/>
              </w:rPr>
              <w:t>4</w:t>
            </w:r>
          </w:p>
        </w:tc>
        <w:tc>
          <w:tcPr>
            <w:tcW w:w="1701" w:type="dxa"/>
            <w:tcBorders>
              <w:top w:val="nil"/>
              <w:left w:val="nil"/>
              <w:bottom w:val="single" w:sz="8" w:space="0" w:color="D34817"/>
              <w:right w:val="single" w:sz="8" w:space="0" w:color="D34817"/>
            </w:tcBorders>
            <w:shd w:val="clear" w:color="000000" w:fill="F9D8CD"/>
            <w:vAlign w:val="center"/>
            <w:hideMark/>
          </w:tcPr>
          <w:p w:rsidR="00C43B75" w:rsidRDefault="00CA72BF" w:rsidP="00C43B75">
            <w:pPr>
              <w:spacing w:after="0" w:line="240" w:lineRule="auto"/>
              <w:jc w:val="center"/>
              <w:rPr>
                <w:sz w:val="22"/>
              </w:rPr>
            </w:pPr>
            <w:r w:rsidRPr="006D71C7">
              <w:rPr>
                <w:sz w:val="22"/>
              </w:rPr>
              <w:t>1,45</w:t>
            </w:r>
          </w:p>
        </w:tc>
        <w:tc>
          <w:tcPr>
            <w:tcW w:w="2127" w:type="dxa"/>
            <w:tcBorders>
              <w:top w:val="nil"/>
              <w:left w:val="nil"/>
              <w:bottom w:val="single" w:sz="8" w:space="0" w:color="D34817"/>
              <w:right w:val="single" w:sz="8" w:space="0" w:color="D34817"/>
            </w:tcBorders>
            <w:shd w:val="clear" w:color="000000" w:fill="F9D8CD"/>
            <w:vAlign w:val="center"/>
            <w:hideMark/>
          </w:tcPr>
          <w:p w:rsidR="00C43B75" w:rsidRDefault="00CA72BF" w:rsidP="00C43B75">
            <w:pPr>
              <w:spacing w:after="0" w:line="240" w:lineRule="auto"/>
              <w:jc w:val="center"/>
              <w:rPr>
                <w:sz w:val="22"/>
              </w:rPr>
            </w:pPr>
            <w:r w:rsidRPr="006D71C7">
              <w:rPr>
                <w:sz w:val="22"/>
              </w:rPr>
              <w:t>1,14</w:t>
            </w:r>
          </w:p>
        </w:tc>
      </w:tr>
    </w:tbl>
    <w:p w:rsidR="00D46BD2" w:rsidRPr="006D71C7" w:rsidRDefault="00D46BD2" w:rsidP="006D71C7">
      <w:pPr>
        <w:jc w:val="both"/>
        <w:rPr>
          <w:noProof/>
          <w:szCs w:val="24"/>
        </w:rPr>
      </w:pPr>
    </w:p>
    <w:p w:rsidR="00D46BD2" w:rsidRPr="006D71C7" w:rsidRDefault="00D46BD2" w:rsidP="006D71C7">
      <w:pPr>
        <w:jc w:val="both"/>
        <w:rPr>
          <w:noProof/>
          <w:szCs w:val="24"/>
        </w:rPr>
      </w:pPr>
      <w:r w:rsidRPr="006D71C7">
        <w:rPr>
          <w:noProof/>
          <w:szCs w:val="24"/>
        </w:rPr>
        <w:t>W ramach przedmiotowego priorytetu najaktywniejszymi beneficjentami były powiaty z </w:t>
      </w:r>
      <w:r w:rsidR="00AB0C3F" w:rsidRPr="006D71C7">
        <w:rPr>
          <w:noProof/>
          <w:szCs w:val="24"/>
        </w:rPr>
        <w:t xml:space="preserve">subregionu </w:t>
      </w:r>
      <w:r w:rsidRPr="006D71C7">
        <w:rPr>
          <w:noProof/>
          <w:szCs w:val="24"/>
        </w:rPr>
        <w:t xml:space="preserve">centralnego. </w:t>
      </w:r>
      <w:r w:rsidR="00D262BF" w:rsidRPr="006D71C7">
        <w:rPr>
          <w:noProof/>
          <w:szCs w:val="24"/>
        </w:rPr>
        <w:t>Najwięsze pod względem wartości projekty realizowane są w </w:t>
      </w:r>
      <w:r w:rsidR="001B2CAB" w:rsidRPr="006D71C7">
        <w:rPr>
          <w:noProof/>
          <w:szCs w:val="24"/>
        </w:rPr>
        <w:t>Częstoch</w:t>
      </w:r>
      <w:r w:rsidR="00D262BF" w:rsidRPr="006D71C7">
        <w:rPr>
          <w:noProof/>
          <w:szCs w:val="24"/>
        </w:rPr>
        <w:t>owie</w:t>
      </w:r>
      <w:r w:rsidRPr="006D71C7">
        <w:rPr>
          <w:noProof/>
          <w:szCs w:val="24"/>
        </w:rPr>
        <w:t xml:space="preserve"> (9 projektów na kwotę dofinansowania 9 mln EUR)</w:t>
      </w:r>
      <w:r w:rsidR="00D262BF" w:rsidRPr="006D71C7">
        <w:rPr>
          <w:noProof/>
          <w:szCs w:val="24"/>
        </w:rPr>
        <w:t xml:space="preserve">. </w:t>
      </w:r>
      <w:r w:rsidR="009D3BB1" w:rsidRPr="006D71C7">
        <w:rPr>
          <w:noProof/>
          <w:szCs w:val="24"/>
        </w:rPr>
        <w:t>Najwięcej projektów otrzymało dofinansowanie w powiecie cieszyńskim – 10 projektów na kwotę dofinansowania 2 mln EUR. Nie wszystkie powiaty województwa śląskiego starały się o dofinansowanie w ramach przedmiotowego priorytetu.</w:t>
      </w:r>
      <w:r w:rsidR="00D262BF" w:rsidRPr="006D71C7">
        <w:rPr>
          <w:noProof/>
          <w:szCs w:val="24"/>
        </w:rPr>
        <w:t xml:space="preserve"> </w:t>
      </w:r>
    </w:p>
    <w:p w:rsidR="00C43B75" w:rsidRDefault="005D6BA1" w:rsidP="00C43B75">
      <w:pPr>
        <w:spacing w:after="120"/>
        <w:jc w:val="both"/>
        <w:rPr>
          <w:sz w:val="20"/>
          <w:szCs w:val="20"/>
        </w:rPr>
      </w:pPr>
      <w:r w:rsidRPr="006D71C7">
        <w:rPr>
          <w:b/>
          <w:i/>
          <w:noProof/>
          <w:szCs w:val="24"/>
        </w:rPr>
        <w:drawing>
          <wp:inline distT="0" distB="0" distL="0" distR="0">
            <wp:extent cx="5754430" cy="4114800"/>
            <wp:effectExtent l="19050" t="0" r="0" b="0"/>
            <wp:docPr id="49"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cstate="print"/>
                    <a:srcRect/>
                    <a:stretch>
                      <a:fillRect/>
                    </a:stretch>
                  </pic:blipFill>
                  <pic:spPr bwMode="auto">
                    <a:xfrm>
                      <a:off x="0" y="0"/>
                      <a:ext cx="5759450" cy="4118390"/>
                    </a:xfrm>
                    <a:prstGeom prst="rect">
                      <a:avLst/>
                    </a:prstGeom>
                    <a:noFill/>
                    <a:ln w="9525">
                      <a:noFill/>
                      <a:miter lim="800000"/>
                      <a:headEnd/>
                      <a:tailEnd/>
                    </a:ln>
                  </pic:spPr>
                </pic:pic>
              </a:graphicData>
            </a:graphic>
          </wp:inline>
        </w:drawing>
      </w:r>
      <w:bookmarkStart w:id="438" w:name="_Toc324786942"/>
      <w:bookmarkStart w:id="439" w:name="_Toc324854708"/>
      <w:bookmarkStart w:id="440" w:name="_Toc324854772"/>
      <w:r w:rsidR="007338BD" w:rsidRPr="006D71C7">
        <w:rPr>
          <w:sz w:val="20"/>
          <w:szCs w:val="20"/>
        </w:rPr>
        <w:t xml:space="preserve"> </w:t>
      </w:r>
    </w:p>
    <w:p w:rsidR="00C43B75" w:rsidRPr="00C43B75" w:rsidRDefault="00C43B75" w:rsidP="00C43B75">
      <w:pPr>
        <w:pStyle w:val="Legenda"/>
        <w:rPr>
          <w:b w:val="0"/>
          <w:i/>
          <w:color w:val="auto"/>
          <w:sz w:val="20"/>
          <w:szCs w:val="20"/>
        </w:rPr>
      </w:pPr>
      <w:bookmarkStart w:id="441" w:name="_Toc326055356"/>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38</w:t>
      </w:r>
      <w:r w:rsidR="008F7228" w:rsidRPr="00C43B75">
        <w:rPr>
          <w:color w:val="auto"/>
          <w:sz w:val="20"/>
          <w:szCs w:val="20"/>
        </w:rPr>
        <w:fldChar w:fldCharType="end"/>
      </w:r>
      <w:r w:rsidRPr="00C43B75">
        <w:rPr>
          <w:b w:val="0"/>
          <w:i/>
          <w:color w:val="auto"/>
          <w:sz w:val="20"/>
          <w:szCs w:val="20"/>
        </w:rPr>
        <w:t>Rozkład projektów w podziale na powiaty</w:t>
      </w:r>
      <w:bookmarkEnd w:id="438"/>
      <w:bookmarkEnd w:id="439"/>
      <w:bookmarkEnd w:id="440"/>
      <w:bookmarkEnd w:id="441"/>
    </w:p>
    <w:p w:rsidR="004218CA" w:rsidRDefault="004218CA">
      <w:pPr>
        <w:spacing w:after="0" w:line="240" w:lineRule="auto"/>
        <w:rPr>
          <w:b/>
          <w:i/>
          <w:szCs w:val="24"/>
        </w:rPr>
      </w:pPr>
      <w:r>
        <w:rPr>
          <w:b/>
          <w:i/>
          <w:szCs w:val="24"/>
        </w:rPr>
        <w:br w:type="page"/>
      </w:r>
    </w:p>
    <w:p w:rsidR="000F467C" w:rsidRPr="006D71C7" w:rsidRDefault="000F467C" w:rsidP="006D71C7">
      <w:pPr>
        <w:spacing w:after="120"/>
        <w:jc w:val="both"/>
        <w:rPr>
          <w:b/>
          <w:i/>
          <w:szCs w:val="24"/>
        </w:rPr>
      </w:pPr>
      <w:r w:rsidRPr="006D71C7">
        <w:rPr>
          <w:b/>
          <w:i/>
          <w:szCs w:val="24"/>
        </w:rPr>
        <w:t xml:space="preserve">Analiza wskaźnikowa </w:t>
      </w:r>
    </w:p>
    <w:p w:rsidR="0075215C" w:rsidRPr="006D71C7" w:rsidRDefault="00D413B9" w:rsidP="006D71C7">
      <w:pPr>
        <w:jc w:val="both"/>
      </w:pPr>
      <w:r w:rsidRPr="006D71C7">
        <w:t>W ramach przedmiotowego priorytetu poziom realizacji wskaźników na koniec 2011 roku był na zadowalającym poziomie.</w:t>
      </w:r>
      <w:r w:rsidR="000E236D" w:rsidRPr="006D71C7">
        <w:t xml:space="preserve"> </w:t>
      </w:r>
      <w:r w:rsidR="0075215C" w:rsidRPr="006D71C7">
        <w:t>Brak również za</w:t>
      </w:r>
      <w:r w:rsidRPr="006D71C7">
        <w:t>strzeżeń do </w:t>
      </w:r>
      <w:r w:rsidR="0075215C" w:rsidRPr="006D71C7">
        <w:t>wartości szacowanej realizacji</w:t>
      </w:r>
      <w:r w:rsidR="004A1751" w:rsidRPr="006D71C7">
        <w:t>,</w:t>
      </w:r>
      <w:r w:rsidR="0075215C" w:rsidRPr="006D71C7">
        <w:t xml:space="preserve"> gdyż w większości przypadków wartość docelowa zostanie przekroczona. Jedynym wskaźnikiem który może nie osiągnąć wartości docelowej jest </w:t>
      </w:r>
      <w:r w:rsidR="0075215C" w:rsidRPr="006D71C7">
        <w:rPr>
          <w:i/>
        </w:rPr>
        <w:t>Liczba projektów wspierających sektor kultury</w:t>
      </w:r>
      <w:r w:rsidR="00AB0C3F" w:rsidRPr="006D71C7">
        <w:rPr>
          <w:i/>
        </w:rPr>
        <w:t>,</w:t>
      </w:r>
      <w:r w:rsidR="0075215C" w:rsidRPr="006D71C7">
        <w:t xml:space="preserve"> chociaż jego szacowana realizacja jest tylko nieznacznie niższa od zakładanej wartości docelowej. Na taką sytuację składa się kilka czynników, jednym z najważniejszych to wa</w:t>
      </w:r>
      <w:r w:rsidRPr="006D71C7">
        <w:t>rtość projektu w odniesieniu do </w:t>
      </w:r>
      <w:r w:rsidR="0075215C" w:rsidRPr="006D71C7">
        <w:t>alokacji na działanie/konkurs, która nie pozwala na zrealizowanie większej liczby projektów przy wyższej ich wartości, na co IZ RPO WSL nie ma wpływu. Przy zakładaniu wartości docelowej IZ RPO WSL nie mogła dokładnie przewidzieć czy beneficjenci będą realizować dużo projektów o niskiej wartości</w:t>
      </w:r>
      <w:r w:rsidR="00AB0C3F" w:rsidRPr="006D71C7">
        <w:t>,</w:t>
      </w:r>
      <w:r w:rsidR="0075215C" w:rsidRPr="006D71C7">
        <w:t xml:space="preserve"> czy odwrotnie jak ma to miejsce obecnie. Podsumowując nie osiągnięcie wskaźnika liczba projektów przy osiągnięciu pozostałych merytorycznych wskaźników, pokazuje że beneficjenci realizowali </w:t>
      </w:r>
      <w:r w:rsidR="00AB0C3F" w:rsidRPr="006D71C7">
        <w:t xml:space="preserve">większe </w:t>
      </w:r>
      <w:r w:rsidR="0075215C" w:rsidRPr="006D71C7">
        <w:t xml:space="preserve">inwestycje kompleksowe, których efekty </w:t>
      </w:r>
      <w:r w:rsidR="00D97AE2" w:rsidRPr="006D71C7">
        <w:t>są widoczne w regionie i przyczyniają</w:t>
      </w:r>
      <w:r w:rsidR="0075215C" w:rsidRPr="006D71C7">
        <w:t xml:space="preserve"> się do zmiany jego wizerunku wśród pozostałych regionów kraju oraz poza jego granicami.</w:t>
      </w:r>
    </w:p>
    <w:p w:rsidR="0075215C" w:rsidRDefault="0075215C" w:rsidP="006D71C7">
      <w:pPr>
        <w:jc w:val="both"/>
      </w:pPr>
      <w:r w:rsidRPr="006D71C7">
        <w:t xml:space="preserve">Realizacja wskaźnika </w:t>
      </w:r>
      <w:r w:rsidRPr="006D71C7">
        <w:rPr>
          <w:i/>
        </w:rPr>
        <w:t>Liczba budynków kultury poddanych modernizacji</w:t>
      </w:r>
      <w:r w:rsidRPr="006D71C7">
        <w:t xml:space="preserve"> </w:t>
      </w:r>
      <w:r w:rsidR="00AB0C3F" w:rsidRPr="006D71C7">
        <w:t xml:space="preserve">odpowiada </w:t>
      </w:r>
      <w:r w:rsidRPr="006D71C7">
        <w:t>na słaby stan techniczny obiektów kultury, który został zdefiniowany jako słaba strona w regionie w analizie SWOT. Jego realizacja idzie w dobrym kierunku, już teraz osiągając wartość szacunkowej realizacji na poziomie ponad 90% wartości docelowej.</w:t>
      </w:r>
    </w:p>
    <w:p w:rsidR="006E4456" w:rsidRPr="00C74054" w:rsidRDefault="006E4456" w:rsidP="00C74054">
      <w:pPr>
        <w:autoSpaceDE w:val="0"/>
        <w:autoSpaceDN w:val="0"/>
        <w:adjustRightInd w:val="0"/>
        <w:spacing w:after="120"/>
        <w:jc w:val="both"/>
        <w:rPr>
          <w:iCs/>
        </w:rPr>
      </w:pPr>
      <w:r>
        <w:rPr>
          <w:iCs/>
        </w:rPr>
        <w:t xml:space="preserve">Realizacja wskaźnika </w:t>
      </w:r>
      <w:r w:rsidRPr="00CE21FB">
        <w:rPr>
          <w:i/>
          <w:iCs/>
        </w:rPr>
        <w:t>Liczba bezpośrednio</w:t>
      </w:r>
      <w:r>
        <w:rPr>
          <w:iCs/>
        </w:rPr>
        <w:t xml:space="preserve"> </w:t>
      </w:r>
      <w:r>
        <w:rPr>
          <w:i/>
          <w:iCs/>
        </w:rPr>
        <w:t>utworzonych nowych</w:t>
      </w:r>
      <w:r w:rsidRPr="00D3287B">
        <w:rPr>
          <w:i/>
          <w:iCs/>
        </w:rPr>
        <w:t xml:space="preserve"> miejsca pracy </w:t>
      </w:r>
      <w:r>
        <w:rPr>
          <w:i/>
          <w:iCs/>
        </w:rPr>
        <w:t xml:space="preserve">(EPC) </w:t>
      </w:r>
      <w:r>
        <w:rPr>
          <w:iCs/>
        </w:rPr>
        <w:t xml:space="preserve">w podziale na kobiety i mężczyzn w omawianym priorytecie wskazuje na większą liczbę utworzonych miejsc prac dla kobiet (10,75 dla mężczyzn, a dla kobiet 15,25 nowych etatów). </w:t>
      </w:r>
      <w:r w:rsidRPr="0003480C">
        <w:rPr>
          <w:rFonts w:eastAsia="Calibri"/>
          <w:szCs w:val="24"/>
        </w:rPr>
        <w:t>Równość szans kobiet i mężczyzn jest w</w:t>
      </w:r>
      <w:r>
        <w:rPr>
          <w:rFonts w:eastAsia="Calibri"/>
          <w:szCs w:val="24"/>
        </w:rPr>
        <w:t>ażnym</w:t>
      </w:r>
      <w:r w:rsidRPr="0003480C">
        <w:rPr>
          <w:rFonts w:eastAsia="Calibri"/>
          <w:szCs w:val="24"/>
        </w:rPr>
        <w:t xml:space="preserve"> elementem szerszej kwestii równości szans, której przestrzeganie stanowi jedn</w:t>
      </w:r>
      <w:r>
        <w:rPr>
          <w:rFonts w:eastAsia="Calibri"/>
          <w:szCs w:val="24"/>
        </w:rPr>
        <w:t>ą z </w:t>
      </w:r>
      <w:r w:rsidRPr="0003480C">
        <w:rPr>
          <w:rFonts w:eastAsia="Calibri"/>
          <w:szCs w:val="24"/>
        </w:rPr>
        <w:t>podstawowych zasad</w:t>
      </w:r>
      <w:r>
        <w:rPr>
          <w:rFonts w:eastAsia="Calibri"/>
          <w:szCs w:val="24"/>
        </w:rPr>
        <w:t xml:space="preserve"> RPO WSL. Przy programowaniu zostały założone podwskaźniki: miejsca pracy w podziale na płeć na równym poziomie, beneficjenci składając wnioski o dofinansowanie nie deklarują kogo zatrudnią, gdyż zostałaby zaburzona omawiana zasada, każdy ma mieć równy dostęp do zatrudnienia. Analizując omawiany wskaźnik w podziale na priorytety można zaobserwować, że w jednych zatrudnionych zostało więcej kobiet w innych mężczyzn. </w:t>
      </w:r>
      <w:r w:rsidRPr="00DE3312">
        <w:rPr>
          <w:iCs/>
        </w:rPr>
        <w:t>IZ RPO WSL przyjęła odpowiednie kryteria wyboru projektów do dofinansowania dot. polityk horyzontalnych (ok</w:t>
      </w:r>
      <w:r w:rsidRPr="00DE3312">
        <w:t>reślenie stopnia realizacji polityki równych szans, polityki ochrony środowiska, wpływ projektu na utworzenie nowych miejsc pracy</w:t>
      </w:r>
      <w:r>
        <w:t>). P</w:t>
      </w:r>
      <w:r w:rsidRPr="00DE3312">
        <w:t>rojekt mający pozytywny wpływ na realizacje poszczególnych polityk horyzontalnych otrzymuje dodatkowe punkty w trakcie przeprowadzanej oceny merytoryczno-technicznej, co</w:t>
      </w:r>
      <w:r>
        <w:t xml:space="preserve"> </w:t>
      </w:r>
      <w:r w:rsidRPr="00DE3312">
        <w:t>w</w:t>
      </w:r>
      <w:r>
        <w:t xml:space="preserve"> </w:t>
      </w:r>
      <w:r w:rsidRPr="00DE3312">
        <w:t>konsekwencji zwiększa jego szansę na otrzymanie dofinansowania</w:t>
      </w:r>
      <w:r>
        <w:t>.</w:t>
      </w:r>
    </w:p>
    <w:p w:rsidR="00DA4248" w:rsidRDefault="0075215C" w:rsidP="006D71C7">
      <w:pPr>
        <w:jc w:val="both"/>
        <w:rPr>
          <w:szCs w:val="24"/>
        </w:rPr>
      </w:pPr>
      <w:r w:rsidRPr="006D71C7">
        <w:rPr>
          <w:szCs w:val="24"/>
        </w:rPr>
        <w:t xml:space="preserve">W ramach </w:t>
      </w:r>
      <w:r w:rsidR="009A33F9">
        <w:rPr>
          <w:i/>
          <w:szCs w:val="24"/>
        </w:rPr>
        <w:t>p</w:t>
      </w:r>
      <w:r w:rsidRPr="006D71C7">
        <w:rPr>
          <w:i/>
          <w:szCs w:val="24"/>
        </w:rPr>
        <w:t>riorytetu IV</w:t>
      </w:r>
      <w:r w:rsidRPr="006D71C7">
        <w:rPr>
          <w:szCs w:val="24"/>
        </w:rPr>
        <w:t xml:space="preserve"> realizowane </w:t>
      </w:r>
      <w:r w:rsidR="00DA4248">
        <w:rPr>
          <w:szCs w:val="24"/>
        </w:rPr>
        <w:t xml:space="preserve">są </w:t>
      </w:r>
      <w:r w:rsidRPr="006D71C7">
        <w:rPr>
          <w:szCs w:val="24"/>
        </w:rPr>
        <w:t>wskaźniki</w:t>
      </w:r>
      <w:r w:rsidRPr="006D71C7">
        <w:rPr>
          <w:i/>
          <w:szCs w:val="24"/>
        </w:rPr>
        <w:t xml:space="preserve"> </w:t>
      </w:r>
      <w:r w:rsidRPr="006D71C7">
        <w:rPr>
          <w:szCs w:val="24"/>
        </w:rPr>
        <w:t>Komisji Europejskiej (Core Indicators)</w:t>
      </w:r>
      <w:r w:rsidR="00DA4248">
        <w:rPr>
          <w:szCs w:val="24"/>
        </w:rPr>
        <w:t>:</w:t>
      </w:r>
    </w:p>
    <w:p w:rsidR="00DA4248" w:rsidRPr="00DA4248" w:rsidRDefault="00DA4248" w:rsidP="00BA2FE7">
      <w:pPr>
        <w:pStyle w:val="Akapitzlist"/>
        <w:numPr>
          <w:ilvl w:val="0"/>
          <w:numId w:val="111"/>
        </w:numPr>
        <w:spacing w:after="0"/>
        <w:ind w:hanging="357"/>
        <w:jc w:val="both"/>
        <w:rPr>
          <w:i/>
        </w:rPr>
      </w:pPr>
      <w:r w:rsidRPr="00DA4248">
        <w:rPr>
          <w:i/>
        </w:rPr>
        <w:t>Liczba projektów dot. infrastruktury społeczeństwa informacyjnego</w:t>
      </w:r>
    </w:p>
    <w:p w:rsidR="00DA4248" w:rsidRPr="00DA4248" w:rsidRDefault="00DA4248" w:rsidP="00BA2FE7">
      <w:pPr>
        <w:pStyle w:val="Akapitzlist"/>
        <w:numPr>
          <w:ilvl w:val="0"/>
          <w:numId w:val="111"/>
        </w:numPr>
        <w:spacing w:after="0"/>
        <w:ind w:hanging="357"/>
        <w:jc w:val="both"/>
        <w:rPr>
          <w:i/>
        </w:rPr>
      </w:pPr>
      <w:r w:rsidRPr="00DA4248">
        <w:rPr>
          <w:i/>
        </w:rPr>
        <w:t>Liczba bezpośrednio utworzonych nowych miejsc pracy (EPC)w tym:</w:t>
      </w:r>
    </w:p>
    <w:p w:rsidR="00DA4248" w:rsidRPr="00DA4248" w:rsidRDefault="00DA4248" w:rsidP="00BA2FE7">
      <w:pPr>
        <w:pStyle w:val="Akapitzlist"/>
        <w:numPr>
          <w:ilvl w:val="0"/>
          <w:numId w:val="112"/>
        </w:numPr>
        <w:spacing w:after="0"/>
        <w:ind w:left="993" w:hanging="357"/>
        <w:jc w:val="both"/>
        <w:rPr>
          <w:i/>
        </w:rPr>
      </w:pPr>
      <w:r w:rsidRPr="00DA4248">
        <w:rPr>
          <w:i/>
        </w:rPr>
        <w:t>Kobiety</w:t>
      </w:r>
    </w:p>
    <w:p w:rsidR="00DA4248" w:rsidRPr="00DA4248" w:rsidRDefault="00DA4248" w:rsidP="00BA2FE7">
      <w:pPr>
        <w:pStyle w:val="Akapitzlist"/>
        <w:numPr>
          <w:ilvl w:val="0"/>
          <w:numId w:val="112"/>
        </w:numPr>
        <w:spacing w:after="240"/>
        <w:ind w:left="992" w:hanging="357"/>
        <w:jc w:val="both"/>
        <w:rPr>
          <w:i/>
        </w:rPr>
      </w:pPr>
      <w:r w:rsidRPr="00DA4248">
        <w:rPr>
          <w:i/>
        </w:rPr>
        <w:t>Mężczyźni.</w:t>
      </w:r>
    </w:p>
    <w:p w:rsidR="0075215C" w:rsidRPr="006D71C7" w:rsidRDefault="0075215C" w:rsidP="00DA4248">
      <w:pPr>
        <w:jc w:val="both"/>
        <w:rPr>
          <w:rFonts w:eastAsiaTheme="minorHAnsi"/>
          <w:szCs w:val="24"/>
          <w:lang w:eastAsia="en-US"/>
        </w:rPr>
      </w:pPr>
      <w:r w:rsidRPr="006D71C7">
        <w:rPr>
          <w:szCs w:val="24"/>
        </w:rPr>
        <w:t>.</w:t>
      </w:r>
      <w:r w:rsidRPr="006D71C7">
        <w:rPr>
          <w:rFonts w:eastAsiaTheme="minorHAnsi"/>
          <w:szCs w:val="24"/>
          <w:lang w:eastAsia="en-US"/>
        </w:rPr>
        <w:t xml:space="preserve">Ponieważ wskaźnik </w:t>
      </w:r>
      <w:r w:rsidRPr="006D71C7">
        <w:rPr>
          <w:i/>
          <w:szCs w:val="24"/>
        </w:rPr>
        <w:t>Liczba projektów dot. infrastruktury kultury</w:t>
      </w:r>
      <w:r w:rsidRPr="006D71C7">
        <w:rPr>
          <w:szCs w:val="24"/>
        </w:rPr>
        <w:t xml:space="preserve"> przedstawiał jedynie projekty infrastrukturalne, podczas renegocjacji został on zastąpiony wskaźnikiem </w:t>
      </w:r>
      <w:r w:rsidRPr="006D71C7">
        <w:rPr>
          <w:rFonts w:eastAsiaTheme="minorHAnsi"/>
          <w:i/>
          <w:szCs w:val="24"/>
          <w:lang w:eastAsia="en-US"/>
        </w:rPr>
        <w:t>Liczba projektów wspierających sektor kultury</w:t>
      </w:r>
      <w:r w:rsidRPr="006D71C7">
        <w:rPr>
          <w:rFonts w:eastAsiaTheme="minorHAnsi"/>
          <w:szCs w:val="24"/>
          <w:lang w:eastAsia="en-US"/>
        </w:rPr>
        <w:t xml:space="preserve"> przy zachowaniu wartości docelowych.</w:t>
      </w:r>
    </w:p>
    <w:p w:rsidR="00D468B5" w:rsidRPr="006D71C7" w:rsidRDefault="00D468B5" w:rsidP="006D71C7">
      <w:pPr>
        <w:autoSpaceDE w:val="0"/>
        <w:autoSpaceDN w:val="0"/>
        <w:adjustRightInd w:val="0"/>
        <w:spacing w:after="0"/>
        <w:jc w:val="both"/>
        <w:rPr>
          <w:szCs w:val="24"/>
        </w:rPr>
      </w:pPr>
      <w:r w:rsidRPr="006D71C7">
        <w:rPr>
          <w:rFonts w:eastAsiaTheme="minorHAnsi"/>
          <w:szCs w:val="24"/>
          <w:lang w:eastAsia="en-US"/>
        </w:rPr>
        <w:t>Tabela postępu priorytetu I</w:t>
      </w:r>
      <w:r w:rsidR="0037114F" w:rsidRPr="006D71C7">
        <w:rPr>
          <w:rFonts w:eastAsiaTheme="minorHAnsi"/>
          <w:szCs w:val="24"/>
          <w:lang w:eastAsia="en-US"/>
        </w:rPr>
        <w:t>V</w:t>
      </w:r>
      <w:r w:rsidRPr="006D71C7">
        <w:rPr>
          <w:rFonts w:eastAsiaTheme="minorHAnsi"/>
          <w:szCs w:val="24"/>
          <w:lang w:eastAsia="en-US"/>
        </w:rPr>
        <w:t xml:space="preserve"> znajduje się w załączniku nr IV do niniejszego </w:t>
      </w:r>
      <w:r w:rsidRPr="006D71C7">
        <w:rPr>
          <w:rFonts w:eastAsiaTheme="minorHAnsi"/>
          <w:i/>
          <w:szCs w:val="24"/>
          <w:lang w:eastAsia="en-US"/>
        </w:rPr>
        <w:t>Sprawozdania.</w:t>
      </w:r>
    </w:p>
    <w:p w:rsidR="0075215C" w:rsidRPr="006D71C7" w:rsidRDefault="0075215C" w:rsidP="006D71C7">
      <w:pPr>
        <w:spacing w:after="120"/>
        <w:jc w:val="both"/>
        <w:rPr>
          <w:b/>
          <w:i/>
          <w:szCs w:val="24"/>
        </w:rPr>
      </w:pPr>
    </w:p>
    <w:p w:rsidR="00DE2E63" w:rsidRPr="006D71C7" w:rsidRDefault="00DE2E63" w:rsidP="006D71C7">
      <w:pPr>
        <w:spacing w:after="120"/>
        <w:jc w:val="both"/>
        <w:rPr>
          <w:b/>
          <w:bCs/>
          <w:i/>
          <w:szCs w:val="24"/>
        </w:rPr>
      </w:pPr>
      <w:r w:rsidRPr="006D71C7">
        <w:rPr>
          <w:b/>
          <w:bCs/>
          <w:i/>
          <w:szCs w:val="24"/>
        </w:rPr>
        <w:t xml:space="preserve">Realizacja ewentualnych zaleceń i rekomendacji KE odnoszące się do </w:t>
      </w:r>
      <w:r w:rsidR="0037114F" w:rsidRPr="006D71C7">
        <w:rPr>
          <w:b/>
          <w:bCs/>
          <w:i/>
          <w:szCs w:val="24"/>
        </w:rPr>
        <w:t>priorytetu</w:t>
      </w:r>
      <w:r w:rsidRPr="006D71C7">
        <w:rPr>
          <w:b/>
          <w:bCs/>
          <w:i/>
          <w:szCs w:val="24"/>
        </w:rPr>
        <w:t>:</w:t>
      </w:r>
    </w:p>
    <w:p w:rsidR="00DE2E63" w:rsidRPr="006D71C7" w:rsidRDefault="00DE2E63" w:rsidP="006D71C7">
      <w:pPr>
        <w:pStyle w:val="Akapitzlist"/>
        <w:numPr>
          <w:ilvl w:val="0"/>
          <w:numId w:val="6"/>
        </w:numPr>
        <w:spacing w:after="120"/>
        <w:jc w:val="both"/>
        <w:rPr>
          <w:bCs/>
          <w:szCs w:val="24"/>
        </w:rPr>
      </w:pPr>
      <w:r w:rsidRPr="006D71C7">
        <w:rPr>
          <w:spacing w:val="-4"/>
          <w:szCs w:val="24"/>
        </w:rPr>
        <w:t>analiza ko</w:t>
      </w:r>
      <w:r w:rsidR="009B5081" w:rsidRPr="006D71C7">
        <w:rPr>
          <w:spacing w:val="-4"/>
          <w:szCs w:val="24"/>
        </w:rPr>
        <w:t>ncentruje się wokół celu/celów p</w:t>
      </w:r>
      <w:r w:rsidRPr="006D71C7">
        <w:rPr>
          <w:spacing w:val="-4"/>
          <w:szCs w:val="24"/>
        </w:rPr>
        <w:t>riorytetu IV,</w:t>
      </w:r>
    </w:p>
    <w:p w:rsidR="007A230E" w:rsidRPr="006D71C7" w:rsidRDefault="007A230E" w:rsidP="006D71C7">
      <w:pPr>
        <w:pStyle w:val="Akapitzlist"/>
        <w:numPr>
          <w:ilvl w:val="0"/>
          <w:numId w:val="6"/>
        </w:numPr>
        <w:spacing w:after="120"/>
        <w:jc w:val="both"/>
        <w:rPr>
          <w:bCs/>
          <w:szCs w:val="24"/>
        </w:rPr>
      </w:pPr>
      <w:r w:rsidRPr="006D71C7">
        <w:rPr>
          <w:spacing w:val="-4"/>
          <w:szCs w:val="24"/>
        </w:rPr>
        <w:t>zmiana prezentacji analizy wskaźnikowej.</w:t>
      </w:r>
    </w:p>
    <w:p w:rsidR="00DE2E63" w:rsidRPr="006D71C7" w:rsidRDefault="00DE2E63" w:rsidP="006D71C7">
      <w:pPr>
        <w:pStyle w:val="Akapitzlist"/>
        <w:spacing w:after="120"/>
        <w:jc w:val="both"/>
        <w:rPr>
          <w:bCs/>
          <w:szCs w:val="24"/>
        </w:rPr>
      </w:pPr>
    </w:p>
    <w:p w:rsidR="00DE2E63" w:rsidRPr="006D71C7" w:rsidRDefault="00DE2E63" w:rsidP="006D71C7">
      <w:pPr>
        <w:pStyle w:val="Akapitzlist"/>
        <w:spacing w:before="120" w:after="240" w:line="360" w:lineRule="auto"/>
        <w:ind w:left="0"/>
        <w:jc w:val="both"/>
        <w:rPr>
          <w:b/>
          <w:bCs/>
          <w:i/>
          <w:szCs w:val="24"/>
        </w:rPr>
      </w:pPr>
      <w:r w:rsidRPr="006D71C7">
        <w:rPr>
          <w:b/>
          <w:bCs/>
          <w:i/>
          <w:szCs w:val="24"/>
        </w:rPr>
        <w:t>Rekomendacje IZ odnośnie do</w:t>
      </w:r>
      <w:r w:rsidR="0037114F" w:rsidRPr="006D71C7">
        <w:rPr>
          <w:b/>
          <w:bCs/>
          <w:i/>
          <w:szCs w:val="24"/>
        </w:rPr>
        <w:t xml:space="preserve"> dalszego przebiegu realizacji p</w:t>
      </w:r>
      <w:r w:rsidRPr="006D71C7">
        <w:rPr>
          <w:b/>
          <w:bCs/>
          <w:i/>
          <w:szCs w:val="24"/>
        </w:rPr>
        <w:t>riorytetu:</w:t>
      </w:r>
    </w:p>
    <w:p w:rsidR="006F1301" w:rsidRPr="006D71C7" w:rsidRDefault="006F1301" w:rsidP="006D71C7">
      <w:pPr>
        <w:pStyle w:val="Akapitzlist"/>
        <w:spacing w:before="120" w:after="240"/>
        <w:ind w:left="0"/>
        <w:jc w:val="both"/>
        <w:rPr>
          <w:rFonts w:eastAsia="Calibri"/>
          <w:i/>
          <w:szCs w:val="24"/>
        </w:rPr>
      </w:pPr>
      <w:r w:rsidRPr="006D71C7">
        <w:rPr>
          <w:rFonts w:eastAsia="Calibri"/>
          <w:szCs w:val="24"/>
        </w:rPr>
        <w:t>IZ RPO WSL na bieżąco monitoruje postęp wdrażania priorytetu IV zarówno w zakresie postępu finansowego</w:t>
      </w:r>
      <w:r w:rsidR="00AB0C3F" w:rsidRPr="006D71C7">
        <w:rPr>
          <w:rFonts w:eastAsia="Calibri"/>
          <w:szCs w:val="24"/>
        </w:rPr>
        <w:t>,</w:t>
      </w:r>
      <w:r w:rsidRPr="006D71C7">
        <w:rPr>
          <w:rFonts w:eastAsia="Calibri"/>
          <w:szCs w:val="24"/>
        </w:rPr>
        <w:t xml:space="preserve"> jak i rzeczowego. Biorąc pod uwagę projekty wybrane do dofinansowania, IZ RPO WSL uznaje że przekazane wsparcie w pełni realizuje cele, jakie zostały założone na etapie programowania uwzględniając wyniki diagnozy społeczno-gospodarczej ujętej w </w:t>
      </w:r>
      <w:r w:rsidRPr="006D71C7">
        <w:rPr>
          <w:rFonts w:eastAsia="Calibri"/>
          <w:i/>
          <w:szCs w:val="24"/>
        </w:rPr>
        <w:t>Programie.</w:t>
      </w:r>
      <w:r w:rsidR="00AF1772" w:rsidRPr="006D71C7">
        <w:rPr>
          <w:rFonts w:eastAsia="Calibri"/>
          <w:szCs w:val="24"/>
        </w:rPr>
        <w:t xml:space="preserve"> W kolejnym okresie sprawozdawczym IZ RPO WSL</w:t>
      </w:r>
      <w:r w:rsidR="00AF1772" w:rsidRPr="006D71C7">
        <w:rPr>
          <w:rFonts w:eastAsia="Calibri"/>
          <w:i/>
          <w:szCs w:val="24"/>
        </w:rPr>
        <w:t xml:space="preserve"> </w:t>
      </w:r>
      <w:r w:rsidR="00AF1772" w:rsidRPr="006D71C7">
        <w:rPr>
          <w:rFonts w:eastAsia="Calibri"/>
          <w:szCs w:val="24"/>
        </w:rPr>
        <w:t>na bieżąco będzie monitorować postęp rzeczowy i finansowy priorytetu w celu sprawnego i efektywnego wdrażania,</w:t>
      </w:r>
      <w:r w:rsidR="007030FF" w:rsidRPr="006D71C7">
        <w:rPr>
          <w:rFonts w:eastAsia="Calibri"/>
          <w:szCs w:val="24"/>
        </w:rPr>
        <w:t xml:space="preserve"> ponadto</w:t>
      </w:r>
      <w:r w:rsidR="00AF1772" w:rsidRPr="006D71C7">
        <w:rPr>
          <w:rFonts w:eastAsia="Calibri"/>
          <w:szCs w:val="24"/>
        </w:rPr>
        <w:t xml:space="preserve"> na bieżąco będzie kontaktować się z beneficjentami.</w:t>
      </w:r>
    </w:p>
    <w:p w:rsidR="00AF1772" w:rsidRPr="006D71C7" w:rsidRDefault="00AF1772" w:rsidP="006D71C7">
      <w:pPr>
        <w:pStyle w:val="Akapitzlist"/>
        <w:spacing w:before="120" w:after="240"/>
        <w:ind w:left="0"/>
        <w:jc w:val="both"/>
        <w:rPr>
          <w:rFonts w:eastAsia="Calibri"/>
          <w:i/>
          <w:szCs w:val="24"/>
        </w:rPr>
      </w:pPr>
    </w:p>
    <w:p w:rsidR="00E008C8" w:rsidRPr="006D71C7" w:rsidRDefault="006F1301" w:rsidP="006D71C7">
      <w:pPr>
        <w:pStyle w:val="Akapitzlist"/>
        <w:spacing w:before="120" w:after="240"/>
        <w:ind w:left="0"/>
        <w:jc w:val="both"/>
        <w:rPr>
          <w:rFonts w:eastAsia="Calibri"/>
          <w:b/>
          <w:i/>
          <w:szCs w:val="24"/>
        </w:rPr>
      </w:pPr>
      <w:r w:rsidRPr="006D71C7">
        <w:rPr>
          <w:rFonts w:eastAsia="Calibri"/>
          <w:b/>
          <w:i/>
          <w:szCs w:val="24"/>
        </w:rPr>
        <w:t xml:space="preserve">Analiza </w:t>
      </w:r>
      <w:r w:rsidR="00E008C8" w:rsidRPr="006D71C7">
        <w:rPr>
          <w:rFonts w:eastAsia="Calibri"/>
          <w:b/>
          <w:i/>
          <w:szCs w:val="24"/>
        </w:rPr>
        <w:t>jakościowa</w:t>
      </w:r>
    </w:p>
    <w:p w:rsidR="00FB4CB0" w:rsidRPr="006D71C7" w:rsidRDefault="000A63EE" w:rsidP="006D71C7">
      <w:pPr>
        <w:jc w:val="both"/>
        <w:rPr>
          <w:b/>
          <w:i/>
          <w:szCs w:val="24"/>
        </w:rPr>
      </w:pPr>
      <w:r w:rsidRPr="006D71C7">
        <w:rPr>
          <w:szCs w:val="24"/>
        </w:rPr>
        <w:t>W procesie rozwoju każdego regionu kultura pełnie istotną rolę</w:t>
      </w:r>
      <w:r w:rsidR="007030FF" w:rsidRPr="006D71C7">
        <w:rPr>
          <w:szCs w:val="24"/>
        </w:rPr>
        <w:t>,</w:t>
      </w:r>
      <w:r w:rsidRPr="006D71C7">
        <w:rPr>
          <w:szCs w:val="24"/>
        </w:rPr>
        <w:t xml:space="preserve"> nie tylko </w:t>
      </w:r>
      <w:r w:rsidR="00AB0C3F" w:rsidRPr="006D71C7">
        <w:rPr>
          <w:szCs w:val="24"/>
        </w:rPr>
        <w:t xml:space="preserve">jako </w:t>
      </w:r>
      <w:r w:rsidRPr="006D71C7">
        <w:rPr>
          <w:szCs w:val="24"/>
        </w:rPr>
        <w:t>jed</w:t>
      </w:r>
      <w:r w:rsidR="00AB0C3F" w:rsidRPr="006D71C7">
        <w:rPr>
          <w:szCs w:val="24"/>
        </w:rPr>
        <w:t>e</w:t>
      </w:r>
      <w:r w:rsidRPr="006D71C7">
        <w:rPr>
          <w:szCs w:val="24"/>
        </w:rPr>
        <w:t xml:space="preserve">n z kluczowych obszarów życia społecznego, lecz także </w:t>
      </w:r>
      <w:r w:rsidR="00C91954" w:rsidRPr="006D71C7">
        <w:rPr>
          <w:szCs w:val="24"/>
        </w:rPr>
        <w:t xml:space="preserve">jako bodziec </w:t>
      </w:r>
      <w:r w:rsidRPr="006D71C7">
        <w:rPr>
          <w:szCs w:val="24"/>
        </w:rPr>
        <w:t>rozw</w:t>
      </w:r>
      <w:r w:rsidR="00C91954" w:rsidRPr="006D71C7">
        <w:rPr>
          <w:szCs w:val="24"/>
        </w:rPr>
        <w:t>o</w:t>
      </w:r>
      <w:r w:rsidRPr="006D71C7">
        <w:rPr>
          <w:szCs w:val="24"/>
        </w:rPr>
        <w:t>j</w:t>
      </w:r>
      <w:r w:rsidR="00C91954" w:rsidRPr="006D71C7">
        <w:rPr>
          <w:szCs w:val="24"/>
        </w:rPr>
        <w:t>u</w:t>
      </w:r>
      <w:r w:rsidRPr="006D71C7">
        <w:rPr>
          <w:szCs w:val="24"/>
        </w:rPr>
        <w:t xml:space="preserve"> gospodarcz</w:t>
      </w:r>
      <w:r w:rsidR="00C91954" w:rsidRPr="006D71C7">
        <w:rPr>
          <w:szCs w:val="24"/>
        </w:rPr>
        <w:t>ego</w:t>
      </w:r>
      <w:r w:rsidRPr="006D71C7">
        <w:rPr>
          <w:szCs w:val="24"/>
        </w:rPr>
        <w:t xml:space="preserve"> - zwiększa</w:t>
      </w:r>
      <w:r w:rsidR="00C91954" w:rsidRPr="006D71C7">
        <w:rPr>
          <w:szCs w:val="24"/>
        </w:rPr>
        <w:t>jąc</w:t>
      </w:r>
      <w:r w:rsidRPr="006D71C7">
        <w:rPr>
          <w:szCs w:val="24"/>
        </w:rPr>
        <w:t xml:space="preserve"> atrakcyjność regionu dla jego mieszkańców, inwestorów i turyst</w:t>
      </w:r>
      <w:r w:rsidR="00861E36" w:rsidRPr="006D71C7">
        <w:rPr>
          <w:szCs w:val="24"/>
        </w:rPr>
        <w:t>ów, tworzy nowe miejsca pracy w </w:t>
      </w:r>
      <w:r w:rsidRPr="006D71C7">
        <w:rPr>
          <w:szCs w:val="24"/>
        </w:rPr>
        <w:t>turystyce i usługach okołoturystycznych.</w:t>
      </w:r>
      <w:r w:rsidR="00861E36" w:rsidRPr="006D71C7">
        <w:rPr>
          <w:szCs w:val="24"/>
        </w:rPr>
        <w:t xml:space="preserve"> </w:t>
      </w:r>
      <w:r w:rsidR="00E75887" w:rsidRPr="006D71C7">
        <w:rPr>
          <w:szCs w:val="24"/>
        </w:rPr>
        <w:t>P</w:t>
      </w:r>
      <w:r w:rsidR="00E81505" w:rsidRPr="006D71C7">
        <w:rPr>
          <w:szCs w:val="24"/>
        </w:rPr>
        <w:t>rzez długi czas</w:t>
      </w:r>
      <w:r w:rsidR="00E75887" w:rsidRPr="006D71C7">
        <w:rPr>
          <w:szCs w:val="24"/>
        </w:rPr>
        <w:t xml:space="preserve"> w regionie</w:t>
      </w:r>
      <w:r w:rsidR="00E81505" w:rsidRPr="006D71C7">
        <w:rPr>
          <w:szCs w:val="24"/>
        </w:rPr>
        <w:t xml:space="preserve"> zaniedbywana była infrastruktura kulturalna, gdyż uczestnictwo w kulturze nie należy do tzw. potrzeb pierwszego rzędu. </w:t>
      </w:r>
      <w:r w:rsidR="00E75887" w:rsidRPr="006D71C7">
        <w:rPr>
          <w:szCs w:val="24"/>
        </w:rPr>
        <w:t>W</w:t>
      </w:r>
      <w:r w:rsidR="006564CA" w:rsidRPr="006D71C7">
        <w:rPr>
          <w:szCs w:val="24"/>
        </w:rPr>
        <w:t xml:space="preserve">ojewództwo śląskie </w:t>
      </w:r>
      <w:r w:rsidR="00C91954" w:rsidRPr="006D71C7">
        <w:rPr>
          <w:szCs w:val="24"/>
        </w:rPr>
        <w:t xml:space="preserve">dysponuje </w:t>
      </w:r>
      <w:r w:rsidR="006564CA" w:rsidRPr="006D71C7">
        <w:rPr>
          <w:szCs w:val="24"/>
        </w:rPr>
        <w:t>bogatą ofert</w:t>
      </w:r>
      <w:r w:rsidR="00C91954" w:rsidRPr="006D71C7">
        <w:rPr>
          <w:szCs w:val="24"/>
        </w:rPr>
        <w:t>ą</w:t>
      </w:r>
      <w:r w:rsidR="006564CA" w:rsidRPr="006D71C7">
        <w:rPr>
          <w:szCs w:val="24"/>
        </w:rPr>
        <w:t xml:space="preserve"> kulturalną i </w:t>
      </w:r>
      <w:r w:rsidR="00E75887" w:rsidRPr="006D71C7">
        <w:rPr>
          <w:szCs w:val="24"/>
        </w:rPr>
        <w:t xml:space="preserve">przy pomocy </w:t>
      </w:r>
      <w:r w:rsidR="006564CA" w:rsidRPr="006D71C7">
        <w:rPr>
          <w:szCs w:val="24"/>
        </w:rPr>
        <w:t>śro</w:t>
      </w:r>
      <w:r w:rsidR="00E75887" w:rsidRPr="006D71C7">
        <w:rPr>
          <w:szCs w:val="24"/>
        </w:rPr>
        <w:t>dków</w:t>
      </w:r>
      <w:r w:rsidR="006564CA" w:rsidRPr="006D71C7">
        <w:rPr>
          <w:szCs w:val="24"/>
        </w:rPr>
        <w:t xml:space="preserve"> unijny</w:t>
      </w:r>
      <w:r w:rsidR="00E75887" w:rsidRPr="006D71C7">
        <w:rPr>
          <w:szCs w:val="24"/>
        </w:rPr>
        <w:t xml:space="preserve">ch </w:t>
      </w:r>
      <w:r w:rsidR="007030FF" w:rsidRPr="006D71C7">
        <w:rPr>
          <w:szCs w:val="24"/>
        </w:rPr>
        <w:t xml:space="preserve">zyskało </w:t>
      </w:r>
      <w:r w:rsidR="00E75887" w:rsidRPr="006D71C7">
        <w:rPr>
          <w:szCs w:val="24"/>
        </w:rPr>
        <w:t>szansę na podn</w:t>
      </w:r>
      <w:r w:rsidR="004218CA">
        <w:rPr>
          <w:szCs w:val="24"/>
        </w:rPr>
        <w:t>iesienie wartości estetycznej i </w:t>
      </w:r>
      <w:r w:rsidR="00E75887" w:rsidRPr="006D71C7">
        <w:rPr>
          <w:szCs w:val="24"/>
        </w:rPr>
        <w:t xml:space="preserve">funkcjonalnej przestrzeni publicznej. </w:t>
      </w:r>
      <w:r w:rsidR="00784FD9" w:rsidRPr="006D71C7">
        <w:rPr>
          <w:rFonts w:eastAsia="Calibri"/>
          <w:szCs w:val="24"/>
        </w:rPr>
        <w:t>Infrastruktura kulturalna jest istotnym elementem warunkującym dostępność do oferty kul</w:t>
      </w:r>
      <w:r w:rsidR="007E72D2" w:rsidRPr="006D71C7">
        <w:rPr>
          <w:rFonts w:eastAsia="Calibri"/>
          <w:szCs w:val="24"/>
        </w:rPr>
        <w:t>turalnej regionu,</w:t>
      </w:r>
      <w:r w:rsidR="00784FD9" w:rsidRPr="006D71C7">
        <w:rPr>
          <w:rFonts w:eastAsia="Calibri"/>
          <w:szCs w:val="24"/>
        </w:rPr>
        <w:t xml:space="preserve"> jej rozwó</w:t>
      </w:r>
      <w:r w:rsidR="007E72D2" w:rsidRPr="006D71C7">
        <w:rPr>
          <w:rFonts w:eastAsia="Calibri"/>
          <w:szCs w:val="24"/>
        </w:rPr>
        <w:t>j w znacznym stopniu decyduje o </w:t>
      </w:r>
      <w:r w:rsidR="00784FD9" w:rsidRPr="006D71C7">
        <w:rPr>
          <w:rFonts w:eastAsia="Calibri"/>
          <w:szCs w:val="24"/>
        </w:rPr>
        <w:t>konkurencyjności kulturalnej województwa. W c</w:t>
      </w:r>
      <w:r w:rsidR="007E72D2" w:rsidRPr="006D71C7">
        <w:rPr>
          <w:rFonts w:eastAsia="Calibri"/>
          <w:szCs w:val="24"/>
        </w:rPr>
        <w:t>elu zwiększenia atrakcyjności i </w:t>
      </w:r>
      <w:r w:rsidR="00784FD9" w:rsidRPr="006D71C7">
        <w:rPr>
          <w:rFonts w:eastAsia="Calibri"/>
          <w:szCs w:val="24"/>
        </w:rPr>
        <w:t xml:space="preserve">dostępności oferty </w:t>
      </w:r>
      <w:r w:rsidR="007E72D2" w:rsidRPr="006D71C7">
        <w:rPr>
          <w:rFonts w:eastAsia="Calibri"/>
          <w:szCs w:val="24"/>
        </w:rPr>
        <w:t>w ramach RPO WSL beneficjenci mają możliwość realizacji projektów, które mają na celu poprawę</w:t>
      </w:r>
      <w:r w:rsidR="00784FD9" w:rsidRPr="006D71C7">
        <w:rPr>
          <w:rFonts w:eastAsia="Calibri"/>
          <w:szCs w:val="24"/>
        </w:rPr>
        <w:t xml:space="preserve"> stan</w:t>
      </w:r>
      <w:r w:rsidR="007E72D2" w:rsidRPr="006D71C7">
        <w:rPr>
          <w:rFonts w:eastAsia="Calibri"/>
          <w:szCs w:val="24"/>
        </w:rPr>
        <w:t>u</w:t>
      </w:r>
      <w:r w:rsidR="00784FD9" w:rsidRPr="006D71C7">
        <w:rPr>
          <w:rFonts w:eastAsia="Calibri"/>
          <w:szCs w:val="24"/>
        </w:rPr>
        <w:t xml:space="preserve"> istniejących obiektów</w:t>
      </w:r>
      <w:r w:rsidR="007E72D2" w:rsidRPr="006D71C7">
        <w:rPr>
          <w:rFonts w:eastAsia="Calibri"/>
          <w:szCs w:val="24"/>
        </w:rPr>
        <w:t>. Ponad 48% realizowanych projektów w ramach przedmiotowego priorytetu dot. infrastruktury</w:t>
      </w:r>
      <w:r w:rsidR="00FB4CB0" w:rsidRPr="006D71C7">
        <w:rPr>
          <w:rFonts w:eastAsia="Calibri"/>
          <w:szCs w:val="24"/>
        </w:rPr>
        <w:t xml:space="preserve"> – </w:t>
      </w:r>
      <w:r w:rsidR="00C91954" w:rsidRPr="006D71C7">
        <w:rPr>
          <w:rFonts w:eastAsia="Calibri"/>
          <w:szCs w:val="24"/>
        </w:rPr>
        <w:t xml:space="preserve">przykłady to </w:t>
      </w:r>
      <w:r w:rsidR="00FB4CB0" w:rsidRPr="006D71C7">
        <w:rPr>
          <w:rFonts w:eastAsia="Calibri"/>
          <w:szCs w:val="24"/>
        </w:rPr>
        <w:t xml:space="preserve">projekt </w:t>
      </w:r>
      <w:r w:rsidR="00FB4CB0" w:rsidRPr="006D71C7">
        <w:rPr>
          <w:b/>
          <w:i/>
          <w:szCs w:val="24"/>
        </w:rPr>
        <w:t>Zabezpieczenie drewnianych kościołów na terenie Archidiecezji Katowickiej</w:t>
      </w:r>
      <w:r w:rsidR="00C91954" w:rsidRPr="006D71C7">
        <w:rPr>
          <w:b/>
          <w:i/>
          <w:szCs w:val="24"/>
        </w:rPr>
        <w:t>,</w:t>
      </w:r>
      <w:r w:rsidR="00FB4CB0" w:rsidRPr="006D71C7">
        <w:rPr>
          <w:b/>
          <w:i/>
          <w:szCs w:val="24"/>
        </w:rPr>
        <w:t xml:space="preserve"> </w:t>
      </w:r>
      <w:r w:rsidR="00FB4CB0" w:rsidRPr="006D71C7">
        <w:rPr>
          <w:szCs w:val="24"/>
        </w:rPr>
        <w:t>czy projekt</w:t>
      </w:r>
      <w:r w:rsidR="00FB4CB0" w:rsidRPr="006D71C7">
        <w:rPr>
          <w:b/>
          <w:i/>
          <w:szCs w:val="24"/>
        </w:rPr>
        <w:t xml:space="preserve"> Wzrost znaczenia atrakcyjności kulturalnej Raciborza poprzez rozwój infrastruktury Raciborskiego Centrum Kultury.</w:t>
      </w:r>
    </w:p>
    <w:p w:rsidR="0011755C" w:rsidRDefault="007E72D2" w:rsidP="006D71C7">
      <w:pPr>
        <w:jc w:val="both"/>
      </w:pPr>
      <w:r w:rsidRPr="006D71C7">
        <w:rPr>
          <w:rFonts w:eastAsia="Calibri"/>
          <w:szCs w:val="24"/>
        </w:rPr>
        <w:t xml:space="preserve">Jednak wszelkie inicjatywy w obszarze kultury powinny być wspierane różnymi działaniami promocyjnymi, wówczas mają one szanse dotrzeć do potencjalnych odbiorców. Także w tym zakresie istnieje możliwość otrzymania dodatkowych środków w ramach </w:t>
      </w:r>
      <w:r w:rsidRPr="006D71C7">
        <w:rPr>
          <w:rFonts w:eastAsia="Calibri"/>
          <w:i/>
          <w:szCs w:val="24"/>
        </w:rPr>
        <w:t>Programu</w:t>
      </w:r>
      <w:r w:rsidR="007030FF" w:rsidRPr="006D71C7">
        <w:rPr>
          <w:rFonts w:eastAsia="Calibri"/>
          <w:i/>
          <w:szCs w:val="24"/>
        </w:rPr>
        <w:t xml:space="preserve"> </w:t>
      </w:r>
      <w:r w:rsidR="00D52475" w:rsidRPr="006D71C7">
        <w:rPr>
          <w:rFonts w:eastAsia="Calibri"/>
          <w:i/>
          <w:szCs w:val="24"/>
        </w:rPr>
        <w:t>i </w:t>
      </w:r>
      <w:r w:rsidRPr="006D71C7">
        <w:rPr>
          <w:rFonts w:eastAsia="Calibri"/>
          <w:szCs w:val="24"/>
        </w:rPr>
        <w:t>beneficjenci bardzo licznie realizują projekty w tym zakresie.</w:t>
      </w:r>
      <w:r w:rsidR="00BD180E" w:rsidRPr="006D71C7">
        <w:rPr>
          <w:rFonts w:eastAsia="Calibri"/>
          <w:szCs w:val="24"/>
        </w:rPr>
        <w:t xml:space="preserve"> Dzięki realizacji projektów </w:t>
      </w:r>
      <w:r w:rsidR="00BD180E" w:rsidRPr="006D71C7">
        <w:rPr>
          <w:rFonts w:eastAsia="Calibri"/>
          <w:bCs/>
          <w:iCs/>
          <w:szCs w:val="24"/>
        </w:rPr>
        <w:t>wypromowano 85</w:t>
      </w:r>
      <w:r w:rsidR="001F6D06" w:rsidRPr="006D71C7">
        <w:rPr>
          <w:rFonts w:eastAsia="Calibri"/>
          <w:bCs/>
          <w:iCs/>
          <w:szCs w:val="24"/>
        </w:rPr>
        <w:t xml:space="preserve"> produktów kulturowych</w:t>
      </w:r>
      <w:r w:rsidR="00BD180E" w:rsidRPr="006D71C7">
        <w:rPr>
          <w:rFonts w:eastAsia="Calibri"/>
          <w:bCs/>
          <w:iCs/>
          <w:szCs w:val="24"/>
        </w:rPr>
        <w:t xml:space="preserve"> oraz zorganizowano</w:t>
      </w:r>
      <w:r w:rsidR="001F6D06" w:rsidRPr="006D71C7">
        <w:rPr>
          <w:rFonts w:eastAsia="Calibri"/>
          <w:bCs/>
          <w:iCs/>
          <w:szCs w:val="24"/>
        </w:rPr>
        <w:t xml:space="preserve"> </w:t>
      </w:r>
      <w:r w:rsidR="00BD180E" w:rsidRPr="006D71C7">
        <w:rPr>
          <w:rFonts w:eastAsia="Calibri"/>
          <w:bCs/>
          <w:iCs/>
          <w:szCs w:val="24"/>
        </w:rPr>
        <w:t xml:space="preserve">1344 </w:t>
      </w:r>
      <w:r w:rsidR="001F6D06" w:rsidRPr="006D71C7">
        <w:rPr>
          <w:rFonts w:eastAsia="Calibri"/>
          <w:bCs/>
          <w:iCs/>
          <w:szCs w:val="24"/>
        </w:rPr>
        <w:t>imprez</w:t>
      </w:r>
      <w:r w:rsidR="00BD180E" w:rsidRPr="006D71C7">
        <w:rPr>
          <w:rFonts w:eastAsia="Calibri"/>
          <w:bCs/>
          <w:iCs/>
          <w:szCs w:val="24"/>
        </w:rPr>
        <w:t>/wydarze</w:t>
      </w:r>
      <w:r w:rsidR="009C07AD" w:rsidRPr="006D71C7">
        <w:rPr>
          <w:rFonts w:eastAsia="Calibri"/>
          <w:bCs/>
          <w:iCs/>
          <w:szCs w:val="24"/>
        </w:rPr>
        <w:t>ń</w:t>
      </w:r>
      <w:r w:rsidR="00BD180E" w:rsidRPr="006D71C7">
        <w:rPr>
          <w:rFonts w:eastAsia="Calibri"/>
          <w:bCs/>
          <w:iCs/>
          <w:szCs w:val="24"/>
        </w:rPr>
        <w:t xml:space="preserve"> kulturaln</w:t>
      </w:r>
      <w:r w:rsidR="009C07AD" w:rsidRPr="006D71C7">
        <w:rPr>
          <w:rFonts w:eastAsia="Calibri"/>
          <w:bCs/>
          <w:iCs/>
          <w:szCs w:val="24"/>
        </w:rPr>
        <w:t>ych</w:t>
      </w:r>
      <w:r w:rsidR="00BD180E" w:rsidRPr="006D71C7">
        <w:rPr>
          <w:rFonts w:eastAsia="Calibri"/>
          <w:bCs/>
          <w:iCs/>
          <w:szCs w:val="24"/>
        </w:rPr>
        <w:t xml:space="preserve"> w zmodernizowanych</w:t>
      </w:r>
      <w:r w:rsidR="009353AB" w:rsidRPr="006D71C7">
        <w:rPr>
          <w:rFonts w:eastAsia="Calibri"/>
          <w:bCs/>
          <w:iCs/>
          <w:szCs w:val="24"/>
        </w:rPr>
        <w:t xml:space="preserve">, nowowybudowanych, </w:t>
      </w:r>
      <w:r w:rsidR="001F6D06" w:rsidRPr="006D71C7">
        <w:rPr>
          <w:rFonts w:eastAsia="Calibri"/>
          <w:bCs/>
          <w:iCs/>
          <w:szCs w:val="24"/>
        </w:rPr>
        <w:t>odrestaurowanych obiektach infrastruktury kulturalnej</w:t>
      </w:r>
      <w:r w:rsidR="00E008C8" w:rsidRPr="006D71C7">
        <w:rPr>
          <w:rFonts w:eastAsia="Calibri"/>
          <w:bCs/>
          <w:iCs/>
          <w:szCs w:val="24"/>
        </w:rPr>
        <w:t>.</w:t>
      </w:r>
      <w:r w:rsidR="000731B8" w:rsidRPr="006D71C7">
        <w:t xml:space="preserve"> Ciekawym projektem, który zasługuje na uwagę jest projekt </w:t>
      </w:r>
      <w:r w:rsidR="000731B8" w:rsidRPr="006D71C7">
        <w:rPr>
          <w:i/>
          <w:szCs w:val="24"/>
        </w:rPr>
        <w:t>Przebudowa dawnej Synagogi w Żarkach na potrzeby Ośrodka Kultury etap I i etap II</w:t>
      </w:r>
      <w:r w:rsidR="009C07AD" w:rsidRPr="006D71C7">
        <w:rPr>
          <w:noProof/>
        </w:rPr>
        <w:t>, gdzie</w:t>
      </w:r>
      <w:r w:rsidR="000731B8" w:rsidRPr="006D71C7">
        <w:t xml:space="preserve"> ramach RPO WSL podjęto się przebudowy dawnej synagogi w celu dostosowania obiektu do funkcji ośrodka kultury. Budynek dawnej synagogi pełni funkcję Miejsko-Gminnego Ośrodka Kultury w Żarkach od lat 50. XX wieku. Obiekt jako Miejsko-Gminny Ośrodek Kultury adresuje ofertę kulturalną zarówno do</w:t>
      </w:r>
      <w:r w:rsidR="00583845" w:rsidRPr="006D71C7">
        <w:t> </w:t>
      </w:r>
      <w:r w:rsidR="000731B8" w:rsidRPr="006D71C7">
        <w:t>miasteczka, jak i całej gminy. Przystosowany do prowadzenia działalności kulturalnej, przez dziesięciolecia był eksploatowany, natomiast niewielkimi nakładami finansowymi przeprowadzane były tylko bieżące remonty. Stan techniczny budynku był na tyle zły, że</w:t>
      </w:r>
      <w:r w:rsidR="00583845" w:rsidRPr="006D71C7">
        <w:t> </w:t>
      </w:r>
      <w:r w:rsidR="000731B8" w:rsidRPr="006D71C7">
        <w:t>decyzją straży pożarnej wyłączona została z</w:t>
      </w:r>
      <w:r w:rsidR="00583845" w:rsidRPr="006D71C7">
        <w:t> </w:t>
      </w:r>
      <w:r w:rsidR="000731B8" w:rsidRPr="006D71C7">
        <w:t xml:space="preserve">użytkowania główna sala widowiskowa. Brak bazy lokalowej spowodował znaczne ograniczenie oferty kulturalnej zarówno w środowisku lokalnym jak i na płaszczyźnie szerszej, regionalnej. Istotnym problemem było także przywrócenie przedmiotowemu obiektowi znaczenia kulturowego dziedzictwa. Przebudowa wykonana w etapie I, jak i II rozwiązała wszystkie problemy związane z bryłą okazałego, ale niefunkcjonalnego obiektu. Etap I zrealizowany w ramach Programu Rozwoju Subregionu Północnego, natomiast etap II poprzez ścieżkę konkursową w ramach RPO WSL. Budynek w etapie I przebudowy uzyskał ponownie status dostępnego budynku użyteczności publicznej, a w etapie II zyskał pracownię multimedialną, gdzie zgromadzone będą również judaika i pamiątki po mieszkańcach Żarek pochodzenia żydowskiego. Inwestycja wpłynie na podniesienie i wzbogacenie oferty kulturalnej i turystycznej w środowisku lokalnym i regionie, co stymulować będzie rozwój społeczno-gospodarczy gminy i otoczenia. Założeniem przedsięwzięcia jest również wypromowanie tematu pokojowego przenikania się dwóch </w:t>
      </w:r>
      <w:r w:rsidR="00FB4CB0" w:rsidRPr="006D71C7">
        <w:t>kultur: polskiej i żydowskiej w</w:t>
      </w:r>
      <w:r w:rsidR="009D3BB1" w:rsidRPr="006D71C7">
        <w:t> </w:t>
      </w:r>
      <w:r w:rsidR="000731B8" w:rsidRPr="006D71C7">
        <w:t xml:space="preserve">historycznym mieście Żarki. Temat „żydowski" jest dla Żarek tematem strategicznym. Miasteczko jest rozpoznawalne – jako miejsce najlepiej zachowanych judaików w północnej części województwa śląskiego. </w:t>
      </w:r>
    </w:p>
    <w:p w:rsidR="0060162D" w:rsidRPr="006D71C7" w:rsidRDefault="004B131A" w:rsidP="006D71C7">
      <w:pPr>
        <w:jc w:val="both"/>
        <w:rPr>
          <w:b/>
          <w:i/>
          <w:szCs w:val="24"/>
        </w:rPr>
      </w:pPr>
      <w:r>
        <w:rPr>
          <w:noProof/>
          <w:szCs w:val="24"/>
        </w:rPr>
        <w:drawing>
          <wp:anchor distT="0" distB="0" distL="114300" distR="114300" simplePos="0" relativeHeight="251762176" behindDoc="0" locked="0" layoutInCell="1" allowOverlap="1">
            <wp:simplePos x="0" y="0"/>
            <wp:positionH relativeFrom="margin">
              <wp:posOffset>33020</wp:posOffset>
            </wp:positionH>
            <wp:positionV relativeFrom="margin">
              <wp:posOffset>640715</wp:posOffset>
            </wp:positionV>
            <wp:extent cx="2713355" cy="1807210"/>
            <wp:effectExtent l="19050" t="0" r="0" b="0"/>
            <wp:wrapSquare wrapText="bothSides"/>
            <wp:docPr id="44" name="zdj1" descr="http://rpo.slaskie.pl/zalaczniki/2012/01/25/1327485449.jpg">
              <a:hlinkClick xmlns:a="http://schemas.openxmlformats.org/drawingml/2006/main" r:id="rId10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2/01/25/1327485449.jpg">
                      <a:hlinkClick r:id="rId104" tooltip="&quot;&quot;"/>
                    </pic:cNvPr>
                    <pic:cNvPicPr>
                      <a:picLocks noChangeAspect="1" noChangeArrowheads="1"/>
                    </pic:cNvPicPr>
                  </pic:nvPicPr>
                  <pic:blipFill>
                    <a:blip r:embed="rId105" cstate="print"/>
                    <a:srcRect/>
                    <a:stretch>
                      <a:fillRect/>
                    </a:stretch>
                  </pic:blipFill>
                  <pic:spPr bwMode="auto">
                    <a:xfrm>
                      <a:off x="0" y="0"/>
                      <a:ext cx="2713355" cy="1807210"/>
                    </a:xfrm>
                    <a:prstGeom prst="rect">
                      <a:avLst/>
                    </a:prstGeom>
                    <a:noFill/>
                    <a:ln w="9525">
                      <a:noFill/>
                      <a:miter lim="800000"/>
                      <a:headEnd/>
                      <a:tailEnd/>
                    </a:ln>
                  </pic:spPr>
                </pic:pic>
              </a:graphicData>
            </a:graphic>
          </wp:anchor>
        </w:drawing>
      </w:r>
      <w:r w:rsidR="0060162D">
        <w:rPr>
          <w:szCs w:val="24"/>
        </w:rPr>
        <w:t xml:space="preserve">W ramach przedmiotowego obszaru tj. kultura na terenie województwa śląskiego realizowane są także projekty w ramach jednego krajowego programu operacyjnego. Szczegółowe informacje zostały przedstawione w pkt. 2.1.6.2 niniejszego </w:t>
      </w:r>
      <w:r w:rsidR="0060162D" w:rsidRPr="0060162D">
        <w:rPr>
          <w:i/>
          <w:szCs w:val="24"/>
        </w:rPr>
        <w:t>Sprawozdania</w:t>
      </w:r>
      <w:r w:rsidR="0060162D">
        <w:rPr>
          <w:i/>
          <w:szCs w:val="24"/>
        </w:rPr>
        <w:t>.</w:t>
      </w:r>
    </w:p>
    <w:p w:rsidR="0005410E" w:rsidRPr="006D71C7" w:rsidRDefault="0005410E" w:rsidP="00BA2FE7">
      <w:pPr>
        <w:pStyle w:val="Nagwek1"/>
        <w:numPr>
          <w:ilvl w:val="2"/>
          <w:numId w:val="63"/>
        </w:numPr>
        <w:tabs>
          <w:tab w:val="left" w:pos="851"/>
        </w:tabs>
        <w:spacing w:before="120" w:after="120"/>
        <w:jc w:val="both"/>
        <w:rPr>
          <w:bCs w:val="0"/>
          <w:szCs w:val="24"/>
        </w:rPr>
      </w:pPr>
      <w:bookmarkStart w:id="442" w:name="_Toc262031933"/>
      <w:bookmarkStart w:id="443" w:name="_Toc292789297"/>
      <w:bookmarkStart w:id="444" w:name="_Toc292793593"/>
      <w:bookmarkStart w:id="445" w:name="_Toc324853915"/>
      <w:bookmarkStart w:id="446" w:name="_Toc327259267"/>
      <w:r w:rsidRPr="006D71C7">
        <w:rPr>
          <w:bCs w:val="0"/>
          <w:szCs w:val="24"/>
        </w:rPr>
        <w:t>Opis istotnych problemów we wdrażaniu wraz z podjętymi środkami zaradczymi</w:t>
      </w:r>
      <w:bookmarkEnd w:id="442"/>
      <w:bookmarkEnd w:id="443"/>
      <w:bookmarkEnd w:id="444"/>
      <w:bookmarkEnd w:id="445"/>
      <w:bookmarkEnd w:id="446"/>
    </w:p>
    <w:p w:rsidR="003D6481" w:rsidRPr="006D71C7" w:rsidRDefault="0005410E" w:rsidP="006D71C7">
      <w:pPr>
        <w:pStyle w:val="Akapitzlist"/>
        <w:widowControl w:val="0"/>
        <w:autoSpaceDE w:val="0"/>
        <w:autoSpaceDN w:val="0"/>
        <w:adjustRightInd w:val="0"/>
        <w:spacing w:after="240"/>
        <w:ind w:left="0" w:right="-23"/>
        <w:jc w:val="both"/>
        <w:rPr>
          <w:bCs/>
          <w:szCs w:val="24"/>
        </w:rPr>
      </w:pPr>
      <w:r w:rsidRPr="006D71C7">
        <w:rPr>
          <w:bCs/>
          <w:szCs w:val="24"/>
        </w:rPr>
        <w:t>W okresie sprawozdawczym nie pojawiły się problemy z wdrażaniem przedmiotowego priorytetu RPO WSL.</w:t>
      </w:r>
    </w:p>
    <w:p w:rsidR="00BF4964" w:rsidRPr="006D71C7" w:rsidRDefault="0005410E" w:rsidP="00BA2FE7">
      <w:pPr>
        <w:pStyle w:val="Nagwek1"/>
        <w:numPr>
          <w:ilvl w:val="1"/>
          <w:numId w:val="63"/>
        </w:numPr>
        <w:pBdr>
          <w:top w:val="single" w:sz="24" w:space="1" w:color="DE6A5C" w:themeColor="accent2" w:themeTint="99"/>
          <w:left w:val="single" w:sz="24" w:space="4" w:color="DE6A5C" w:themeColor="accent2" w:themeTint="99"/>
          <w:bottom w:val="single" w:sz="24" w:space="1" w:color="DE6A5C" w:themeColor="accent2" w:themeTint="99"/>
          <w:right w:val="single" w:sz="24" w:space="4" w:color="DE6A5C" w:themeColor="accent2" w:themeTint="99"/>
        </w:pBdr>
        <w:tabs>
          <w:tab w:val="left" w:pos="851"/>
        </w:tabs>
        <w:spacing w:before="120" w:after="120"/>
        <w:jc w:val="both"/>
        <w:rPr>
          <w:szCs w:val="24"/>
        </w:rPr>
      </w:pPr>
      <w:bookmarkStart w:id="447" w:name="_Toc262031934"/>
      <w:bookmarkStart w:id="448" w:name="_Toc292789298"/>
      <w:bookmarkStart w:id="449" w:name="_Toc292793594"/>
      <w:bookmarkStart w:id="450" w:name="_Toc327259268"/>
      <w:r w:rsidRPr="006D71C7">
        <w:rPr>
          <w:szCs w:val="24"/>
        </w:rPr>
        <w:t>P</w:t>
      </w:r>
      <w:r w:rsidR="00BF4964" w:rsidRPr="006D71C7">
        <w:rPr>
          <w:szCs w:val="24"/>
        </w:rPr>
        <w:t xml:space="preserve">RIORYTET </w:t>
      </w:r>
      <w:r w:rsidRPr="006D71C7">
        <w:rPr>
          <w:szCs w:val="24"/>
        </w:rPr>
        <w:t>V –</w:t>
      </w:r>
      <w:bookmarkStart w:id="451" w:name="_Toc292789299"/>
      <w:bookmarkStart w:id="452" w:name="_Toc292793596"/>
      <w:bookmarkStart w:id="453" w:name="_Toc292888978"/>
      <w:bookmarkEnd w:id="447"/>
      <w:bookmarkEnd w:id="448"/>
      <w:bookmarkEnd w:id="449"/>
      <w:r w:rsidR="00BF4964" w:rsidRPr="006D71C7">
        <w:rPr>
          <w:szCs w:val="24"/>
        </w:rPr>
        <w:t>ŚRODOWISKO</w:t>
      </w:r>
      <w:bookmarkEnd w:id="450"/>
    </w:p>
    <w:p w:rsidR="00BF4964" w:rsidRPr="006D71C7" w:rsidRDefault="00BF4964" w:rsidP="00BA2FE7">
      <w:pPr>
        <w:pStyle w:val="Nagwek1"/>
        <w:numPr>
          <w:ilvl w:val="2"/>
          <w:numId w:val="63"/>
        </w:numPr>
        <w:tabs>
          <w:tab w:val="left" w:pos="284"/>
        </w:tabs>
        <w:spacing w:before="120" w:after="120"/>
        <w:ind w:left="567" w:hanging="567"/>
        <w:jc w:val="both"/>
      </w:pPr>
      <w:bookmarkStart w:id="454" w:name="_Toc292793595"/>
      <w:bookmarkStart w:id="455" w:name="_Toc324853917"/>
      <w:bookmarkStart w:id="456" w:name="_Toc327259269"/>
      <w:r w:rsidRPr="006D71C7">
        <w:t>Osiągnięcie celów i analiza postępów</w:t>
      </w:r>
      <w:bookmarkEnd w:id="454"/>
      <w:bookmarkEnd w:id="455"/>
      <w:bookmarkEnd w:id="456"/>
    </w:p>
    <w:p w:rsidR="00CC7679" w:rsidRPr="006D71C7" w:rsidRDefault="00CC7679" w:rsidP="00BA2FE7">
      <w:pPr>
        <w:pStyle w:val="Nagwek1"/>
        <w:numPr>
          <w:ilvl w:val="3"/>
          <w:numId w:val="63"/>
        </w:numPr>
        <w:tabs>
          <w:tab w:val="left" w:pos="284"/>
        </w:tabs>
        <w:spacing w:before="120" w:after="120"/>
        <w:jc w:val="both"/>
      </w:pPr>
      <w:bookmarkStart w:id="457" w:name="_Toc324853918"/>
      <w:bookmarkStart w:id="458" w:name="_Toc327259270"/>
      <w:r w:rsidRPr="006D71C7">
        <w:t>Informacje na temat fizycznych i finansowych postępów priorytetu</w:t>
      </w:r>
      <w:bookmarkEnd w:id="451"/>
      <w:bookmarkEnd w:id="452"/>
      <w:bookmarkEnd w:id="453"/>
      <w:bookmarkEnd w:id="457"/>
      <w:bookmarkEnd w:id="458"/>
    </w:p>
    <w:p w:rsidR="00CC7679" w:rsidRPr="006D71C7" w:rsidRDefault="00BF4964" w:rsidP="006D71C7">
      <w:pPr>
        <w:pStyle w:val="Nagwek2"/>
        <w:numPr>
          <w:ilvl w:val="0"/>
          <w:numId w:val="0"/>
        </w:numPr>
        <w:spacing w:before="0" w:beforeAutospacing="0" w:after="120" w:afterAutospacing="0" w:line="276" w:lineRule="auto"/>
        <w:jc w:val="both"/>
        <w:rPr>
          <w:b w:val="0"/>
          <w:sz w:val="24"/>
          <w:szCs w:val="24"/>
        </w:rPr>
      </w:pPr>
      <w:bookmarkStart w:id="459" w:name="_Toc292789300"/>
      <w:bookmarkStart w:id="460" w:name="_Toc292793597"/>
      <w:bookmarkStart w:id="461" w:name="_Toc292888979"/>
      <w:bookmarkStart w:id="462" w:name="_Toc324786862"/>
      <w:bookmarkStart w:id="463" w:name="_Toc324853919"/>
      <w:bookmarkStart w:id="464" w:name="_Toc327259271"/>
      <w:r w:rsidRPr="006D71C7">
        <w:rPr>
          <w:b w:val="0"/>
          <w:sz w:val="24"/>
          <w:szCs w:val="24"/>
        </w:rPr>
        <w:t>W załącznik</w:t>
      </w:r>
      <w:r w:rsidR="009C07AD"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dla priorytetu V, dla kolejnych lat w ujęciu kumulatywnym. Przedstawione informacje prezentowane są według stanu na koniec 2011 roku oparte na danych dotyczących operacji zakończonych. Określone zostały wartości docelowe dla 2010, 2013 i 2015 roku oraz zaprezentowano szacowaną wartość na podstawie podpisanych umów o dofinansowanie. Przedstawiono także wskaźniki przedmiotowego priorytetu w podziale na działania i poddziałania.</w:t>
      </w:r>
      <w:bookmarkEnd w:id="459"/>
      <w:bookmarkEnd w:id="460"/>
      <w:bookmarkEnd w:id="461"/>
      <w:bookmarkEnd w:id="462"/>
      <w:bookmarkEnd w:id="463"/>
      <w:bookmarkEnd w:id="464"/>
    </w:p>
    <w:p w:rsidR="00CC7679" w:rsidRPr="006D71C7" w:rsidRDefault="00CC7679" w:rsidP="00BA2FE7">
      <w:pPr>
        <w:pStyle w:val="Nagwek1"/>
        <w:numPr>
          <w:ilvl w:val="3"/>
          <w:numId w:val="63"/>
        </w:numPr>
        <w:tabs>
          <w:tab w:val="left" w:pos="284"/>
        </w:tabs>
        <w:spacing w:before="120" w:after="120"/>
        <w:jc w:val="both"/>
      </w:pPr>
      <w:bookmarkStart w:id="465" w:name="_Toc324853920"/>
      <w:bookmarkStart w:id="466" w:name="_Toc327259272"/>
      <w:r w:rsidRPr="006D71C7">
        <w:t>Analiza jakościowa</w:t>
      </w:r>
      <w:r w:rsidR="00BF4964" w:rsidRPr="006D71C7">
        <w:t xml:space="preserve"> (poziom priorytetu)</w:t>
      </w:r>
      <w:bookmarkEnd w:id="465"/>
      <w:bookmarkEnd w:id="466"/>
    </w:p>
    <w:p w:rsidR="00245F70" w:rsidRPr="006D71C7" w:rsidRDefault="007338BD" w:rsidP="006D71C7">
      <w:pPr>
        <w:jc w:val="both"/>
        <w:rPr>
          <w:i/>
        </w:rPr>
      </w:pPr>
      <w:r w:rsidRPr="006D71C7">
        <w:rPr>
          <w:b/>
          <w:i/>
        </w:rPr>
        <w:t>Informacje ogólne</w:t>
      </w:r>
    </w:p>
    <w:p w:rsidR="00CC7679" w:rsidRPr="006D71C7" w:rsidRDefault="00BF4964" w:rsidP="006D71C7">
      <w:pPr>
        <w:spacing w:before="240"/>
        <w:jc w:val="both"/>
        <w:rPr>
          <w:szCs w:val="24"/>
        </w:rPr>
      </w:pPr>
      <w:r w:rsidRPr="006D71C7">
        <w:rPr>
          <w:szCs w:val="24"/>
        </w:rPr>
        <w:t>Celem głównym p</w:t>
      </w:r>
      <w:r w:rsidR="00CC7679" w:rsidRPr="006D71C7">
        <w:rPr>
          <w:szCs w:val="24"/>
        </w:rPr>
        <w:t xml:space="preserve">riorytetu V jest </w:t>
      </w:r>
      <w:r w:rsidR="00CC7679" w:rsidRPr="006D71C7">
        <w:rPr>
          <w:i/>
          <w:iCs/>
          <w:szCs w:val="24"/>
        </w:rPr>
        <w:t>ochrona oraz poprawa jakości środowiska</w:t>
      </w:r>
      <w:r w:rsidR="00CC7679" w:rsidRPr="006D71C7">
        <w:rPr>
          <w:szCs w:val="24"/>
        </w:rPr>
        <w:t xml:space="preserve">. W ramach priorytetu wspierane </w:t>
      </w:r>
      <w:r w:rsidR="00BC73F9" w:rsidRPr="006D71C7">
        <w:rPr>
          <w:szCs w:val="24"/>
        </w:rPr>
        <w:t>są</w:t>
      </w:r>
      <w:r w:rsidR="00CC7679" w:rsidRPr="006D71C7">
        <w:rPr>
          <w:szCs w:val="24"/>
        </w:rPr>
        <w:t xml:space="preserve"> działania w zakresie rozwoju infrastruktury wodno – ściekowej, gospodarki odpadami, poprawy jakości powietrza i wykorzystania odnawialnych źródeł energii, zarządzania środowiskiem i ochrony dziedzictwa przyrodniczego.</w:t>
      </w:r>
    </w:p>
    <w:p w:rsidR="00CC7679" w:rsidRPr="006D71C7" w:rsidRDefault="00CC7679" w:rsidP="006D71C7">
      <w:pPr>
        <w:spacing w:after="0"/>
        <w:jc w:val="both"/>
        <w:rPr>
          <w:szCs w:val="24"/>
        </w:rPr>
      </w:pPr>
      <w:r w:rsidRPr="006D71C7">
        <w:rPr>
          <w:szCs w:val="24"/>
        </w:rPr>
        <w:t>Realizacji priorytetu służyć mają pięć działań:</w:t>
      </w:r>
    </w:p>
    <w:p w:rsidR="00CC7679" w:rsidRPr="006D71C7" w:rsidRDefault="00CC7679" w:rsidP="006D71C7">
      <w:pPr>
        <w:pStyle w:val="Akapitzlist"/>
        <w:numPr>
          <w:ilvl w:val="0"/>
          <w:numId w:val="4"/>
        </w:numPr>
        <w:spacing w:after="0"/>
        <w:jc w:val="both"/>
        <w:rPr>
          <w:i/>
          <w:szCs w:val="24"/>
        </w:rPr>
      </w:pPr>
      <w:r w:rsidRPr="006D71C7">
        <w:rPr>
          <w:szCs w:val="24"/>
        </w:rPr>
        <w:t>5</w:t>
      </w:r>
      <w:r w:rsidRPr="006D71C7">
        <w:rPr>
          <w:i/>
          <w:szCs w:val="24"/>
        </w:rPr>
        <w:t>.1 Gospodarka wodno-ściekowa</w:t>
      </w:r>
      <w:r w:rsidR="007A230E" w:rsidRPr="006D71C7">
        <w:rPr>
          <w:i/>
          <w:szCs w:val="24"/>
        </w:rPr>
        <w:t>,</w:t>
      </w:r>
    </w:p>
    <w:p w:rsidR="00CC7679" w:rsidRPr="006D71C7" w:rsidRDefault="00CC7679" w:rsidP="006D71C7">
      <w:pPr>
        <w:pStyle w:val="Akapitzlist"/>
        <w:numPr>
          <w:ilvl w:val="0"/>
          <w:numId w:val="4"/>
        </w:numPr>
        <w:spacing w:after="0"/>
        <w:jc w:val="both"/>
        <w:rPr>
          <w:i/>
          <w:szCs w:val="24"/>
        </w:rPr>
      </w:pPr>
      <w:r w:rsidRPr="006D71C7">
        <w:rPr>
          <w:i/>
          <w:szCs w:val="24"/>
        </w:rPr>
        <w:t>5.2 Gospodarka odpadami</w:t>
      </w:r>
      <w:r w:rsidR="007A230E" w:rsidRPr="006D71C7">
        <w:rPr>
          <w:i/>
          <w:szCs w:val="24"/>
        </w:rPr>
        <w:t>,</w:t>
      </w:r>
    </w:p>
    <w:p w:rsidR="00CC7679" w:rsidRPr="006D71C7" w:rsidRDefault="00CC7679" w:rsidP="006D71C7">
      <w:pPr>
        <w:pStyle w:val="Akapitzlist"/>
        <w:numPr>
          <w:ilvl w:val="0"/>
          <w:numId w:val="4"/>
        </w:numPr>
        <w:spacing w:after="0"/>
        <w:jc w:val="both"/>
        <w:rPr>
          <w:i/>
          <w:szCs w:val="24"/>
        </w:rPr>
      </w:pPr>
      <w:r w:rsidRPr="006D71C7">
        <w:rPr>
          <w:i/>
          <w:szCs w:val="24"/>
        </w:rPr>
        <w:t>5.3 Czyste powietrze i odnawialne źródła energii</w:t>
      </w:r>
      <w:r w:rsidR="007A230E" w:rsidRPr="006D71C7">
        <w:rPr>
          <w:i/>
          <w:szCs w:val="24"/>
        </w:rPr>
        <w:t>,</w:t>
      </w:r>
    </w:p>
    <w:p w:rsidR="00CC7679" w:rsidRPr="006D71C7" w:rsidRDefault="00CC7679" w:rsidP="006D71C7">
      <w:pPr>
        <w:pStyle w:val="Akapitzlist"/>
        <w:numPr>
          <w:ilvl w:val="0"/>
          <w:numId w:val="4"/>
        </w:numPr>
        <w:spacing w:after="0"/>
        <w:jc w:val="both"/>
        <w:rPr>
          <w:i/>
          <w:szCs w:val="24"/>
        </w:rPr>
      </w:pPr>
      <w:r w:rsidRPr="006D71C7">
        <w:rPr>
          <w:i/>
          <w:szCs w:val="24"/>
        </w:rPr>
        <w:t>5.4 Zarządzanie środowiskiem</w:t>
      </w:r>
      <w:r w:rsidR="007A230E" w:rsidRPr="006D71C7">
        <w:rPr>
          <w:i/>
          <w:szCs w:val="24"/>
        </w:rPr>
        <w:t>,</w:t>
      </w:r>
    </w:p>
    <w:p w:rsidR="00CC7679" w:rsidRPr="006D71C7" w:rsidRDefault="00CC7679" w:rsidP="006D71C7">
      <w:pPr>
        <w:pStyle w:val="Akapitzlist"/>
        <w:numPr>
          <w:ilvl w:val="0"/>
          <w:numId w:val="4"/>
        </w:numPr>
        <w:spacing w:before="240" w:after="0"/>
        <w:jc w:val="both"/>
        <w:rPr>
          <w:i/>
          <w:szCs w:val="24"/>
        </w:rPr>
      </w:pPr>
      <w:r w:rsidRPr="006D71C7">
        <w:rPr>
          <w:i/>
          <w:szCs w:val="24"/>
        </w:rPr>
        <w:t>5.5 Dziedzictwo przyrodnicze</w:t>
      </w:r>
      <w:r w:rsidR="007A230E" w:rsidRPr="006D71C7">
        <w:rPr>
          <w:i/>
          <w:szCs w:val="24"/>
        </w:rPr>
        <w:t>.</w:t>
      </w:r>
    </w:p>
    <w:p w:rsidR="00CC7679" w:rsidRPr="006D71C7" w:rsidRDefault="00CC7679" w:rsidP="006D71C7">
      <w:pPr>
        <w:spacing w:before="240"/>
        <w:jc w:val="both"/>
        <w:rPr>
          <w:i/>
          <w:szCs w:val="24"/>
        </w:rPr>
      </w:pPr>
      <w:r w:rsidRPr="006D71C7">
        <w:rPr>
          <w:szCs w:val="24"/>
        </w:rPr>
        <w:t xml:space="preserve">Na realizację </w:t>
      </w:r>
      <w:r w:rsidR="00BF4964" w:rsidRPr="006D71C7">
        <w:rPr>
          <w:szCs w:val="24"/>
        </w:rPr>
        <w:t>p</w:t>
      </w:r>
      <w:r w:rsidRPr="006D71C7">
        <w:rPr>
          <w:szCs w:val="24"/>
        </w:rPr>
        <w:t xml:space="preserve">riorytetu V alokowano </w:t>
      </w:r>
      <w:r w:rsidR="0002070D" w:rsidRPr="006D71C7">
        <w:rPr>
          <w:szCs w:val="24"/>
        </w:rPr>
        <w:t>180 678 600 EUR pochodzących z </w:t>
      </w:r>
      <w:r w:rsidRPr="006D71C7">
        <w:rPr>
          <w:szCs w:val="24"/>
        </w:rPr>
        <w:t>EFR</w:t>
      </w:r>
      <w:r w:rsidR="00BF4964" w:rsidRPr="006D71C7">
        <w:rPr>
          <w:szCs w:val="24"/>
        </w:rPr>
        <w:t>R, co stanowi 10,34</w:t>
      </w:r>
      <w:r w:rsidRPr="006D71C7">
        <w:rPr>
          <w:szCs w:val="24"/>
        </w:rPr>
        <w:t xml:space="preserve">% wartości </w:t>
      </w:r>
      <w:r w:rsidRPr="006D71C7">
        <w:rPr>
          <w:i/>
          <w:szCs w:val="24"/>
        </w:rPr>
        <w:t>Programu.</w:t>
      </w:r>
    </w:p>
    <w:p w:rsidR="00E93652" w:rsidRPr="006D71C7" w:rsidRDefault="00E93652" w:rsidP="006D71C7">
      <w:pPr>
        <w:widowControl w:val="0"/>
        <w:autoSpaceDE w:val="0"/>
        <w:autoSpaceDN w:val="0"/>
        <w:adjustRightInd w:val="0"/>
        <w:spacing w:after="120"/>
        <w:ind w:right="-23"/>
        <w:jc w:val="both"/>
        <w:rPr>
          <w:szCs w:val="24"/>
        </w:rPr>
      </w:pPr>
      <w:r w:rsidRPr="006D71C7">
        <w:rPr>
          <w:szCs w:val="24"/>
        </w:rPr>
        <w:t xml:space="preserve">Opis wkładu priorytetu w promowanie równości szans kobiet i mężczyzn znajduje się w pkt. 2.2.1 </w:t>
      </w:r>
      <w:r w:rsidRPr="006D71C7">
        <w:rPr>
          <w:i/>
          <w:szCs w:val="24"/>
        </w:rPr>
        <w:t>Sprawozdania.</w:t>
      </w:r>
      <w:r w:rsidRPr="006D71C7">
        <w:rPr>
          <w:szCs w:val="24"/>
        </w:rPr>
        <w:t>.</w:t>
      </w:r>
    </w:p>
    <w:p w:rsidR="00E93652" w:rsidRPr="006D71C7" w:rsidRDefault="00E93652" w:rsidP="006D71C7">
      <w:pPr>
        <w:widowControl w:val="0"/>
        <w:autoSpaceDE w:val="0"/>
        <w:autoSpaceDN w:val="0"/>
        <w:adjustRightInd w:val="0"/>
        <w:spacing w:after="120"/>
        <w:ind w:right="-23"/>
        <w:jc w:val="both"/>
        <w:rPr>
          <w:i/>
          <w:szCs w:val="24"/>
        </w:rPr>
      </w:pPr>
      <w:r w:rsidRPr="006D71C7">
        <w:rPr>
          <w:szCs w:val="24"/>
        </w:rPr>
        <w:t xml:space="preserve">Informacje nt. zasady cross – financing realizowanej w ramach przedmiotowego priorytetu znajdują się w pkt. 2.6.3 </w:t>
      </w:r>
      <w:r w:rsidRPr="006D71C7">
        <w:rPr>
          <w:i/>
          <w:szCs w:val="24"/>
        </w:rPr>
        <w:t>Sprawozdania.</w:t>
      </w:r>
    </w:p>
    <w:p w:rsidR="00E93652" w:rsidRPr="006D71C7" w:rsidRDefault="00E93652" w:rsidP="006D71C7">
      <w:pPr>
        <w:widowControl w:val="0"/>
        <w:autoSpaceDE w:val="0"/>
        <w:autoSpaceDN w:val="0"/>
        <w:adjustRightInd w:val="0"/>
        <w:spacing w:after="120"/>
        <w:ind w:right="-23"/>
        <w:jc w:val="both"/>
        <w:rPr>
          <w:szCs w:val="24"/>
        </w:rPr>
      </w:pPr>
      <w:r w:rsidRPr="006D71C7">
        <w:rPr>
          <w:szCs w:val="24"/>
        </w:rPr>
        <w:t xml:space="preserve"> IZ RPO WSL nie planuje żadnych zmian w alokacji priorytetu.</w:t>
      </w:r>
    </w:p>
    <w:p w:rsidR="00632010" w:rsidRPr="006D71C7" w:rsidRDefault="00E93652" w:rsidP="006D71C7">
      <w:pPr>
        <w:spacing w:after="0"/>
        <w:jc w:val="both"/>
        <w:rPr>
          <w:b/>
        </w:rPr>
      </w:pPr>
      <w:r w:rsidRPr="006D71C7">
        <w:rPr>
          <w:szCs w:val="24"/>
        </w:rPr>
        <w:t>W</w:t>
      </w:r>
      <w:r w:rsidRPr="006D71C7">
        <w:t xml:space="preserve"> ramach priorytetu V nie zostało przeprowadzone badanie ewaluacyjne</w:t>
      </w:r>
      <w:r w:rsidR="00632010" w:rsidRPr="006D71C7">
        <w:t xml:space="preserve">. Jednak w </w:t>
      </w:r>
      <w:r w:rsidR="00573CC8" w:rsidRPr="006D71C7">
        <w:t xml:space="preserve">zakresie obszaru tematycznego – </w:t>
      </w:r>
      <w:r w:rsidR="00632010" w:rsidRPr="006D71C7">
        <w:t>środowisk</w:t>
      </w:r>
      <w:r w:rsidR="00573CC8" w:rsidRPr="006D71C7">
        <w:t>o,</w:t>
      </w:r>
      <w:r w:rsidR="00632010" w:rsidRPr="006D71C7">
        <w:t xml:space="preserve"> wykonano badanie w ramach projektu systemowego pt. </w:t>
      </w:r>
      <w:r w:rsidR="00632010" w:rsidRPr="006D71C7">
        <w:rPr>
          <w:i/>
        </w:rPr>
        <w:t>Badania i analizy na</w:t>
      </w:r>
      <w:r w:rsidR="00573CC8" w:rsidRPr="006D71C7">
        <w:rPr>
          <w:i/>
        </w:rPr>
        <w:t> </w:t>
      </w:r>
      <w:r w:rsidR="00632010" w:rsidRPr="006D71C7">
        <w:rPr>
          <w:i/>
        </w:rPr>
        <w:t>potrzeby Regionalnego Centrum Analiz Strategicznych</w:t>
      </w:r>
      <w:r w:rsidR="00632010" w:rsidRPr="006D71C7">
        <w:t xml:space="preserve"> realizowanego w</w:t>
      </w:r>
      <w:r w:rsidR="00573CC8" w:rsidRPr="006D71C7">
        <w:t> </w:t>
      </w:r>
      <w:r w:rsidR="00632010" w:rsidRPr="006D71C7">
        <w:t xml:space="preserve">ramach poddziałania </w:t>
      </w:r>
      <w:r w:rsidR="00632010" w:rsidRPr="006D71C7">
        <w:rPr>
          <w:i/>
        </w:rPr>
        <w:t xml:space="preserve">8.1.4. Przewidywanie zmiany gospodarczej PO KL - Wsparcie efektywnego wykorzystania zasobów naturalnych w województwie śląskim w kierunku zrównoważonego rozwoju. </w:t>
      </w:r>
      <w:r w:rsidR="00632010" w:rsidRPr="006D71C7">
        <w:t>Głównym celem badania było wskazanie pożądanych kierunków działania w obszarze ochrony środowiska w województwie śląskim, ze szczególnym uwzględnieniem inwestycji w odnawialne źródła energii. Cel główny realizowany był przez trzy cele szczegółowe:</w:t>
      </w:r>
    </w:p>
    <w:p w:rsidR="00632010" w:rsidRPr="006D71C7" w:rsidRDefault="00632010" w:rsidP="00BA2FE7">
      <w:pPr>
        <w:pStyle w:val="Akapitzlist"/>
        <w:numPr>
          <w:ilvl w:val="0"/>
          <w:numId w:val="101"/>
        </w:numPr>
        <w:spacing w:after="0"/>
        <w:ind w:left="709"/>
        <w:jc w:val="both"/>
      </w:pPr>
      <w:r w:rsidRPr="006D71C7">
        <w:t xml:space="preserve">Analiza działań podjętych w obszarze gospodarki wodno-ściekowej, </w:t>
      </w:r>
      <w:r w:rsidR="00573CC8" w:rsidRPr="006D71C7">
        <w:t>gospodarki</w:t>
      </w:r>
      <w:r w:rsidRPr="006D71C7">
        <w:t xml:space="preserve"> odpadami i ochrony powietrza.</w:t>
      </w:r>
    </w:p>
    <w:p w:rsidR="00632010" w:rsidRPr="006D71C7" w:rsidRDefault="00632010" w:rsidP="00BA2FE7">
      <w:pPr>
        <w:pStyle w:val="Akapitzlist"/>
        <w:numPr>
          <w:ilvl w:val="0"/>
          <w:numId w:val="101"/>
        </w:numPr>
        <w:spacing w:after="0"/>
        <w:ind w:left="709"/>
        <w:jc w:val="both"/>
      </w:pPr>
      <w:r w:rsidRPr="006D71C7">
        <w:t>Analiza działań i ocena potencjału w zakresie inwestycji w odnawialne źródła energii.</w:t>
      </w:r>
    </w:p>
    <w:p w:rsidR="00632010" w:rsidRPr="006D71C7" w:rsidRDefault="00632010" w:rsidP="00BA2FE7">
      <w:pPr>
        <w:pStyle w:val="Akapitzlist"/>
        <w:numPr>
          <w:ilvl w:val="0"/>
          <w:numId w:val="101"/>
        </w:numPr>
        <w:spacing w:after="0"/>
        <w:ind w:left="709"/>
        <w:jc w:val="both"/>
      </w:pPr>
      <w:r w:rsidRPr="006D71C7">
        <w:t>Analiza działań zwiększających świadomość mieszkańców województwa na temat ochrony środowiska w regionie.</w:t>
      </w:r>
    </w:p>
    <w:p w:rsidR="00632010" w:rsidRPr="006D71C7" w:rsidRDefault="00632010" w:rsidP="006D71C7">
      <w:pPr>
        <w:pStyle w:val="Akapitzlist"/>
        <w:spacing w:after="0"/>
        <w:ind w:left="0"/>
        <w:jc w:val="both"/>
      </w:pPr>
      <w:r w:rsidRPr="006D71C7">
        <w:t>Ostatecznym efektem jest zestaw rekomendacji wskazujący rodzaje inwestycji w obszarze ochrony środowiska w zakresie każdego z przedstawionych celów szczegółowych, które powinny być realizowane w województwie śląskim. Okres realizacji badania: sierpień – grudzień 2011r.</w:t>
      </w:r>
    </w:p>
    <w:p w:rsidR="00632010" w:rsidRPr="006D71C7" w:rsidRDefault="00632010" w:rsidP="006D71C7">
      <w:pPr>
        <w:pStyle w:val="Akapitzlist"/>
        <w:spacing w:after="0" w:line="240" w:lineRule="auto"/>
        <w:ind w:left="0"/>
        <w:jc w:val="both"/>
      </w:pPr>
    </w:p>
    <w:p w:rsidR="0002070D" w:rsidRPr="006D71C7" w:rsidRDefault="00BF4964" w:rsidP="006D71C7">
      <w:pPr>
        <w:pStyle w:val="Akapitzlist"/>
        <w:spacing w:after="0"/>
        <w:ind w:left="0"/>
        <w:jc w:val="both"/>
        <w:rPr>
          <w:b/>
          <w:i/>
          <w:szCs w:val="24"/>
        </w:rPr>
      </w:pPr>
      <w:r w:rsidRPr="006D71C7">
        <w:rPr>
          <w:b/>
          <w:i/>
          <w:szCs w:val="24"/>
        </w:rPr>
        <w:t>Postęp wdrażania priorytetu V</w:t>
      </w:r>
    </w:p>
    <w:p w:rsidR="00CF184A" w:rsidRPr="006D71C7" w:rsidRDefault="00CF184A" w:rsidP="006D71C7">
      <w:pPr>
        <w:jc w:val="both"/>
        <w:rPr>
          <w:i/>
          <w:szCs w:val="24"/>
        </w:rPr>
      </w:pPr>
      <w:r w:rsidRPr="006D71C7">
        <w:rPr>
          <w:szCs w:val="24"/>
        </w:rPr>
        <w:t xml:space="preserve">Zgodnie z cyklem życia projektów w pierwszych latach wdrażania priorytetu V najszybciej rosły wskaźniki </w:t>
      </w:r>
      <w:r w:rsidR="00D97AE2" w:rsidRPr="006D71C7">
        <w:rPr>
          <w:szCs w:val="24"/>
        </w:rPr>
        <w:t>p.n.</w:t>
      </w:r>
      <w:r w:rsidRPr="006D71C7">
        <w:rPr>
          <w:szCs w:val="24"/>
        </w:rPr>
        <w:t xml:space="preserve"> </w:t>
      </w:r>
      <w:r w:rsidRPr="006D71C7">
        <w:rPr>
          <w:i/>
          <w:szCs w:val="24"/>
        </w:rPr>
        <w:t>zatwierdzone wnioski o dofinansowanie</w:t>
      </w:r>
      <w:r w:rsidRPr="006D71C7">
        <w:rPr>
          <w:szCs w:val="24"/>
        </w:rPr>
        <w:t xml:space="preserve">, </w:t>
      </w:r>
      <w:r w:rsidRPr="006D71C7">
        <w:rPr>
          <w:i/>
          <w:szCs w:val="24"/>
        </w:rPr>
        <w:t>podpisane umowy o</w:t>
      </w:r>
      <w:r w:rsidR="00423B8A" w:rsidRPr="006D71C7">
        <w:rPr>
          <w:i/>
          <w:szCs w:val="24"/>
        </w:rPr>
        <w:t> </w:t>
      </w:r>
      <w:r w:rsidRPr="006D71C7">
        <w:rPr>
          <w:i/>
          <w:szCs w:val="24"/>
        </w:rPr>
        <w:t>dofinansowanie.</w:t>
      </w:r>
      <w:r w:rsidRPr="006D71C7">
        <w:rPr>
          <w:szCs w:val="24"/>
        </w:rPr>
        <w:t xml:space="preserve"> Świadczy o tym fakt,</w:t>
      </w:r>
      <w:r w:rsidR="001E2B2C" w:rsidRPr="006D71C7">
        <w:rPr>
          <w:szCs w:val="24"/>
        </w:rPr>
        <w:t xml:space="preserve"> iż</w:t>
      </w:r>
      <w:r w:rsidRPr="006D71C7">
        <w:rPr>
          <w:szCs w:val="24"/>
        </w:rPr>
        <w:t xml:space="preserve"> </w:t>
      </w:r>
      <w:r w:rsidR="001E2B2C" w:rsidRPr="006D71C7">
        <w:rPr>
          <w:szCs w:val="24"/>
        </w:rPr>
        <w:t>ww. zmienn</w:t>
      </w:r>
      <w:r w:rsidR="001A0B9C" w:rsidRPr="006D71C7">
        <w:rPr>
          <w:szCs w:val="24"/>
        </w:rPr>
        <w:t>e</w:t>
      </w:r>
      <w:r w:rsidR="001E2B2C" w:rsidRPr="006D71C7">
        <w:rPr>
          <w:szCs w:val="24"/>
        </w:rPr>
        <w:t xml:space="preserve"> </w:t>
      </w:r>
      <w:r w:rsidR="001A0B9C" w:rsidRPr="006D71C7">
        <w:rPr>
          <w:szCs w:val="24"/>
        </w:rPr>
        <w:t xml:space="preserve">osiągnęły poziom </w:t>
      </w:r>
      <w:r w:rsidR="001E2B2C" w:rsidRPr="006D71C7">
        <w:rPr>
          <w:szCs w:val="24"/>
        </w:rPr>
        <w:t>80%</w:t>
      </w:r>
      <w:r w:rsidR="009C07AD" w:rsidRPr="006D71C7">
        <w:rPr>
          <w:szCs w:val="24"/>
        </w:rPr>
        <w:t>,</w:t>
      </w:r>
      <w:r w:rsidR="001E2B2C" w:rsidRPr="006D71C7">
        <w:rPr>
          <w:szCs w:val="24"/>
        </w:rPr>
        <w:t xml:space="preserve"> z czego</w:t>
      </w:r>
      <w:r w:rsidRPr="006D71C7">
        <w:rPr>
          <w:szCs w:val="24"/>
        </w:rPr>
        <w:t xml:space="preserve"> w</w:t>
      </w:r>
      <w:r w:rsidR="001A0B9C" w:rsidRPr="006D71C7">
        <w:rPr>
          <w:szCs w:val="24"/>
        </w:rPr>
        <w:t xml:space="preserve"> samym </w:t>
      </w:r>
      <w:r w:rsidRPr="006D71C7">
        <w:rPr>
          <w:szCs w:val="24"/>
        </w:rPr>
        <w:t>okresie sprawozdawczym wzrosły o około 25%</w:t>
      </w:r>
      <w:r w:rsidR="001A0B9C" w:rsidRPr="006D71C7">
        <w:rPr>
          <w:szCs w:val="24"/>
        </w:rPr>
        <w:t>.</w:t>
      </w:r>
      <w:r w:rsidRPr="006D71C7">
        <w:rPr>
          <w:szCs w:val="24"/>
        </w:rPr>
        <w:t xml:space="preserve"> </w:t>
      </w:r>
      <w:r w:rsidR="001A0B9C" w:rsidRPr="006D71C7">
        <w:rPr>
          <w:szCs w:val="24"/>
        </w:rPr>
        <w:t xml:space="preserve">Znaczny </w:t>
      </w:r>
      <w:r w:rsidRPr="006D71C7">
        <w:rPr>
          <w:szCs w:val="24"/>
        </w:rPr>
        <w:t>wzrost w</w:t>
      </w:r>
      <w:r w:rsidR="001E2B2C" w:rsidRPr="006D71C7">
        <w:rPr>
          <w:szCs w:val="24"/>
        </w:rPr>
        <w:t> </w:t>
      </w:r>
      <w:r w:rsidRPr="006D71C7">
        <w:rPr>
          <w:szCs w:val="24"/>
        </w:rPr>
        <w:t xml:space="preserve">okresie sprawozdawczym </w:t>
      </w:r>
      <w:r w:rsidR="001A0B9C" w:rsidRPr="006D71C7">
        <w:rPr>
          <w:szCs w:val="24"/>
        </w:rPr>
        <w:t xml:space="preserve"> można zaobserwować</w:t>
      </w:r>
      <w:r w:rsidRPr="006D71C7">
        <w:rPr>
          <w:szCs w:val="24"/>
        </w:rPr>
        <w:t xml:space="preserve"> w płatnościach</w:t>
      </w:r>
      <w:r w:rsidR="001E2B2C" w:rsidRPr="006D71C7">
        <w:rPr>
          <w:szCs w:val="24"/>
        </w:rPr>
        <w:t xml:space="preserve"> 58%.</w:t>
      </w:r>
      <w:r w:rsidR="005806D8" w:rsidRPr="006D71C7">
        <w:rPr>
          <w:szCs w:val="24"/>
        </w:rPr>
        <w:t xml:space="preserve"> </w:t>
      </w:r>
      <w:r w:rsidR="001A0B9C" w:rsidRPr="006D71C7">
        <w:rPr>
          <w:szCs w:val="24"/>
        </w:rPr>
        <w:t>Priorytet realizowany jest bardzo sprawnie.</w:t>
      </w:r>
    </w:p>
    <w:p w:rsidR="00C43B75" w:rsidRDefault="00442DBC" w:rsidP="00C43B75">
      <w:pPr>
        <w:ind w:left="-567"/>
        <w:jc w:val="both"/>
      </w:pPr>
      <w:r w:rsidRPr="006D71C7">
        <w:rPr>
          <w:noProof/>
        </w:rPr>
        <w:drawing>
          <wp:inline distT="0" distB="0" distL="0" distR="0">
            <wp:extent cx="6797040" cy="3191982"/>
            <wp:effectExtent l="38100" t="19050" r="22860" b="8418"/>
            <wp:docPr id="22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bookmarkStart w:id="467" w:name="_Toc324786943"/>
      <w:bookmarkStart w:id="468" w:name="_Toc324854709"/>
      <w:bookmarkStart w:id="469" w:name="_Toc324854773"/>
      <w:r w:rsidR="00942E6B">
        <w:t xml:space="preserve"> </w:t>
      </w:r>
    </w:p>
    <w:p w:rsidR="00C43B75" w:rsidRPr="00C43B75" w:rsidRDefault="00C43B75" w:rsidP="00C43B75">
      <w:pPr>
        <w:pStyle w:val="Legenda"/>
      </w:pPr>
      <w:bookmarkStart w:id="470" w:name="_Toc326055357"/>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39</w:t>
      </w:r>
      <w:r w:rsidR="008F7228" w:rsidRPr="00C43B75">
        <w:rPr>
          <w:color w:val="auto"/>
          <w:sz w:val="20"/>
          <w:szCs w:val="20"/>
        </w:rPr>
        <w:fldChar w:fldCharType="end"/>
      </w:r>
      <w:r w:rsidR="00411B02" w:rsidRPr="006D71C7">
        <w:rPr>
          <w:color w:val="auto"/>
          <w:sz w:val="20"/>
          <w:szCs w:val="20"/>
        </w:rPr>
        <w:t xml:space="preserve"> </w:t>
      </w:r>
      <w:r w:rsidR="00411B02" w:rsidRPr="006D71C7">
        <w:rPr>
          <w:b w:val="0"/>
          <w:i/>
          <w:color w:val="auto"/>
          <w:sz w:val="20"/>
          <w:szCs w:val="20"/>
        </w:rPr>
        <w:t>Realizacja priorytetu V od uruchomienia Programu i w okresie sprawozdawczym</w:t>
      </w:r>
      <w:bookmarkEnd w:id="467"/>
      <w:bookmarkEnd w:id="468"/>
      <w:bookmarkEnd w:id="469"/>
      <w:bookmarkEnd w:id="470"/>
    </w:p>
    <w:p w:rsidR="007A230E" w:rsidRPr="006D71C7" w:rsidRDefault="001E2B2C" w:rsidP="006D71C7">
      <w:pPr>
        <w:spacing w:after="0"/>
        <w:jc w:val="both"/>
        <w:rPr>
          <w:szCs w:val="24"/>
        </w:rPr>
      </w:pPr>
      <w:r w:rsidRPr="006D71C7">
        <w:rPr>
          <w:szCs w:val="24"/>
        </w:rPr>
        <w:t>Poniżej w tabeli przedstawiono postęp realizacji przedmiotowego priorytetu w podziale na działania.</w:t>
      </w:r>
      <w:r w:rsidR="006A6147" w:rsidRPr="006D71C7">
        <w:rPr>
          <w:szCs w:val="24"/>
        </w:rPr>
        <w:t xml:space="preserve"> Poziom alokacji biorąc pod uwagę zatwierdzone wnioski do dofinansowania jest na bardzo wysokim poziomie. P</w:t>
      </w:r>
      <w:r w:rsidRPr="006D71C7">
        <w:rPr>
          <w:szCs w:val="24"/>
        </w:rPr>
        <w:t xml:space="preserve">oziom kontraktacji w większości przypadków jest bardzo wysoki, wyjątkiem jest </w:t>
      </w:r>
      <w:r w:rsidRPr="006D71C7">
        <w:rPr>
          <w:i/>
          <w:szCs w:val="24"/>
        </w:rPr>
        <w:t>działanie 5.3</w:t>
      </w:r>
      <w:r w:rsidRPr="006D71C7">
        <w:rPr>
          <w:szCs w:val="24"/>
        </w:rPr>
        <w:t>, jednak spowodowane jest to faktem, iż ostatni nabór wniosków w ramach ww. działania ogłoszony został w II kwartale 2011 roku i do końca okresu sprawozdawczego nie zostały podpisane umowy</w:t>
      </w:r>
      <w:r w:rsidR="00BD230F" w:rsidRPr="006D71C7">
        <w:rPr>
          <w:szCs w:val="24"/>
        </w:rPr>
        <w:t xml:space="preserve"> (widoczne jest to porównując % wykorzystania alokacji na podstawie wybranych wniosków do dofinansowania)</w:t>
      </w:r>
      <w:r w:rsidRPr="006D71C7">
        <w:rPr>
          <w:szCs w:val="24"/>
        </w:rPr>
        <w:t xml:space="preserve">. </w:t>
      </w:r>
    </w:p>
    <w:p w:rsidR="00942E6B" w:rsidRDefault="00942E6B" w:rsidP="006D71C7">
      <w:pPr>
        <w:pStyle w:val="Legenda"/>
        <w:jc w:val="both"/>
        <w:rPr>
          <w:color w:val="auto"/>
          <w:sz w:val="20"/>
          <w:szCs w:val="20"/>
        </w:rPr>
      </w:pPr>
      <w:bookmarkStart w:id="471" w:name="_Toc324853729"/>
      <w:bookmarkStart w:id="472" w:name="_Toc326046377"/>
    </w:p>
    <w:p w:rsidR="00245F70" w:rsidRPr="006D71C7" w:rsidRDefault="007338BD" w:rsidP="006D71C7">
      <w:pPr>
        <w:pStyle w:val="Legenda"/>
        <w:jc w:val="both"/>
        <w:rPr>
          <w:i/>
          <w:color w:val="auto"/>
          <w:sz w:val="20"/>
          <w:szCs w:val="20"/>
        </w:rPr>
      </w:pPr>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25</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Realizacja działań w ramach priorytetu V</w:t>
      </w:r>
      <w:bookmarkEnd w:id="471"/>
      <w:bookmarkEnd w:id="472"/>
    </w:p>
    <w:tbl>
      <w:tblPr>
        <w:tblStyle w:val="redniasiatka3akcent1"/>
        <w:tblW w:w="9300" w:type="dxa"/>
        <w:shd w:val="clear" w:color="auto" w:fill="F4B29B" w:themeFill="accent1" w:themeFillTint="66"/>
        <w:tblLook w:val="04A0" w:firstRow="1" w:lastRow="0" w:firstColumn="1" w:lastColumn="0" w:noHBand="0" w:noVBand="1"/>
      </w:tblPr>
      <w:tblGrid>
        <w:gridCol w:w="1080"/>
        <w:gridCol w:w="1296"/>
        <w:gridCol w:w="1134"/>
        <w:gridCol w:w="1134"/>
        <w:gridCol w:w="1134"/>
        <w:gridCol w:w="1134"/>
        <w:gridCol w:w="1134"/>
        <w:gridCol w:w="1254"/>
      </w:tblGrid>
      <w:tr w:rsidR="00673311" w:rsidRPr="00760EB8" w:rsidTr="00673311">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080" w:type="dxa"/>
            <w:vMerge w:val="restart"/>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Działanie</w:t>
            </w:r>
          </w:p>
        </w:tc>
        <w:tc>
          <w:tcPr>
            <w:tcW w:w="1296" w:type="dxa"/>
            <w:vMerge w:val="restart"/>
            <w:shd w:val="clear" w:color="auto" w:fill="F4B29B" w:themeFill="accent1" w:themeFillTint="66"/>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Alokacja mln EUR</w:t>
            </w:r>
          </w:p>
        </w:tc>
        <w:tc>
          <w:tcPr>
            <w:tcW w:w="2268" w:type="dxa"/>
            <w:gridSpan w:val="2"/>
            <w:shd w:val="clear" w:color="auto" w:fill="F4B29B" w:themeFill="accent1" w:themeFillTint="66"/>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Zatwierdzone wnioski do dofinansowania</w:t>
            </w:r>
          </w:p>
        </w:tc>
        <w:tc>
          <w:tcPr>
            <w:tcW w:w="2268" w:type="dxa"/>
            <w:gridSpan w:val="2"/>
            <w:shd w:val="clear" w:color="auto" w:fill="F4B29B" w:themeFill="accent1" w:themeFillTint="66"/>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43B75">
              <w:rPr>
                <w:color w:val="auto"/>
                <w:sz w:val="20"/>
                <w:szCs w:val="20"/>
              </w:rPr>
              <w:t>Podpisane umowy</w:t>
            </w:r>
          </w:p>
        </w:tc>
        <w:tc>
          <w:tcPr>
            <w:tcW w:w="2388" w:type="dxa"/>
            <w:gridSpan w:val="2"/>
            <w:shd w:val="clear" w:color="auto" w:fill="F4B29B" w:themeFill="accent1" w:themeFillTint="66"/>
            <w:noWrap/>
            <w:vAlign w:val="center"/>
            <w:hideMark/>
          </w:tcPr>
          <w:p w:rsidR="00C43B75" w:rsidRPr="00C43B75" w:rsidRDefault="00C43B75" w:rsidP="00C43B7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2"/>
              </w:rPr>
            </w:pPr>
            <w:r w:rsidRPr="00C43B75">
              <w:rPr>
                <w:color w:val="auto"/>
                <w:sz w:val="22"/>
              </w:rPr>
              <w:t>Płatności</w:t>
            </w:r>
          </w:p>
        </w:tc>
      </w:tr>
      <w:tr w:rsidR="00673311" w:rsidRPr="00760EB8" w:rsidTr="0067331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4B29B" w:themeFill="accent1" w:themeFillTint="66"/>
            <w:vAlign w:val="center"/>
            <w:hideMark/>
          </w:tcPr>
          <w:p w:rsidR="00C43B75" w:rsidRPr="00C43B75" w:rsidRDefault="00C43B75" w:rsidP="00C43B75">
            <w:pPr>
              <w:spacing w:after="0" w:line="240" w:lineRule="auto"/>
              <w:jc w:val="center"/>
              <w:rPr>
                <w:color w:val="auto"/>
                <w:sz w:val="20"/>
                <w:szCs w:val="20"/>
              </w:rPr>
            </w:pPr>
          </w:p>
        </w:tc>
        <w:tc>
          <w:tcPr>
            <w:tcW w:w="1296" w:type="dxa"/>
            <w:vMerge/>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134"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1134"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c>
          <w:tcPr>
            <w:tcW w:w="1134"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1134"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c>
          <w:tcPr>
            <w:tcW w:w="1134"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mln EUR</w:t>
            </w:r>
          </w:p>
        </w:tc>
        <w:tc>
          <w:tcPr>
            <w:tcW w:w="1254" w:type="dxa"/>
            <w:shd w:val="clear" w:color="auto" w:fill="F4B29B" w:themeFill="accent1" w:themeFillTint="66"/>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43B75">
              <w:rPr>
                <w:b/>
                <w:bCs/>
                <w:sz w:val="20"/>
                <w:szCs w:val="20"/>
              </w:rPr>
              <w:t>%</w:t>
            </w:r>
          </w:p>
        </w:tc>
      </w:tr>
      <w:tr w:rsidR="00673311" w:rsidRPr="00760EB8" w:rsidTr="00673311">
        <w:trPr>
          <w:trHeight w:val="450"/>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5.1</w:t>
            </w:r>
          </w:p>
        </w:tc>
        <w:tc>
          <w:tcPr>
            <w:tcW w:w="129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90,91</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97,43</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107%</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77,32</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85%</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30,57</w:t>
            </w:r>
          </w:p>
        </w:tc>
        <w:tc>
          <w:tcPr>
            <w:tcW w:w="125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34%</w:t>
            </w:r>
          </w:p>
        </w:tc>
      </w:tr>
      <w:tr w:rsidR="00673311" w:rsidRPr="00760EB8" w:rsidTr="0067331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5.2</w:t>
            </w:r>
          </w:p>
        </w:tc>
        <w:tc>
          <w:tcPr>
            <w:tcW w:w="1296"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27,08</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28,06</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104%</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21,99</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81%</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11,62</w:t>
            </w:r>
          </w:p>
        </w:tc>
        <w:tc>
          <w:tcPr>
            <w:tcW w:w="125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43%</w:t>
            </w:r>
          </w:p>
        </w:tc>
      </w:tr>
      <w:tr w:rsidR="00673311" w:rsidRPr="00760EB8" w:rsidTr="00673311">
        <w:trPr>
          <w:trHeight w:val="405"/>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5.3</w:t>
            </w:r>
          </w:p>
        </w:tc>
        <w:tc>
          <w:tcPr>
            <w:tcW w:w="129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51,97</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47,00</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90%</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26,07</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50%</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10,54</w:t>
            </w:r>
          </w:p>
        </w:tc>
        <w:tc>
          <w:tcPr>
            <w:tcW w:w="125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20%</w:t>
            </w:r>
          </w:p>
        </w:tc>
      </w:tr>
      <w:tr w:rsidR="00673311" w:rsidRPr="00760EB8" w:rsidTr="0067331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80" w:type="dxa"/>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5.4</w:t>
            </w:r>
          </w:p>
        </w:tc>
        <w:tc>
          <w:tcPr>
            <w:tcW w:w="1296"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5,50</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5,09</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93%</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3,97</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72%</w:t>
            </w:r>
          </w:p>
        </w:tc>
        <w:tc>
          <w:tcPr>
            <w:tcW w:w="113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0,85</w:t>
            </w:r>
          </w:p>
        </w:tc>
        <w:tc>
          <w:tcPr>
            <w:tcW w:w="1254" w:type="dxa"/>
            <w:shd w:val="clear" w:color="auto" w:fill="F9D8CD" w:themeFill="accent1" w:themeFillTint="33"/>
            <w:noWrap/>
            <w:vAlign w:val="center"/>
            <w:hideMark/>
          </w:tcPr>
          <w:p w:rsidR="00C43B75" w:rsidRDefault="00C43B75" w:rsidP="00C43B7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15%</w:t>
            </w:r>
          </w:p>
        </w:tc>
      </w:tr>
      <w:tr w:rsidR="00673311" w:rsidRPr="00760EB8" w:rsidTr="00673311">
        <w:trPr>
          <w:trHeight w:val="403"/>
        </w:trPr>
        <w:tc>
          <w:tcPr>
            <w:cnfStyle w:val="001000000000" w:firstRow="0" w:lastRow="0" w:firstColumn="1" w:lastColumn="0" w:oddVBand="0" w:evenVBand="0" w:oddHBand="0" w:evenHBand="0" w:firstRowFirstColumn="0" w:firstRowLastColumn="0" w:lastRowFirstColumn="0" w:lastRowLastColumn="0"/>
            <w:tcW w:w="1080" w:type="dxa"/>
            <w:tcBorders>
              <w:bottom w:val="single" w:sz="8" w:space="0" w:color="FFFFFF" w:themeColor="background1"/>
            </w:tcBorders>
            <w:shd w:val="clear" w:color="auto" w:fill="F4B29B" w:themeFill="accent1" w:themeFillTint="66"/>
            <w:noWrap/>
            <w:vAlign w:val="center"/>
            <w:hideMark/>
          </w:tcPr>
          <w:p w:rsidR="00C43B75" w:rsidRPr="00C43B75" w:rsidRDefault="00C43B75" w:rsidP="00C43B75">
            <w:pPr>
              <w:spacing w:after="0" w:line="240" w:lineRule="auto"/>
              <w:jc w:val="center"/>
              <w:rPr>
                <w:color w:val="auto"/>
                <w:sz w:val="20"/>
                <w:szCs w:val="20"/>
              </w:rPr>
            </w:pPr>
            <w:r w:rsidRPr="00C43B75">
              <w:rPr>
                <w:color w:val="auto"/>
                <w:sz w:val="20"/>
                <w:szCs w:val="20"/>
              </w:rPr>
              <w:t>5.5</w:t>
            </w:r>
          </w:p>
        </w:tc>
        <w:tc>
          <w:tcPr>
            <w:tcW w:w="1296"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5,22</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4,68</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90%</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4,66</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89%</w:t>
            </w:r>
          </w:p>
        </w:tc>
        <w:tc>
          <w:tcPr>
            <w:tcW w:w="113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1,28</w:t>
            </w:r>
          </w:p>
        </w:tc>
        <w:tc>
          <w:tcPr>
            <w:tcW w:w="1254" w:type="dxa"/>
            <w:tcBorders>
              <w:top w:val="single" w:sz="8" w:space="0" w:color="FFFFFF" w:themeColor="background1"/>
              <w:bottom w:val="single" w:sz="8" w:space="0" w:color="FFFFFF" w:themeColor="background1"/>
            </w:tcBorders>
            <w:shd w:val="clear" w:color="auto" w:fill="F9D8CD" w:themeFill="accent1" w:themeFillTint="33"/>
            <w:noWrap/>
            <w:vAlign w:val="center"/>
            <w:hideMark/>
          </w:tcPr>
          <w:p w:rsidR="00C43B75" w:rsidRDefault="00C43B75" w:rsidP="00C43B7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25%</w:t>
            </w:r>
          </w:p>
        </w:tc>
      </w:tr>
    </w:tbl>
    <w:p w:rsidR="00673311" w:rsidRPr="006D71C7" w:rsidRDefault="00673311" w:rsidP="006D71C7">
      <w:pPr>
        <w:spacing w:after="0" w:line="240" w:lineRule="auto"/>
        <w:jc w:val="both"/>
        <w:rPr>
          <w:szCs w:val="24"/>
        </w:rPr>
      </w:pPr>
    </w:p>
    <w:p w:rsidR="006F61C8" w:rsidRPr="006D71C7" w:rsidRDefault="00155717" w:rsidP="006D71C7">
      <w:pPr>
        <w:spacing w:after="120"/>
        <w:jc w:val="both"/>
      </w:pPr>
      <w:r w:rsidRPr="006D71C7">
        <w:rPr>
          <w:szCs w:val="24"/>
        </w:rPr>
        <w:t>W rama</w:t>
      </w:r>
      <w:r w:rsidR="00BD230F" w:rsidRPr="006D71C7">
        <w:rPr>
          <w:szCs w:val="24"/>
        </w:rPr>
        <w:t>ch p</w:t>
      </w:r>
      <w:r w:rsidRPr="006D71C7">
        <w:rPr>
          <w:szCs w:val="24"/>
        </w:rPr>
        <w:t>riorytetu V występują trzy procedury oceny i wyboru projektów: konkursowa PRS i projekty kluczowe.</w:t>
      </w:r>
      <w:r w:rsidR="00BF4964" w:rsidRPr="006D71C7">
        <w:rPr>
          <w:szCs w:val="24"/>
        </w:rPr>
        <w:t xml:space="preserve"> </w:t>
      </w:r>
      <w:r w:rsidR="007A0459" w:rsidRPr="006D71C7">
        <w:t>W ramach działania realizowany jest jeden projekt kluczowy</w:t>
      </w:r>
      <w:r w:rsidR="00CF6DA5" w:rsidRPr="006D71C7">
        <w:t xml:space="preserve"> </w:t>
      </w:r>
      <w:r w:rsidR="00CF6DA5" w:rsidRPr="006D71C7">
        <w:rPr>
          <w:i/>
        </w:rPr>
        <w:t>Infrastruktura okołolotniskowa Międzynarodowego Portu Lotniczego Katowice w Pyrzowicach</w:t>
      </w:r>
      <w:r w:rsidR="006A6147" w:rsidRPr="006D71C7">
        <w:rPr>
          <w:i/>
        </w:rPr>
        <w:t xml:space="preserve">, </w:t>
      </w:r>
      <w:r w:rsidR="006A6147" w:rsidRPr="006D71C7">
        <w:t>który realizowany jest w ramach 4 podprojektów.</w:t>
      </w:r>
    </w:p>
    <w:p w:rsidR="00BC5C44" w:rsidRPr="006D71C7" w:rsidRDefault="00BC5C44" w:rsidP="006D71C7">
      <w:pPr>
        <w:spacing w:after="120"/>
        <w:jc w:val="both"/>
      </w:pPr>
      <w:r w:rsidRPr="006D71C7">
        <w:t>Postęp w realizacji projektów w poszczególnych ścieżkach jest na bardzo podobnych poziomie biorąc pod uwagę kontraktację. Najniższy poziom jest w ramach ścieżki konkursowej</w:t>
      </w:r>
      <w:r w:rsidR="00BE0BFE" w:rsidRPr="006D71C7">
        <w:t>,</w:t>
      </w:r>
      <w:r w:rsidRPr="006D71C7">
        <w:t xml:space="preserve"> co jest spowodowane faktem, iż w okresie sprawozdawczym (I</w:t>
      </w:r>
      <w:r w:rsidR="00C54A69" w:rsidRPr="006D71C7">
        <w:t>I</w:t>
      </w:r>
      <w:r w:rsidRPr="006D71C7">
        <w:t xml:space="preserve"> kwartał) zostały ogłoszon</w:t>
      </w:r>
      <w:r w:rsidR="00C54A69" w:rsidRPr="006D71C7">
        <w:t xml:space="preserve">y </w:t>
      </w:r>
      <w:r w:rsidRPr="006D71C7">
        <w:t>nab</w:t>
      </w:r>
      <w:r w:rsidR="00C54A69" w:rsidRPr="006D71C7">
        <w:t>ór</w:t>
      </w:r>
      <w:r w:rsidRPr="006D71C7">
        <w:t>, w ramach któr</w:t>
      </w:r>
      <w:r w:rsidR="00C54A69" w:rsidRPr="006D71C7">
        <w:t>ego</w:t>
      </w:r>
      <w:r w:rsidRPr="006D71C7">
        <w:t xml:space="preserve"> do końca 2011 roku nie podpisano żadnej umowy o</w:t>
      </w:r>
      <w:r w:rsidR="00C54A69" w:rsidRPr="006D71C7">
        <w:t> </w:t>
      </w:r>
      <w:r w:rsidRPr="006D71C7">
        <w:t>dofinansowanie.</w:t>
      </w:r>
    </w:p>
    <w:p w:rsidR="00865C2A" w:rsidRDefault="00EC1C99" w:rsidP="006D71C7">
      <w:pPr>
        <w:spacing w:after="120"/>
        <w:jc w:val="both"/>
        <w:rPr>
          <w:iCs/>
          <w:szCs w:val="24"/>
        </w:rPr>
      </w:pPr>
      <w:r w:rsidRPr="006D71C7">
        <w:rPr>
          <w:iCs/>
          <w:szCs w:val="24"/>
        </w:rPr>
        <w:t xml:space="preserve">Najniższy poziom płatności </w:t>
      </w:r>
      <w:r w:rsidR="00AA1A7B" w:rsidRPr="006D71C7">
        <w:rPr>
          <w:iCs/>
          <w:szCs w:val="24"/>
        </w:rPr>
        <w:t>jest w ramach projektu kluczowego, którego realizacja rzeczowa rozpoczęła się w 2011 roku (zakończenie realizacji projektu planowane na 2015 rok) i beneficjenci nie zdążyli jeszcze ponieść dużych nakładów finansowych.</w:t>
      </w:r>
    </w:p>
    <w:p w:rsidR="003313FD" w:rsidRPr="006D71C7" w:rsidRDefault="003313FD" w:rsidP="006D71C7">
      <w:pPr>
        <w:spacing w:after="120"/>
        <w:jc w:val="both"/>
        <w:rPr>
          <w:iCs/>
          <w:szCs w:val="24"/>
        </w:rPr>
      </w:pPr>
    </w:p>
    <w:p w:rsidR="003313FD" w:rsidRPr="006D71C7" w:rsidRDefault="006A6147" w:rsidP="006D71C7">
      <w:pPr>
        <w:spacing w:after="0" w:line="240" w:lineRule="auto"/>
        <w:jc w:val="both"/>
        <w:rPr>
          <w:b/>
          <w:i/>
          <w:szCs w:val="24"/>
        </w:rPr>
      </w:pPr>
      <w:r w:rsidRPr="006D71C7">
        <w:rPr>
          <w:b/>
          <w:i/>
          <w:noProof/>
          <w:szCs w:val="24"/>
        </w:rPr>
        <w:drawing>
          <wp:inline distT="0" distB="0" distL="0" distR="0">
            <wp:extent cx="5759450" cy="3819829"/>
            <wp:effectExtent l="0" t="19050" r="0" b="9525"/>
            <wp:docPr id="233"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C43B75" w:rsidRDefault="00C43B75" w:rsidP="00C43B75">
      <w:pPr>
        <w:spacing w:after="0" w:line="240" w:lineRule="auto"/>
        <w:jc w:val="both"/>
      </w:pPr>
      <w:bookmarkStart w:id="473" w:name="_Toc324786944"/>
      <w:bookmarkStart w:id="474" w:name="_Toc324854710"/>
      <w:bookmarkStart w:id="475" w:name="_Toc324854774"/>
    </w:p>
    <w:bookmarkEnd w:id="473"/>
    <w:p w:rsidR="00C43B75" w:rsidRDefault="00C43B75" w:rsidP="00C43B75">
      <w:pPr>
        <w:pStyle w:val="Legenda"/>
        <w:rPr>
          <w:color w:val="auto"/>
          <w:sz w:val="20"/>
          <w:szCs w:val="20"/>
        </w:rPr>
      </w:pPr>
      <w:r w:rsidRPr="00C43B75">
        <w:rPr>
          <w:color w:val="auto"/>
          <w:sz w:val="20"/>
          <w:szCs w:val="20"/>
        </w:rPr>
        <w:t xml:space="preserve"> </w:t>
      </w:r>
      <w:bookmarkStart w:id="476" w:name="_Toc326055358"/>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40</w:t>
      </w:r>
      <w:r w:rsidR="008F7228" w:rsidRPr="00C43B75">
        <w:rPr>
          <w:color w:val="auto"/>
          <w:sz w:val="20"/>
          <w:szCs w:val="20"/>
        </w:rPr>
        <w:fldChar w:fldCharType="end"/>
      </w:r>
      <w:r w:rsidR="007338BD" w:rsidRPr="006D71C7">
        <w:rPr>
          <w:b w:val="0"/>
          <w:i/>
          <w:color w:val="auto"/>
          <w:sz w:val="20"/>
          <w:szCs w:val="20"/>
        </w:rPr>
        <w:t>Poziom kontraktacji i płatności w podziale na ścieżki wyboru projektów</w:t>
      </w:r>
      <w:bookmarkEnd w:id="474"/>
      <w:bookmarkEnd w:id="475"/>
      <w:bookmarkEnd w:id="476"/>
    </w:p>
    <w:p w:rsidR="00C54A69" w:rsidRPr="006D71C7" w:rsidRDefault="00597346" w:rsidP="006D71C7">
      <w:pPr>
        <w:spacing w:before="240"/>
        <w:jc w:val="both"/>
        <w:rPr>
          <w:szCs w:val="24"/>
        </w:rPr>
      </w:pPr>
      <w:r w:rsidRPr="006D71C7">
        <w:rPr>
          <w:szCs w:val="24"/>
        </w:rPr>
        <w:t>W ramach analizowanego priorytetu do końca okresu sprawozdawczego IZ RPO WSL ogłosiła wszystkie zaplanowanego w harmonogramie nabory.</w:t>
      </w:r>
    </w:p>
    <w:p w:rsidR="00245F70" w:rsidRPr="006D71C7" w:rsidRDefault="007338BD" w:rsidP="006D71C7">
      <w:pPr>
        <w:pStyle w:val="Legenda"/>
        <w:jc w:val="both"/>
        <w:rPr>
          <w:color w:val="auto"/>
          <w:sz w:val="20"/>
          <w:szCs w:val="20"/>
        </w:rPr>
      </w:pPr>
      <w:bookmarkStart w:id="477" w:name="_Toc324853730"/>
      <w:bookmarkStart w:id="478" w:name="_Toc326046378"/>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26</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Zestawienie naborów w ramach priorytetu V</w:t>
      </w:r>
      <w:bookmarkEnd w:id="477"/>
      <w:bookmarkEnd w:id="478"/>
    </w:p>
    <w:tbl>
      <w:tblPr>
        <w:tblW w:w="7131" w:type="dxa"/>
        <w:jc w:val="center"/>
        <w:tblInd w:w="-816" w:type="dxa"/>
        <w:tblCellMar>
          <w:left w:w="70" w:type="dxa"/>
          <w:right w:w="70" w:type="dxa"/>
        </w:tblCellMar>
        <w:tblLook w:val="04A0" w:firstRow="1" w:lastRow="0" w:firstColumn="1" w:lastColumn="0" w:noHBand="0" w:noVBand="1"/>
      </w:tblPr>
      <w:tblGrid>
        <w:gridCol w:w="1866"/>
        <w:gridCol w:w="1701"/>
        <w:gridCol w:w="962"/>
        <w:gridCol w:w="1306"/>
        <w:gridCol w:w="1296"/>
      </w:tblGrid>
      <w:tr w:rsidR="00C54A69" w:rsidRPr="006D71C7" w:rsidTr="00597346">
        <w:trPr>
          <w:trHeight w:val="584"/>
          <w:jc w:val="center"/>
        </w:trPr>
        <w:tc>
          <w:tcPr>
            <w:tcW w:w="1866" w:type="dxa"/>
            <w:vMerge w:val="restart"/>
            <w:tcBorders>
              <w:top w:val="single" w:sz="8" w:space="0" w:color="FFFFFF"/>
              <w:left w:val="single" w:sz="8" w:space="0" w:color="FFFFFF"/>
              <w:bottom w:val="single" w:sz="8" w:space="0" w:color="FFFFFF"/>
              <w:right w:val="single" w:sz="8" w:space="0" w:color="FFFFFF"/>
            </w:tcBorders>
            <w:shd w:val="clear" w:color="000000" w:fill="F4B29B"/>
            <w:noWrap/>
            <w:vAlign w:val="bottom"/>
            <w:hideMark/>
          </w:tcPr>
          <w:p w:rsidR="00C54A69" w:rsidRPr="006D71C7" w:rsidRDefault="00C54A69" w:rsidP="00C74054">
            <w:pPr>
              <w:spacing w:after="0" w:line="240" w:lineRule="auto"/>
              <w:jc w:val="center"/>
              <w:rPr>
                <w:rFonts w:ascii="Calibri" w:hAnsi="Calibri"/>
                <w:sz w:val="20"/>
                <w:szCs w:val="20"/>
              </w:rPr>
            </w:pPr>
          </w:p>
        </w:tc>
        <w:tc>
          <w:tcPr>
            <w:tcW w:w="2663" w:type="dxa"/>
            <w:gridSpan w:val="2"/>
            <w:tcBorders>
              <w:top w:val="single" w:sz="8" w:space="0" w:color="FFFFFF"/>
              <w:left w:val="nil"/>
              <w:bottom w:val="single" w:sz="12" w:space="0" w:color="FFFFFF"/>
              <w:right w:val="single" w:sz="8" w:space="0" w:color="FFFFFF"/>
            </w:tcBorders>
            <w:shd w:val="clear" w:color="000000" w:fill="F4B29B"/>
            <w:noWrap/>
            <w:vAlign w:val="center"/>
            <w:hideMark/>
          </w:tcPr>
          <w:p w:rsidR="00C54A69" w:rsidRPr="006D71C7" w:rsidRDefault="00C54A69" w:rsidP="00C74054">
            <w:pPr>
              <w:spacing w:after="0" w:line="240" w:lineRule="auto"/>
              <w:jc w:val="center"/>
              <w:rPr>
                <w:b/>
                <w:bCs/>
                <w:sz w:val="20"/>
                <w:szCs w:val="20"/>
              </w:rPr>
            </w:pPr>
            <w:r w:rsidRPr="006D71C7">
              <w:rPr>
                <w:b/>
                <w:bCs/>
                <w:sz w:val="20"/>
                <w:szCs w:val="20"/>
              </w:rPr>
              <w:t>od uruchomienia Programu</w:t>
            </w:r>
          </w:p>
        </w:tc>
        <w:tc>
          <w:tcPr>
            <w:tcW w:w="2602" w:type="dxa"/>
            <w:gridSpan w:val="2"/>
            <w:tcBorders>
              <w:top w:val="single" w:sz="8" w:space="0" w:color="FFFFFF"/>
              <w:left w:val="nil"/>
              <w:bottom w:val="single" w:sz="12" w:space="0" w:color="FFFFFF"/>
              <w:right w:val="single" w:sz="8" w:space="0" w:color="FFFFFF"/>
            </w:tcBorders>
            <w:shd w:val="clear" w:color="000000" w:fill="F4B29B"/>
            <w:noWrap/>
            <w:vAlign w:val="center"/>
            <w:hideMark/>
          </w:tcPr>
          <w:p w:rsidR="00C54A69" w:rsidRPr="006D71C7" w:rsidRDefault="00C54A69" w:rsidP="00C74054">
            <w:pPr>
              <w:spacing w:after="0" w:line="240" w:lineRule="auto"/>
              <w:jc w:val="center"/>
              <w:rPr>
                <w:b/>
                <w:bCs/>
                <w:sz w:val="20"/>
                <w:szCs w:val="20"/>
              </w:rPr>
            </w:pPr>
            <w:r w:rsidRPr="006D71C7">
              <w:rPr>
                <w:b/>
                <w:bCs/>
                <w:sz w:val="20"/>
                <w:szCs w:val="20"/>
              </w:rPr>
              <w:t>w 2011 roku</w:t>
            </w:r>
          </w:p>
        </w:tc>
      </w:tr>
      <w:tr w:rsidR="00C54A69" w:rsidRPr="006D71C7" w:rsidTr="00597346">
        <w:trPr>
          <w:trHeight w:val="794"/>
          <w:jc w:val="center"/>
        </w:trPr>
        <w:tc>
          <w:tcPr>
            <w:tcW w:w="1866" w:type="dxa"/>
            <w:vMerge/>
            <w:tcBorders>
              <w:top w:val="single" w:sz="8" w:space="0" w:color="FFFFFF"/>
              <w:left w:val="single" w:sz="8" w:space="0" w:color="FFFFFF"/>
              <w:bottom w:val="single" w:sz="8" w:space="0" w:color="FFFFFF"/>
              <w:right w:val="single" w:sz="8" w:space="0" w:color="FFFFFF"/>
            </w:tcBorders>
            <w:vAlign w:val="center"/>
            <w:hideMark/>
          </w:tcPr>
          <w:p w:rsidR="00C54A69" w:rsidRPr="006D71C7" w:rsidRDefault="00C54A69" w:rsidP="00C74054">
            <w:pPr>
              <w:spacing w:after="0" w:line="240" w:lineRule="auto"/>
              <w:jc w:val="center"/>
              <w:rPr>
                <w:rFonts w:ascii="Calibri" w:hAnsi="Calibri"/>
                <w:sz w:val="20"/>
                <w:szCs w:val="20"/>
              </w:rPr>
            </w:pPr>
          </w:p>
        </w:tc>
        <w:tc>
          <w:tcPr>
            <w:tcW w:w="1701" w:type="dxa"/>
            <w:tcBorders>
              <w:top w:val="nil"/>
              <w:left w:val="nil"/>
              <w:bottom w:val="single" w:sz="8" w:space="0" w:color="FFFFFF"/>
              <w:right w:val="single" w:sz="8" w:space="0" w:color="FFFFFF"/>
            </w:tcBorders>
            <w:shd w:val="clear" w:color="000000" w:fill="F4B29B"/>
            <w:vAlign w:val="center"/>
            <w:hideMark/>
          </w:tcPr>
          <w:p w:rsidR="00C54A69" w:rsidRPr="006D71C7" w:rsidRDefault="00C54A69" w:rsidP="00C74054">
            <w:pPr>
              <w:spacing w:after="0" w:line="240" w:lineRule="auto"/>
              <w:jc w:val="center"/>
              <w:rPr>
                <w:b/>
                <w:bCs/>
                <w:sz w:val="20"/>
                <w:szCs w:val="20"/>
              </w:rPr>
            </w:pPr>
            <w:r w:rsidRPr="006D71C7">
              <w:rPr>
                <w:b/>
                <w:bCs/>
                <w:sz w:val="20"/>
                <w:szCs w:val="20"/>
              </w:rPr>
              <w:t>Wartość (mln EUR)</w:t>
            </w:r>
          </w:p>
        </w:tc>
        <w:tc>
          <w:tcPr>
            <w:tcW w:w="962" w:type="dxa"/>
            <w:tcBorders>
              <w:top w:val="nil"/>
              <w:left w:val="nil"/>
              <w:bottom w:val="single" w:sz="8" w:space="0" w:color="FFFFFF"/>
              <w:right w:val="single" w:sz="8" w:space="0" w:color="FFFFFF"/>
            </w:tcBorders>
            <w:shd w:val="clear" w:color="000000" w:fill="F4B29B"/>
            <w:vAlign w:val="center"/>
            <w:hideMark/>
          </w:tcPr>
          <w:p w:rsidR="00C54A69" w:rsidRPr="006D71C7" w:rsidRDefault="00C54A69" w:rsidP="00C74054">
            <w:pPr>
              <w:spacing w:after="0" w:line="240" w:lineRule="auto"/>
              <w:jc w:val="center"/>
              <w:rPr>
                <w:b/>
                <w:bCs/>
                <w:sz w:val="20"/>
                <w:szCs w:val="20"/>
              </w:rPr>
            </w:pPr>
            <w:r w:rsidRPr="006D71C7">
              <w:rPr>
                <w:b/>
                <w:bCs/>
                <w:sz w:val="20"/>
                <w:szCs w:val="20"/>
              </w:rPr>
              <w:t>Liczba</w:t>
            </w:r>
          </w:p>
        </w:tc>
        <w:tc>
          <w:tcPr>
            <w:tcW w:w="1306" w:type="dxa"/>
            <w:tcBorders>
              <w:top w:val="nil"/>
              <w:left w:val="nil"/>
              <w:bottom w:val="single" w:sz="8" w:space="0" w:color="FFFFFF"/>
              <w:right w:val="single" w:sz="8" w:space="0" w:color="FFFFFF"/>
            </w:tcBorders>
            <w:shd w:val="clear" w:color="000000" w:fill="F4B29B"/>
            <w:vAlign w:val="center"/>
            <w:hideMark/>
          </w:tcPr>
          <w:p w:rsidR="00C54A69" w:rsidRPr="006D71C7" w:rsidRDefault="00C54A69" w:rsidP="00C74054">
            <w:pPr>
              <w:spacing w:after="0" w:line="240" w:lineRule="auto"/>
              <w:jc w:val="center"/>
              <w:rPr>
                <w:b/>
                <w:bCs/>
                <w:sz w:val="20"/>
                <w:szCs w:val="20"/>
              </w:rPr>
            </w:pPr>
            <w:r w:rsidRPr="006D71C7">
              <w:rPr>
                <w:b/>
                <w:bCs/>
                <w:sz w:val="20"/>
                <w:szCs w:val="20"/>
              </w:rPr>
              <w:t>Wartość (mln EUR)</w:t>
            </w:r>
          </w:p>
        </w:tc>
        <w:tc>
          <w:tcPr>
            <w:tcW w:w="1296" w:type="dxa"/>
            <w:tcBorders>
              <w:top w:val="nil"/>
              <w:left w:val="nil"/>
              <w:bottom w:val="single" w:sz="8" w:space="0" w:color="FFFFFF"/>
              <w:right w:val="single" w:sz="8" w:space="0" w:color="FFFFFF"/>
            </w:tcBorders>
            <w:shd w:val="clear" w:color="000000" w:fill="F4B29B"/>
            <w:vAlign w:val="center"/>
            <w:hideMark/>
          </w:tcPr>
          <w:p w:rsidR="00C54A69" w:rsidRPr="006D71C7" w:rsidRDefault="00C54A69" w:rsidP="00C74054">
            <w:pPr>
              <w:spacing w:after="0" w:line="240" w:lineRule="auto"/>
              <w:jc w:val="center"/>
              <w:rPr>
                <w:b/>
                <w:bCs/>
                <w:sz w:val="20"/>
                <w:szCs w:val="20"/>
              </w:rPr>
            </w:pPr>
            <w:r w:rsidRPr="006D71C7">
              <w:rPr>
                <w:b/>
                <w:bCs/>
                <w:sz w:val="20"/>
                <w:szCs w:val="20"/>
              </w:rPr>
              <w:t>Liczba</w:t>
            </w:r>
          </w:p>
        </w:tc>
      </w:tr>
      <w:tr w:rsidR="00C54A69" w:rsidRPr="006D71C7" w:rsidTr="00597346">
        <w:trPr>
          <w:trHeight w:val="515"/>
          <w:jc w:val="center"/>
        </w:trPr>
        <w:tc>
          <w:tcPr>
            <w:tcW w:w="1866" w:type="dxa"/>
            <w:tcBorders>
              <w:top w:val="nil"/>
              <w:left w:val="single" w:sz="8" w:space="0" w:color="FFFFFF"/>
              <w:bottom w:val="nil"/>
              <w:right w:val="single" w:sz="12" w:space="0" w:color="FFFFFF"/>
            </w:tcBorders>
            <w:shd w:val="clear" w:color="000000" w:fill="F4B29B"/>
            <w:noWrap/>
            <w:vAlign w:val="center"/>
            <w:hideMark/>
          </w:tcPr>
          <w:p w:rsidR="00C54A69" w:rsidRPr="006D71C7" w:rsidRDefault="00C54A69" w:rsidP="00C74054">
            <w:pPr>
              <w:spacing w:after="0" w:line="240" w:lineRule="auto"/>
              <w:jc w:val="center"/>
              <w:rPr>
                <w:b/>
                <w:bCs/>
                <w:sz w:val="20"/>
                <w:szCs w:val="20"/>
              </w:rPr>
            </w:pPr>
            <w:r w:rsidRPr="006D71C7">
              <w:rPr>
                <w:b/>
                <w:bCs/>
                <w:sz w:val="20"/>
                <w:szCs w:val="20"/>
              </w:rPr>
              <w:t>IZ RPO WSL</w:t>
            </w:r>
          </w:p>
        </w:tc>
        <w:tc>
          <w:tcPr>
            <w:tcW w:w="1701" w:type="dxa"/>
            <w:tcBorders>
              <w:top w:val="nil"/>
              <w:left w:val="nil"/>
              <w:bottom w:val="single" w:sz="8" w:space="0" w:color="FFFFFF"/>
              <w:right w:val="single" w:sz="8" w:space="0" w:color="FFFFFF"/>
            </w:tcBorders>
            <w:shd w:val="clear" w:color="000000" w:fill="F9D8CD"/>
            <w:noWrap/>
            <w:vAlign w:val="center"/>
            <w:hideMark/>
          </w:tcPr>
          <w:p w:rsidR="00C54A69" w:rsidRPr="006D71C7" w:rsidRDefault="00C54A69" w:rsidP="00C74054">
            <w:pPr>
              <w:spacing w:after="0" w:line="240" w:lineRule="auto"/>
              <w:jc w:val="center"/>
              <w:rPr>
                <w:sz w:val="20"/>
                <w:szCs w:val="20"/>
              </w:rPr>
            </w:pPr>
            <w:r w:rsidRPr="006D71C7">
              <w:rPr>
                <w:sz w:val="20"/>
                <w:szCs w:val="20"/>
              </w:rPr>
              <w:t>124,34</w:t>
            </w:r>
          </w:p>
        </w:tc>
        <w:tc>
          <w:tcPr>
            <w:tcW w:w="962" w:type="dxa"/>
            <w:tcBorders>
              <w:top w:val="nil"/>
              <w:left w:val="nil"/>
              <w:bottom w:val="single" w:sz="8" w:space="0" w:color="FFFFFF"/>
              <w:right w:val="single" w:sz="8" w:space="0" w:color="FFFFFF"/>
            </w:tcBorders>
            <w:shd w:val="clear" w:color="000000" w:fill="F9D8CD"/>
            <w:noWrap/>
            <w:vAlign w:val="center"/>
            <w:hideMark/>
          </w:tcPr>
          <w:p w:rsidR="00C54A69" w:rsidRPr="006D71C7" w:rsidRDefault="00C54A69" w:rsidP="00C74054">
            <w:pPr>
              <w:spacing w:after="0" w:line="240" w:lineRule="auto"/>
              <w:jc w:val="center"/>
              <w:rPr>
                <w:sz w:val="22"/>
              </w:rPr>
            </w:pPr>
            <w:r w:rsidRPr="006D71C7">
              <w:rPr>
                <w:sz w:val="22"/>
              </w:rPr>
              <w:t>9</w:t>
            </w:r>
          </w:p>
        </w:tc>
        <w:tc>
          <w:tcPr>
            <w:tcW w:w="1306" w:type="dxa"/>
            <w:tcBorders>
              <w:top w:val="nil"/>
              <w:left w:val="nil"/>
              <w:bottom w:val="single" w:sz="8" w:space="0" w:color="FFFFFF"/>
              <w:right w:val="single" w:sz="8" w:space="0" w:color="FFFFFF"/>
            </w:tcBorders>
            <w:shd w:val="clear" w:color="000000" w:fill="F9D8CD"/>
            <w:noWrap/>
            <w:vAlign w:val="center"/>
            <w:hideMark/>
          </w:tcPr>
          <w:p w:rsidR="00C54A69" w:rsidRPr="006D71C7" w:rsidRDefault="00597346" w:rsidP="00C74054">
            <w:pPr>
              <w:spacing w:after="0" w:line="240" w:lineRule="auto"/>
              <w:jc w:val="center"/>
              <w:rPr>
                <w:sz w:val="20"/>
                <w:szCs w:val="20"/>
              </w:rPr>
            </w:pPr>
            <w:r w:rsidRPr="006D71C7">
              <w:rPr>
                <w:sz w:val="20"/>
                <w:szCs w:val="20"/>
              </w:rPr>
              <w:t>11,06</w:t>
            </w:r>
          </w:p>
        </w:tc>
        <w:tc>
          <w:tcPr>
            <w:tcW w:w="1296" w:type="dxa"/>
            <w:tcBorders>
              <w:top w:val="nil"/>
              <w:left w:val="nil"/>
              <w:bottom w:val="single" w:sz="8" w:space="0" w:color="FFFFFF"/>
              <w:right w:val="single" w:sz="8" w:space="0" w:color="FFFFFF"/>
            </w:tcBorders>
            <w:shd w:val="clear" w:color="000000" w:fill="F9D8CD"/>
            <w:noWrap/>
            <w:vAlign w:val="center"/>
            <w:hideMark/>
          </w:tcPr>
          <w:p w:rsidR="00C54A69" w:rsidRPr="006D71C7" w:rsidRDefault="00C54A69" w:rsidP="00C74054">
            <w:pPr>
              <w:spacing w:after="0" w:line="240" w:lineRule="auto"/>
              <w:jc w:val="center"/>
              <w:rPr>
                <w:sz w:val="20"/>
                <w:szCs w:val="20"/>
              </w:rPr>
            </w:pPr>
            <w:r w:rsidRPr="006D71C7">
              <w:rPr>
                <w:sz w:val="20"/>
                <w:szCs w:val="20"/>
              </w:rPr>
              <w:t>1</w:t>
            </w:r>
          </w:p>
        </w:tc>
      </w:tr>
    </w:tbl>
    <w:p w:rsidR="00FF6DFF" w:rsidRPr="006D71C7" w:rsidRDefault="00FF6DFF" w:rsidP="006D71C7">
      <w:pPr>
        <w:spacing w:before="240"/>
        <w:jc w:val="both"/>
        <w:rPr>
          <w:b/>
          <w:i/>
          <w:szCs w:val="24"/>
        </w:rPr>
      </w:pPr>
      <w:r w:rsidRPr="006D71C7">
        <w:rPr>
          <w:b/>
          <w:i/>
          <w:szCs w:val="24"/>
        </w:rPr>
        <w:t>Rozkład projektów</w:t>
      </w:r>
      <w:r w:rsidR="00BF4964" w:rsidRPr="006D71C7">
        <w:rPr>
          <w:b/>
          <w:i/>
          <w:szCs w:val="24"/>
        </w:rPr>
        <w:t xml:space="preserve"> realizowanych w ramach p</w:t>
      </w:r>
      <w:r w:rsidRPr="006D71C7">
        <w:rPr>
          <w:b/>
          <w:i/>
          <w:szCs w:val="24"/>
        </w:rPr>
        <w:t>riorytetu V</w:t>
      </w:r>
      <w:r w:rsidR="00534922" w:rsidRPr="006D71C7">
        <w:rPr>
          <w:b/>
          <w:i/>
          <w:szCs w:val="24"/>
        </w:rPr>
        <w:t xml:space="preserve"> </w:t>
      </w:r>
    </w:p>
    <w:p w:rsidR="00534922" w:rsidRPr="006D71C7" w:rsidRDefault="004A15F2" w:rsidP="006D71C7">
      <w:pPr>
        <w:spacing w:before="240"/>
        <w:jc w:val="both"/>
        <w:rPr>
          <w:szCs w:val="24"/>
        </w:rPr>
      </w:pPr>
      <w:r w:rsidRPr="006D71C7">
        <w:rPr>
          <w:szCs w:val="24"/>
        </w:rPr>
        <w:t>Najbardziej aktywnym</w:t>
      </w:r>
      <w:r w:rsidR="00534922" w:rsidRPr="006D71C7">
        <w:rPr>
          <w:szCs w:val="24"/>
        </w:rPr>
        <w:t>i</w:t>
      </w:r>
      <w:r w:rsidRPr="006D71C7">
        <w:rPr>
          <w:szCs w:val="24"/>
        </w:rPr>
        <w:t xml:space="preserve"> beneficj</w:t>
      </w:r>
      <w:r w:rsidR="00DB4620" w:rsidRPr="006D71C7">
        <w:rPr>
          <w:szCs w:val="24"/>
        </w:rPr>
        <w:t>entami w ramach przedmiotowego p</w:t>
      </w:r>
      <w:r w:rsidRPr="006D71C7">
        <w:rPr>
          <w:szCs w:val="24"/>
        </w:rPr>
        <w:t>riorytetu są JST, a</w:t>
      </w:r>
      <w:r w:rsidR="00534922" w:rsidRPr="006D71C7">
        <w:rPr>
          <w:szCs w:val="24"/>
        </w:rPr>
        <w:t> w</w:t>
      </w:r>
      <w:r w:rsidRPr="006D71C7">
        <w:rPr>
          <w:szCs w:val="24"/>
        </w:rPr>
        <w:t xml:space="preserve"> szczególności gminy, </w:t>
      </w:r>
      <w:r w:rsidR="00354526" w:rsidRPr="006D71C7">
        <w:rPr>
          <w:szCs w:val="24"/>
        </w:rPr>
        <w:t>stanowią</w:t>
      </w:r>
      <w:r w:rsidR="00BE0BFE" w:rsidRPr="006D71C7">
        <w:rPr>
          <w:szCs w:val="24"/>
        </w:rPr>
        <w:t xml:space="preserve">ce </w:t>
      </w:r>
      <w:r w:rsidR="009C07AD" w:rsidRPr="006D71C7">
        <w:rPr>
          <w:szCs w:val="24"/>
        </w:rPr>
        <w:t>92%</w:t>
      </w:r>
      <w:r w:rsidR="00BE0BFE" w:rsidRPr="006D71C7">
        <w:rPr>
          <w:szCs w:val="24"/>
        </w:rPr>
        <w:t xml:space="preserve"> aplikujących o </w:t>
      </w:r>
      <w:r w:rsidR="00D97AE2" w:rsidRPr="006D71C7">
        <w:rPr>
          <w:szCs w:val="24"/>
        </w:rPr>
        <w:t>środki</w:t>
      </w:r>
      <w:r w:rsidR="00354526" w:rsidRPr="006D71C7">
        <w:rPr>
          <w:szCs w:val="24"/>
        </w:rPr>
        <w:t>.</w:t>
      </w:r>
    </w:p>
    <w:p w:rsidR="00C43B75" w:rsidRDefault="00257DAC" w:rsidP="00C43B75">
      <w:pPr>
        <w:spacing w:before="240"/>
        <w:jc w:val="center"/>
        <w:rPr>
          <w:szCs w:val="24"/>
        </w:rPr>
      </w:pPr>
      <w:r w:rsidRPr="006D71C7">
        <w:rPr>
          <w:noProof/>
          <w:szCs w:val="24"/>
        </w:rPr>
        <w:drawing>
          <wp:inline distT="0" distB="0" distL="0" distR="0">
            <wp:extent cx="4902555" cy="3606652"/>
            <wp:effectExtent l="38100" t="19050" r="12345" b="0"/>
            <wp:docPr id="234"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43B75" w:rsidRDefault="00C43B75" w:rsidP="00C43B75">
      <w:pPr>
        <w:pStyle w:val="Legenda"/>
        <w:rPr>
          <w:color w:val="auto"/>
          <w:sz w:val="20"/>
          <w:szCs w:val="20"/>
        </w:rPr>
      </w:pPr>
      <w:bookmarkStart w:id="479" w:name="_Toc324786945"/>
      <w:bookmarkStart w:id="480" w:name="_Toc324854711"/>
      <w:bookmarkStart w:id="481" w:name="_Toc324854775"/>
      <w:bookmarkStart w:id="482" w:name="_Toc326055359"/>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41</w:t>
      </w:r>
      <w:r w:rsidR="008F7228" w:rsidRPr="00C43B75">
        <w:rPr>
          <w:color w:val="auto"/>
          <w:sz w:val="20"/>
          <w:szCs w:val="20"/>
        </w:rPr>
        <w:fldChar w:fldCharType="end"/>
      </w:r>
      <w:r w:rsidR="003313FD">
        <w:t xml:space="preserve"> </w:t>
      </w:r>
      <w:r w:rsidR="007338BD" w:rsidRPr="006D71C7">
        <w:rPr>
          <w:b w:val="0"/>
          <w:i/>
          <w:color w:val="auto"/>
          <w:sz w:val="20"/>
          <w:szCs w:val="20"/>
        </w:rPr>
        <w:t>Rozkład projektów w podziale na beneficjentów</w:t>
      </w:r>
      <w:bookmarkEnd w:id="479"/>
      <w:bookmarkEnd w:id="480"/>
      <w:bookmarkEnd w:id="481"/>
      <w:bookmarkEnd w:id="482"/>
      <w:r w:rsidR="003313FD">
        <w:rPr>
          <w:b w:val="0"/>
          <w:i/>
          <w:color w:val="auto"/>
          <w:sz w:val="20"/>
          <w:szCs w:val="20"/>
        </w:rPr>
        <w:t xml:space="preserve"> </w:t>
      </w:r>
    </w:p>
    <w:p w:rsidR="007B0ABE" w:rsidRPr="006D71C7" w:rsidRDefault="000E42EC" w:rsidP="006D71C7">
      <w:pPr>
        <w:pStyle w:val="Legenda"/>
        <w:spacing w:line="276" w:lineRule="auto"/>
        <w:jc w:val="both"/>
        <w:rPr>
          <w:b w:val="0"/>
          <w:color w:val="auto"/>
          <w:sz w:val="24"/>
          <w:szCs w:val="24"/>
        </w:rPr>
      </w:pPr>
      <w:r w:rsidRPr="006D71C7">
        <w:rPr>
          <w:b w:val="0"/>
          <w:color w:val="auto"/>
          <w:sz w:val="24"/>
          <w:szCs w:val="24"/>
        </w:rPr>
        <w:t>W ramach p</w:t>
      </w:r>
      <w:r w:rsidR="001B08FD" w:rsidRPr="006D71C7">
        <w:rPr>
          <w:b w:val="0"/>
          <w:color w:val="auto"/>
          <w:sz w:val="24"/>
          <w:szCs w:val="24"/>
        </w:rPr>
        <w:t>riorytetu</w:t>
      </w:r>
      <w:r w:rsidR="001B08FD" w:rsidRPr="006D71C7">
        <w:rPr>
          <w:color w:val="auto"/>
          <w:sz w:val="24"/>
          <w:szCs w:val="24"/>
        </w:rPr>
        <w:t xml:space="preserve"> </w:t>
      </w:r>
      <w:r w:rsidR="001B08FD" w:rsidRPr="006D71C7">
        <w:rPr>
          <w:b w:val="0"/>
          <w:color w:val="auto"/>
          <w:sz w:val="24"/>
          <w:szCs w:val="24"/>
        </w:rPr>
        <w:t>najwięcej projektów pod względem liczbowym zre</w:t>
      </w:r>
      <w:r w:rsidR="00C54DBC" w:rsidRPr="006D71C7">
        <w:rPr>
          <w:b w:val="0"/>
          <w:color w:val="auto"/>
          <w:sz w:val="24"/>
          <w:szCs w:val="24"/>
        </w:rPr>
        <w:t>alizowano na </w:t>
      </w:r>
      <w:r w:rsidR="001B08FD" w:rsidRPr="006D71C7">
        <w:rPr>
          <w:b w:val="0"/>
          <w:color w:val="auto"/>
          <w:sz w:val="24"/>
          <w:szCs w:val="24"/>
        </w:rPr>
        <w:t>obszarze miejskich</w:t>
      </w:r>
      <w:r w:rsidR="007B0ABE" w:rsidRPr="006D71C7">
        <w:rPr>
          <w:b w:val="0"/>
          <w:color w:val="auto"/>
          <w:sz w:val="24"/>
          <w:szCs w:val="24"/>
        </w:rPr>
        <w:t>,</w:t>
      </w:r>
      <w:r w:rsidR="001B08FD" w:rsidRPr="006D71C7">
        <w:rPr>
          <w:b w:val="0"/>
          <w:color w:val="auto"/>
          <w:sz w:val="24"/>
          <w:szCs w:val="24"/>
        </w:rPr>
        <w:t xml:space="preserve"> a pod względem wartościowym na obszarze wiejskim.</w:t>
      </w:r>
      <w:r w:rsidR="00C54DBC" w:rsidRPr="006D71C7">
        <w:rPr>
          <w:b w:val="0"/>
          <w:color w:val="auto"/>
          <w:sz w:val="24"/>
          <w:szCs w:val="24"/>
        </w:rPr>
        <w:t xml:space="preserve"> </w:t>
      </w:r>
    </w:p>
    <w:p w:rsidR="007B0ABE" w:rsidRPr="006D71C7" w:rsidRDefault="007B0ABE" w:rsidP="006D71C7">
      <w:pPr>
        <w:pStyle w:val="Legenda"/>
        <w:spacing w:line="276" w:lineRule="auto"/>
        <w:jc w:val="both"/>
        <w:rPr>
          <w:b w:val="0"/>
          <w:color w:val="auto"/>
          <w:sz w:val="24"/>
          <w:szCs w:val="24"/>
        </w:rPr>
      </w:pPr>
      <w:r w:rsidRPr="006D71C7">
        <w:rPr>
          <w:b w:val="0"/>
          <w:color w:val="auto"/>
          <w:sz w:val="24"/>
          <w:szCs w:val="24"/>
        </w:rPr>
        <w:t>Na obszarach</w:t>
      </w:r>
      <w:r w:rsidR="00C54DBC" w:rsidRPr="006D71C7">
        <w:rPr>
          <w:b w:val="0"/>
          <w:color w:val="auto"/>
          <w:sz w:val="24"/>
          <w:szCs w:val="24"/>
        </w:rPr>
        <w:t xml:space="preserve"> wie</w:t>
      </w:r>
      <w:r w:rsidRPr="006D71C7">
        <w:rPr>
          <w:b w:val="0"/>
          <w:color w:val="auto"/>
          <w:sz w:val="24"/>
          <w:szCs w:val="24"/>
        </w:rPr>
        <w:t>jskich</w:t>
      </w:r>
      <w:r w:rsidR="00537F16" w:rsidRPr="006D71C7">
        <w:rPr>
          <w:b w:val="0"/>
          <w:color w:val="auto"/>
          <w:sz w:val="24"/>
          <w:szCs w:val="24"/>
        </w:rPr>
        <w:t xml:space="preserve"> 40</w:t>
      </w:r>
      <w:r w:rsidR="00C54DBC" w:rsidRPr="006D71C7">
        <w:rPr>
          <w:b w:val="0"/>
          <w:color w:val="auto"/>
          <w:sz w:val="24"/>
          <w:szCs w:val="24"/>
        </w:rPr>
        <w:t>% projektów dotyczyło infrastruktury wodno –</w:t>
      </w:r>
      <w:r w:rsidR="00534922" w:rsidRPr="006D71C7">
        <w:rPr>
          <w:b w:val="0"/>
          <w:color w:val="auto"/>
          <w:sz w:val="24"/>
          <w:szCs w:val="24"/>
        </w:rPr>
        <w:t xml:space="preserve"> </w:t>
      </w:r>
      <w:r w:rsidR="00C54DBC" w:rsidRPr="006D71C7">
        <w:rPr>
          <w:b w:val="0"/>
          <w:color w:val="auto"/>
          <w:sz w:val="24"/>
          <w:szCs w:val="24"/>
        </w:rPr>
        <w:t>ściekowej, która przyczyni</w:t>
      </w:r>
      <w:r w:rsidR="009C07AD" w:rsidRPr="006D71C7">
        <w:rPr>
          <w:b w:val="0"/>
          <w:color w:val="auto"/>
          <w:sz w:val="24"/>
          <w:szCs w:val="24"/>
        </w:rPr>
        <w:t>a</w:t>
      </w:r>
      <w:r w:rsidR="00C54DBC" w:rsidRPr="006D71C7">
        <w:rPr>
          <w:b w:val="0"/>
          <w:color w:val="auto"/>
          <w:sz w:val="24"/>
          <w:szCs w:val="24"/>
        </w:rPr>
        <w:t xml:space="preserve"> się do</w:t>
      </w:r>
      <w:r w:rsidRPr="006D71C7">
        <w:rPr>
          <w:b w:val="0"/>
          <w:color w:val="auto"/>
          <w:sz w:val="24"/>
          <w:szCs w:val="24"/>
        </w:rPr>
        <w:t> </w:t>
      </w:r>
      <w:r w:rsidR="00C54DBC" w:rsidRPr="006D71C7">
        <w:rPr>
          <w:b w:val="0"/>
          <w:color w:val="auto"/>
          <w:sz w:val="24"/>
          <w:szCs w:val="24"/>
        </w:rPr>
        <w:t>wzrostu gospodarczego regionu przy równoczesnym zachowaniu i</w:t>
      </w:r>
      <w:r w:rsidR="00573CC8" w:rsidRPr="006D71C7">
        <w:rPr>
          <w:b w:val="0"/>
          <w:color w:val="auto"/>
          <w:sz w:val="24"/>
          <w:szCs w:val="24"/>
        </w:rPr>
        <w:t> </w:t>
      </w:r>
      <w:r w:rsidR="00C54DBC" w:rsidRPr="006D71C7">
        <w:rPr>
          <w:b w:val="0"/>
          <w:color w:val="auto"/>
          <w:sz w:val="24"/>
          <w:szCs w:val="24"/>
        </w:rPr>
        <w:t>poprawie stanu środowiska.</w:t>
      </w:r>
      <w:r w:rsidR="009906A9" w:rsidRPr="006D71C7">
        <w:rPr>
          <w:b w:val="0"/>
          <w:color w:val="auto"/>
          <w:sz w:val="24"/>
          <w:szCs w:val="24"/>
        </w:rPr>
        <w:t xml:space="preserve"> Dla porównania na obszarach miejskich tylko 6% projektów dotyczy infrastruktury wodno – ściekowej.</w:t>
      </w:r>
      <w:r w:rsidRPr="006D71C7">
        <w:rPr>
          <w:b w:val="0"/>
          <w:color w:val="auto"/>
          <w:sz w:val="24"/>
          <w:szCs w:val="24"/>
        </w:rPr>
        <w:t xml:space="preserve"> </w:t>
      </w:r>
      <w:r w:rsidR="00537F16" w:rsidRPr="006D71C7">
        <w:rPr>
          <w:b w:val="0"/>
          <w:color w:val="auto"/>
          <w:sz w:val="24"/>
          <w:szCs w:val="24"/>
        </w:rPr>
        <w:t xml:space="preserve">Ponadto na obszarach wiejskich beneficjenci </w:t>
      </w:r>
      <w:r w:rsidR="00573CC8" w:rsidRPr="006D71C7">
        <w:rPr>
          <w:b w:val="0"/>
          <w:color w:val="auto"/>
          <w:sz w:val="24"/>
          <w:szCs w:val="24"/>
        </w:rPr>
        <w:t> </w:t>
      </w:r>
      <w:r w:rsidR="00537F16" w:rsidRPr="006D71C7">
        <w:rPr>
          <w:b w:val="0"/>
          <w:color w:val="auto"/>
          <w:sz w:val="24"/>
          <w:szCs w:val="24"/>
        </w:rPr>
        <w:t>realizowali także projekty dot. termomodernizacji (40%).</w:t>
      </w:r>
    </w:p>
    <w:p w:rsidR="007B0ABE" w:rsidRPr="006D71C7" w:rsidRDefault="007B0ABE" w:rsidP="006D71C7">
      <w:pPr>
        <w:jc w:val="both"/>
        <w:rPr>
          <w:sz w:val="20"/>
          <w:szCs w:val="20"/>
        </w:rPr>
      </w:pPr>
      <w:r w:rsidRPr="006D71C7">
        <w:t xml:space="preserve">Proporcjonalnie </w:t>
      </w:r>
      <w:r w:rsidR="00D60DDA" w:rsidRPr="006D71C7">
        <w:t xml:space="preserve">w obszarach </w:t>
      </w:r>
      <w:r w:rsidRPr="006D71C7">
        <w:t xml:space="preserve">rozłożyła się liczba projektów w zakresie poprawy jakości powietrza. </w:t>
      </w:r>
    </w:p>
    <w:p w:rsidR="00765E72" w:rsidRDefault="00765E72">
      <w:pPr>
        <w:spacing w:after="0" w:line="240" w:lineRule="auto"/>
        <w:rPr>
          <w:b/>
          <w:bCs/>
          <w:sz w:val="20"/>
          <w:szCs w:val="20"/>
        </w:rPr>
      </w:pPr>
      <w:bookmarkStart w:id="483" w:name="_Toc324853731"/>
      <w:bookmarkStart w:id="484" w:name="_Toc326046379"/>
      <w:r>
        <w:rPr>
          <w:sz w:val="20"/>
          <w:szCs w:val="20"/>
        </w:rPr>
        <w:br w:type="page"/>
      </w:r>
    </w:p>
    <w:p w:rsidR="00245F70" w:rsidRPr="006D71C7" w:rsidRDefault="007338BD" w:rsidP="006D71C7">
      <w:pPr>
        <w:pStyle w:val="Legenda"/>
        <w:jc w:val="both"/>
        <w:rPr>
          <w:color w:val="auto"/>
          <w:sz w:val="20"/>
          <w:szCs w:val="20"/>
        </w:rPr>
      </w:pPr>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27</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Rozkład projektów w podziale na obszary</w:t>
      </w:r>
      <w:r w:rsidR="00573CC8" w:rsidRPr="006D71C7">
        <w:rPr>
          <w:b w:val="0"/>
          <w:i/>
          <w:color w:val="auto"/>
          <w:sz w:val="20"/>
          <w:szCs w:val="20"/>
        </w:rPr>
        <w:t xml:space="preserve"> (wartość w mln EUR i liczba)</w:t>
      </w:r>
      <w:bookmarkEnd w:id="483"/>
      <w:bookmarkEnd w:id="484"/>
    </w:p>
    <w:tbl>
      <w:tblPr>
        <w:tblW w:w="6928" w:type="dxa"/>
        <w:jc w:val="center"/>
        <w:tblInd w:w="-654" w:type="dxa"/>
        <w:tblCellMar>
          <w:left w:w="70" w:type="dxa"/>
          <w:right w:w="70" w:type="dxa"/>
        </w:tblCellMar>
        <w:tblLook w:val="04A0" w:firstRow="1" w:lastRow="0" w:firstColumn="1" w:lastColumn="0" w:noHBand="0" w:noVBand="1"/>
      </w:tblPr>
      <w:tblGrid>
        <w:gridCol w:w="1435"/>
        <w:gridCol w:w="1519"/>
        <w:gridCol w:w="1933"/>
        <w:gridCol w:w="2041"/>
      </w:tblGrid>
      <w:tr w:rsidR="000E42EC" w:rsidRPr="006D71C7" w:rsidTr="000E42EC">
        <w:trPr>
          <w:trHeight w:val="780"/>
          <w:jc w:val="center"/>
        </w:trPr>
        <w:tc>
          <w:tcPr>
            <w:tcW w:w="1435" w:type="dxa"/>
            <w:tcBorders>
              <w:top w:val="single" w:sz="8" w:space="0" w:color="D34817"/>
              <w:left w:val="single" w:sz="8" w:space="0" w:color="D34817"/>
              <w:bottom w:val="single" w:sz="8" w:space="0" w:color="D34817"/>
              <w:right w:val="single" w:sz="8" w:space="0" w:color="D34817"/>
            </w:tcBorders>
            <w:shd w:val="clear" w:color="000000" w:fill="F4B29B"/>
            <w:vAlign w:val="center"/>
            <w:hideMark/>
          </w:tcPr>
          <w:p w:rsidR="00DB4620" w:rsidRPr="006D71C7" w:rsidRDefault="00DB4620" w:rsidP="00C74054">
            <w:pPr>
              <w:spacing w:after="0" w:line="240" w:lineRule="auto"/>
              <w:jc w:val="center"/>
              <w:rPr>
                <w:b/>
                <w:bCs/>
                <w:sz w:val="20"/>
                <w:szCs w:val="20"/>
              </w:rPr>
            </w:pPr>
            <w:r w:rsidRPr="006D71C7">
              <w:rPr>
                <w:b/>
                <w:bCs/>
                <w:sz w:val="20"/>
                <w:szCs w:val="20"/>
              </w:rPr>
              <w:t>OBSZAR</w:t>
            </w:r>
          </w:p>
        </w:tc>
        <w:tc>
          <w:tcPr>
            <w:tcW w:w="1519" w:type="dxa"/>
            <w:tcBorders>
              <w:top w:val="single" w:sz="8" w:space="0" w:color="D34817"/>
              <w:left w:val="nil"/>
              <w:bottom w:val="single" w:sz="8" w:space="0" w:color="D34817"/>
              <w:right w:val="single" w:sz="8" w:space="0" w:color="D34817"/>
            </w:tcBorders>
            <w:shd w:val="clear" w:color="000000" w:fill="F4B29B"/>
            <w:vAlign w:val="center"/>
            <w:hideMark/>
          </w:tcPr>
          <w:p w:rsidR="00DB4620" w:rsidRPr="006D71C7" w:rsidRDefault="00DB4620" w:rsidP="00C74054">
            <w:pPr>
              <w:spacing w:after="0" w:line="240" w:lineRule="auto"/>
              <w:jc w:val="center"/>
              <w:rPr>
                <w:b/>
                <w:bCs/>
                <w:sz w:val="20"/>
                <w:szCs w:val="20"/>
              </w:rPr>
            </w:pPr>
            <w:r w:rsidRPr="006D71C7">
              <w:rPr>
                <w:b/>
                <w:bCs/>
                <w:sz w:val="20"/>
                <w:szCs w:val="20"/>
              </w:rPr>
              <w:t>LICZBA</w:t>
            </w:r>
          </w:p>
        </w:tc>
        <w:tc>
          <w:tcPr>
            <w:tcW w:w="1933" w:type="dxa"/>
            <w:tcBorders>
              <w:top w:val="single" w:sz="8" w:space="0" w:color="D34817"/>
              <w:left w:val="nil"/>
              <w:bottom w:val="single" w:sz="8" w:space="0" w:color="D34817"/>
              <w:right w:val="single" w:sz="8" w:space="0" w:color="D34817"/>
            </w:tcBorders>
            <w:shd w:val="clear" w:color="000000" w:fill="F4B29B"/>
            <w:vAlign w:val="center"/>
            <w:hideMark/>
          </w:tcPr>
          <w:p w:rsidR="00DB4620" w:rsidRPr="006D71C7" w:rsidRDefault="00DB4620" w:rsidP="00C74054">
            <w:pPr>
              <w:spacing w:after="0" w:line="240" w:lineRule="auto"/>
              <w:jc w:val="center"/>
              <w:rPr>
                <w:b/>
                <w:bCs/>
                <w:sz w:val="20"/>
                <w:szCs w:val="20"/>
              </w:rPr>
            </w:pPr>
            <w:r w:rsidRPr="006D71C7">
              <w:rPr>
                <w:b/>
                <w:bCs/>
                <w:sz w:val="20"/>
                <w:szCs w:val="20"/>
              </w:rPr>
              <w:t>WARTOŚĆ OGÓŁEM</w:t>
            </w:r>
          </w:p>
        </w:tc>
        <w:tc>
          <w:tcPr>
            <w:tcW w:w="2041" w:type="dxa"/>
            <w:tcBorders>
              <w:top w:val="single" w:sz="8" w:space="0" w:color="D34817"/>
              <w:left w:val="nil"/>
              <w:bottom w:val="single" w:sz="8" w:space="0" w:color="D34817"/>
              <w:right w:val="single" w:sz="8" w:space="0" w:color="D34817"/>
            </w:tcBorders>
            <w:shd w:val="clear" w:color="000000" w:fill="F4B29B"/>
            <w:vAlign w:val="center"/>
            <w:hideMark/>
          </w:tcPr>
          <w:p w:rsidR="00DB4620" w:rsidRPr="006D71C7" w:rsidRDefault="00DB4620" w:rsidP="00C74054">
            <w:pPr>
              <w:spacing w:after="0" w:line="240" w:lineRule="auto"/>
              <w:jc w:val="center"/>
              <w:rPr>
                <w:b/>
                <w:bCs/>
                <w:sz w:val="20"/>
                <w:szCs w:val="20"/>
              </w:rPr>
            </w:pPr>
            <w:r w:rsidRPr="006D71C7">
              <w:rPr>
                <w:b/>
                <w:bCs/>
                <w:sz w:val="20"/>
                <w:szCs w:val="20"/>
              </w:rPr>
              <w:t>DOFINANSOWANIE UE</w:t>
            </w:r>
          </w:p>
        </w:tc>
      </w:tr>
      <w:tr w:rsidR="000E42EC" w:rsidRPr="006D71C7" w:rsidTr="000E42EC">
        <w:trPr>
          <w:trHeight w:val="592"/>
          <w:jc w:val="center"/>
        </w:trPr>
        <w:tc>
          <w:tcPr>
            <w:tcW w:w="1435" w:type="dxa"/>
            <w:tcBorders>
              <w:top w:val="nil"/>
              <w:left w:val="single" w:sz="8" w:space="0" w:color="D34817"/>
              <w:bottom w:val="single" w:sz="8" w:space="0" w:color="D34817"/>
              <w:right w:val="single" w:sz="8" w:space="0" w:color="D34817"/>
            </w:tcBorders>
            <w:shd w:val="clear" w:color="000000" w:fill="F4B29B"/>
            <w:vAlign w:val="center"/>
            <w:hideMark/>
          </w:tcPr>
          <w:p w:rsidR="00DB4620" w:rsidRPr="006D71C7" w:rsidRDefault="00DB4620" w:rsidP="00C74054">
            <w:pPr>
              <w:spacing w:after="0" w:line="240" w:lineRule="auto"/>
              <w:jc w:val="center"/>
              <w:rPr>
                <w:b/>
                <w:bCs/>
                <w:sz w:val="20"/>
                <w:szCs w:val="20"/>
              </w:rPr>
            </w:pPr>
            <w:r w:rsidRPr="006D71C7">
              <w:rPr>
                <w:b/>
                <w:bCs/>
                <w:sz w:val="20"/>
                <w:szCs w:val="20"/>
              </w:rPr>
              <w:t>MIEJSKI</w:t>
            </w:r>
          </w:p>
        </w:tc>
        <w:tc>
          <w:tcPr>
            <w:tcW w:w="1519" w:type="dxa"/>
            <w:tcBorders>
              <w:top w:val="nil"/>
              <w:left w:val="nil"/>
              <w:bottom w:val="single" w:sz="8" w:space="0" w:color="D34817"/>
              <w:right w:val="single" w:sz="8" w:space="0" w:color="D34817"/>
            </w:tcBorders>
            <w:shd w:val="clear" w:color="000000" w:fill="F9D8CD"/>
            <w:vAlign w:val="center"/>
            <w:hideMark/>
          </w:tcPr>
          <w:p w:rsidR="00DB4620" w:rsidRPr="006D71C7" w:rsidRDefault="00DB4620" w:rsidP="00C74054">
            <w:pPr>
              <w:spacing w:after="0" w:line="240" w:lineRule="auto"/>
              <w:jc w:val="center"/>
              <w:rPr>
                <w:sz w:val="22"/>
              </w:rPr>
            </w:pPr>
            <w:r w:rsidRPr="006D71C7">
              <w:rPr>
                <w:sz w:val="22"/>
              </w:rPr>
              <w:t>83</w:t>
            </w:r>
          </w:p>
        </w:tc>
        <w:tc>
          <w:tcPr>
            <w:tcW w:w="1933" w:type="dxa"/>
            <w:tcBorders>
              <w:top w:val="nil"/>
              <w:left w:val="nil"/>
              <w:bottom w:val="single" w:sz="8" w:space="0" w:color="D34817"/>
              <w:right w:val="single" w:sz="8" w:space="0" w:color="D34817"/>
            </w:tcBorders>
            <w:shd w:val="clear" w:color="000000" w:fill="F9D8CD"/>
            <w:vAlign w:val="center"/>
            <w:hideMark/>
          </w:tcPr>
          <w:p w:rsidR="00DB4620" w:rsidRPr="006D71C7" w:rsidRDefault="00DB4620" w:rsidP="00C74054">
            <w:pPr>
              <w:spacing w:after="0" w:line="240" w:lineRule="auto"/>
              <w:jc w:val="center"/>
              <w:rPr>
                <w:sz w:val="22"/>
              </w:rPr>
            </w:pPr>
            <w:r w:rsidRPr="006D71C7">
              <w:rPr>
                <w:sz w:val="22"/>
              </w:rPr>
              <w:t>84,59</w:t>
            </w:r>
          </w:p>
        </w:tc>
        <w:tc>
          <w:tcPr>
            <w:tcW w:w="2041" w:type="dxa"/>
            <w:tcBorders>
              <w:top w:val="nil"/>
              <w:left w:val="nil"/>
              <w:bottom w:val="single" w:sz="8" w:space="0" w:color="D34817"/>
              <w:right w:val="single" w:sz="8" w:space="0" w:color="D34817"/>
            </w:tcBorders>
            <w:shd w:val="clear" w:color="000000" w:fill="F9D8CD"/>
            <w:vAlign w:val="center"/>
            <w:hideMark/>
          </w:tcPr>
          <w:p w:rsidR="00DB4620" w:rsidRPr="006D71C7" w:rsidRDefault="00DB4620" w:rsidP="00C74054">
            <w:pPr>
              <w:spacing w:after="0" w:line="240" w:lineRule="auto"/>
              <w:jc w:val="center"/>
              <w:rPr>
                <w:sz w:val="22"/>
              </w:rPr>
            </w:pPr>
            <w:r w:rsidRPr="006D71C7">
              <w:rPr>
                <w:sz w:val="22"/>
              </w:rPr>
              <w:t>54,46</w:t>
            </w:r>
          </w:p>
        </w:tc>
      </w:tr>
      <w:tr w:rsidR="000E42EC" w:rsidRPr="006D71C7" w:rsidTr="000E42EC">
        <w:trPr>
          <w:trHeight w:val="558"/>
          <w:jc w:val="center"/>
        </w:trPr>
        <w:tc>
          <w:tcPr>
            <w:tcW w:w="1435" w:type="dxa"/>
            <w:tcBorders>
              <w:top w:val="nil"/>
              <w:left w:val="single" w:sz="8" w:space="0" w:color="D34817"/>
              <w:bottom w:val="single" w:sz="8" w:space="0" w:color="D34817"/>
              <w:right w:val="single" w:sz="8" w:space="0" w:color="D34817"/>
            </w:tcBorders>
            <w:shd w:val="clear" w:color="000000" w:fill="F4B29B"/>
            <w:vAlign w:val="center"/>
            <w:hideMark/>
          </w:tcPr>
          <w:p w:rsidR="00DB4620" w:rsidRPr="006D71C7" w:rsidRDefault="00DB4620" w:rsidP="00C74054">
            <w:pPr>
              <w:spacing w:after="0" w:line="240" w:lineRule="auto"/>
              <w:jc w:val="center"/>
              <w:rPr>
                <w:b/>
                <w:bCs/>
                <w:sz w:val="20"/>
                <w:szCs w:val="20"/>
              </w:rPr>
            </w:pPr>
            <w:r w:rsidRPr="006D71C7">
              <w:rPr>
                <w:b/>
                <w:bCs/>
                <w:sz w:val="20"/>
                <w:szCs w:val="20"/>
              </w:rPr>
              <w:t>WIEJSKI</w:t>
            </w:r>
          </w:p>
        </w:tc>
        <w:tc>
          <w:tcPr>
            <w:tcW w:w="1519" w:type="dxa"/>
            <w:tcBorders>
              <w:top w:val="nil"/>
              <w:left w:val="nil"/>
              <w:bottom w:val="single" w:sz="8" w:space="0" w:color="D34817"/>
              <w:right w:val="single" w:sz="8" w:space="0" w:color="D34817"/>
            </w:tcBorders>
            <w:shd w:val="clear" w:color="000000" w:fill="F9D8CD"/>
            <w:vAlign w:val="center"/>
            <w:hideMark/>
          </w:tcPr>
          <w:p w:rsidR="00DB4620" w:rsidRPr="006D71C7" w:rsidRDefault="00DB4620" w:rsidP="00C74054">
            <w:pPr>
              <w:spacing w:after="0" w:line="240" w:lineRule="auto"/>
              <w:jc w:val="center"/>
              <w:rPr>
                <w:sz w:val="22"/>
              </w:rPr>
            </w:pPr>
            <w:r w:rsidRPr="006D71C7">
              <w:rPr>
                <w:sz w:val="22"/>
              </w:rPr>
              <w:t>67</w:t>
            </w:r>
          </w:p>
        </w:tc>
        <w:tc>
          <w:tcPr>
            <w:tcW w:w="1933" w:type="dxa"/>
            <w:tcBorders>
              <w:top w:val="nil"/>
              <w:left w:val="nil"/>
              <w:bottom w:val="single" w:sz="8" w:space="0" w:color="D34817"/>
              <w:right w:val="single" w:sz="8" w:space="0" w:color="D34817"/>
            </w:tcBorders>
            <w:shd w:val="clear" w:color="000000" w:fill="F9D8CD"/>
            <w:vAlign w:val="center"/>
            <w:hideMark/>
          </w:tcPr>
          <w:p w:rsidR="00DB4620" w:rsidRPr="006D71C7" w:rsidRDefault="00DB4620" w:rsidP="00C74054">
            <w:pPr>
              <w:spacing w:after="0" w:line="240" w:lineRule="auto"/>
              <w:jc w:val="center"/>
              <w:rPr>
                <w:sz w:val="22"/>
              </w:rPr>
            </w:pPr>
            <w:r w:rsidRPr="006D71C7">
              <w:rPr>
                <w:sz w:val="22"/>
              </w:rPr>
              <w:t>105,74</w:t>
            </w:r>
          </w:p>
        </w:tc>
        <w:tc>
          <w:tcPr>
            <w:tcW w:w="2041" w:type="dxa"/>
            <w:tcBorders>
              <w:top w:val="nil"/>
              <w:left w:val="nil"/>
              <w:bottom w:val="single" w:sz="8" w:space="0" w:color="D34817"/>
              <w:right w:val="single" w:sz="8" w:space="0" w:color="D34817"/>
            </w:tcBorders>
            <w:shd w:val="clear" w:color="000000" w:fill="F9D8CD"/>
            <w:vAlign w:val="center"/>
            <w:hideMark/>
          </w:tcPr>
          <w:p w:rsidR="00DB4620" w:rsidRPr="006D71C7" w:rsidRDefault="00DB4620" w:rsidP="00C74054">
            <w:pPr>
              <w:spacing w:after="0" w:line="240" w:lineRule="auto"/>
              <w:jc w:val="center"/>
              <w:rPr>
                <w:sz w:val="22"/>
              </w:rPr>
            </w:pPr>
            <w:r w:rsidRPr="006D71C7">
              <w:rPr>
                <w:sz w:val="22"/>
              </w:rPr>
              <w:t>76,02</w:t>
            </w:r>
          </w:p>
        </w:tc>
      </w:tr>
      <w:tr w:rsidR="000E42EC" w:rsidRPr="006D71C7" w:rsidTr="000E42EC">
        <w:trPr>
          <w:trHeight w:val="681"/>
          <w:jc w:val="center"/>
        </w:trPr>
        <w:tc>
          <w:tcPr>
            <w:tcW w:w="1435" w:type="dxa"/>
            <w:tcBorders>
              <w:top w:val="nil"/>
              <w:left w:val="single" w:sz="8" w:space="0" w:color="D34817"/>
              <w:bottom w:val="single" w:sz="8" w:space="0" w:color="D34817"/>
              <w:right w:val="single" w:sz="8" w:space="0" w:color="D34817"/>
            </w:tcBorders>
            <w:shd w:val="clear" w:color="000000" w:fill="F4B29B"/>
            <w:vAlign w:val="center"/>
            <w:hideMark/>
          </w:tcPr>
          <w:p w:rsidR="00DB4620" w:rsidRPr="006D71C7" w:rsidRDefault="00DB4620" w:rsidP="00C74054">
            <w:pPr>
              <w:spacing w:after="0" w:line="240" w:lineRule="auto"/>
              <w:jc w:val="center"/>
              <w:rPr>
                <w:b/>
                <w:bCs/>
                <w:sz w:val="20"/>
                <w:szCs w:val="20"/>
              </w:rPr>
            </w:pPr>
            <w:r w:rsidRPr="006D71C7">
              <w:rPr>
                <w:b/>
                <w:bCs/>
                <w:sz w:val="20"/>
                <w:szCs w:val="20"/>
              </w:rPr>
              <w:t>GÓRSKI</w:t>
            </w:r>
          </w:p>
        </w:tc>
        <w:tc>
          <w:tcPr>
            <w:tcW w:w="1519" w:type="dxa"/>
            <w:tcBorders>
              <w:top w:val="nil"/>
              <w:left w:val="nil"/>
              <w:bottom w:val="single" w:sz="8" w:space="0" w:color="D34817"/>
              <w:right w:val="single" w:sz="8" w:space="0" w:color="D34817"/>
            </w:tcBorders>
            <w:shd w:val="clear" w:color="000000" w:fill="F9D8CD"/>
            <w:vAlign w:val="center"/>
            <w:hideMark/>
          </w:tcPr>
          <w:p w:rsidR="00DB4620" w:rsidRPr="006D71C7" w:rsidRDefault="00DB4620" w:rsidP="00C74054">
            <w:pPr>
              <w:spacing w:after="0" w:line="240" w:lineRule="auto"/>
              <w:jc w:val="center"/>
              <w:rPr>
                <w:sz w:val="22"/>
              </w:rPr>
            </w:pPr>
            <w:r w:rsidRPr="006D71C7">
              <w:rPr>
                <w:sz w:val="22"/>
              </w:rPr>
              <w:t>5</w:t>
            </w:r>
          </w:p>
        </w:tc>
        <w:tc>
          <w:tcPr>
            <w:tcW w:w="1933" w:type="dxa"/>
            <w:tcBorders>
              <w:top w:val="nil"/>
              <w:left w:val="nil"/>
              <w:bottom w:val="single" w:sz="8" w:space="0" w:color="D34817"/>
              <w:right w:val="single" w:sz="8" w:space="0" w:color="D34817"/>
            </w:tcBorders>
            <w:shd w:val="clear" w:color="000000" w:fill="F9D8CD"/>
            <w:vAlign w:val="center"/>
            <w:hideMark/>
          </w:tcPr>
          <w:p w:rsidR="00DB4620" w:rsidRPr="006D71C7" w:rsidRDefault="00DB4620" w:rsidP="00C74054">
            <w:pPr>
              <w:spacing w:after="0" w:line="240" w:lineRule="auto"/>
              <w:jc w:val="center"/>
              <w:rPr>
                <w:sz w:val="22"/>
              </w:rPr>
            </w:pPr>
            <w:r w:rsidRPr="006D71C7">
              <w:rPr>
                <w:sz w:val="22"/>
              </w:rPr>
              <w:t>4,8</w:t>
            </w:r>
          </w:p>
        </w:tc>
        <w:tc>
          <w:tcPr>
            <w:tcW w:w="2041" w:type="dxa"/>
            <w:tcBorders>
              <w:top w:val="nil"/>
              <w:left w:val="nil"/>
              <w:bottom w:val="single" w:sz="8" w:space="0" w:color="D34817"/>
              <w:right w:val="single" w:sz="8" w:space="0" w:color="D34817"/>
            </w:tcBorders>
            <w:shd w:val="clear" w:color="000000" w:fill="F9D8CD"/>
            <w:vAlign w:val="center"/>
            <w:hideMark/>
          </w:tcPr>
          <w:p w:rsidR="00DB4620" w:rsidRPr="006D71C7" w:rsidRDefault="000E42EC" w:rsidP="00C74054">
            <w:pPr>
              <w:spacing w:after="0" w:line="240" w:lineRule="auto"/>
              <w:jc w:val="center"/>
              <w:rPr>
                <w:sz w:val="22"/>
              </w:rPr>
            </w:pPr>
            <w:r w:rsidRPr="006D71C7">
              <w:rPr>
                <w:sz w:val="22"/>
              </w:rPr>
              <w:t>3,54</w:t>
            </w:r>
          </w:p>
        </w:tc>
      </w:tr>
    </w:tbl>
    <w:p w:rsidR="00614869" w:rsidRPr="006D71C7" w:rsidRDefault="00614869" w:rsidP="006D71C7">
      <w:pPr>
        <w:pStyle w:val="Legenda"/>
        <w:spacing w:line="276" w:lineRule="auto"/>
        <w:jc w:val="both"/>
        <w:rPr>
          <w:color w:val="auto"/>
          <w:sz w:val="20"/>
          <w:szCs w:val="20"/>
        </w:rPr>
      </w:pPr>
    </w:p>
    <w:p w:rsidR="009D3BB1" w:rsidRPr="006D71C7" w:rsidRDefault="009D3BB1" w:rsidP="006D71C7">
      <w:pPr>
        <w:jc w:val="both"/>
      </w:pPr>
      <w:r w:rsidRPr="006D71C7">
        <w:t>Najwięcej projektów pod względem liczby zrealizowano w powiecie myszkowskim (13 projektów), a pod względem wartościowym w powiecie tarnogórskim (dofinansowanie na poziomie 13 mln EUR). W ramach priorytetu projekt</w:t>
      </w:r>
      <w:r w:rsidR="009C07AD" w:rsidRPr="006D71C7">
        <w:t>ów</w:t>
      </w:r>
      <w:r w:rsidRPr="006D71C7">
        <w:t xml:space="preserve"> nie realizowały większe miasta województwa m.in. Gliwice, Jastrzębie Zdrój.</w:t>
      </w:r>
    </w:p>
    <w:p w:rsidR="009D3BB1" w:rsidRPr="006D71C7" w:rsidRDefault="009D3BB1" w:rsidP="006D71C7">
      <w:pPr>
        <w:jc w:val="both"/>
        <w:sectPr w:rsidR="009D3BB1" w:rsidRPr="006D71C7" w:rsidSect="00CC06A3">
          <w:footerReference w:type="default" r:id="rId113"/>
          <w:endnotePr>
            <w:numFmt w:val="decimal"/>
          </w:endnotePr>
          <w:type w:val="continuous"/>
          <w:pgSz w:w="11906" w:h="16838" w:code="9"/>
          <w:pgMar w:top="1134" w:right="1418" w:bottom="1418" w:left="1418" w:header="0" w:footer="726" w:gutter="0"/>
          <w:cols w:space="708"/>
          <w:noEndnote/>
          <w:titlePg/>
          <w:docGrid w:linePitch="326"/>
        </w:sectPr>
      </w:pPr>
      <w:r w:rsidRPr="006D71C7">
        <w:rPr>
          <w:noProof/>
        </w:rPr>
        <w:drawing>
          <wp:inline distT="0" distB="0" distL="0" distR="0">
            <wp:extent cx="5759450" cy="5108770"/>
            <wp:effectExtent l="19050" t="0" r="0" b="0"/>
            <wp:docPr id="50"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srcRect/>
                    <a:stretch>
                      <a:fillRect/>
                    </a:stretch>
                  </pic:blipFill>
                  <pic:spPr bwMode="auto">
                    <a:xfrm>
                      <a:off x="0" y="0"/>
                      <a:ext cx="5759450" cy="5108770"/>
                    </a:xfrm>
                    <a:prstGeom prst="rect">
                      <a:avLst/>
                    </a:prstGeom>
                    <a:noFill/>
                    <a:ln w="9525">
                      <a:noFill/>
                      <a:miter lim="800000"/>
                      <a:headEnd/>
                      <a:tailEnd/>
                    </a:ln>
                  </pic:spPr>
                </pic:pic>
              </a:graphicData>
            </a:graphic>
          </wp:inline>
        </w:drawing>
      </w:r>
    </w:p>
    <w:p w:rsidR="00C43B75" w:rsidRDefault="007338BD" w:rsidP="00C43B75">
      <w:pPr>
        <w:pStyle w:val="Legenda"/>
        <w:rPr>
          <w:b w:val="0"/>
          <w:i/>
          <w:color w:val="auto"/>
          <w:sz w:val="20"/>
          <w:szCs w:val="20"/>
        </w:rPr>
      </w:pPr>
      <w:bookmarkStart w:id="485" w:name="_Toc324786946"/>
      <w:bookmarkStart w:id="486" w:name="_Toc324854712"/>
      <w:bookmarkStart w:id="487" w:name="_Toc324854776"/>
      <w:r w:rsidRPr="006D71C7">
        <w:rPr>
          <w:color w:val="auto"/>
          <w:sz w:val="20"/>
          <w:szCs w:val="20"/>
        </w:rPr>
        <w:t xml:space="preserve"> </w:t>
      </w:r>
      <w:bookmarkStart w:id="488" w:name="_Toc326055360"/>
      <w:r w:rsidR="00C43B75" w:rsidRPr="00C43B75">
        <w:rPr>
          <w:color w:val="auto"/>
          <w:sz w:val="20"/>
          <w:szCs w:val="20"/>
        </w:rPr>
        <w:t xml:space="preserve">Rysunek </w:t>
      </w:r>
      <w:r w:rsidR="008F7228" w:rsidRPr="00C43B75">
        <w:rPr>
          <w:color w:val="auto"/>
          <w:sz w:val="20"/>
          <w:szCs w:val="20"/>
        </w:rPr>
        <w:fldChar w:fldCharType="begin"/>
      </w:r>
      <w:r w:rsidR="00C43B75"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42</w:t>
      </w:r>
      <w:r w:rsidR="008F7228" w:rsidRPr="00C43B75">
        <w:rPr>
          <w:color w:val="auto"/>
          <w:sz w:val="20"/>
          <w:szCs w:val="20"/>
        </w:rPr>
        <w:fldChar w:fldCharType="end"/>
      </w:r>
      <w:r w:rsidR="003313FD">
        <w:t xml:space="preserve"> </w:t>
      </w:r>
      <w:r w:rsidRPr="006D71C7">
        <w:rPr>
          <w:b w:val="0"/>
          <w:i/>
          <w:color w:val="auto"/>
          <w:sz w:val="20"/>
          <w:szCs w:val="20"/>
        </w:rPr>
        <w:t>Rozkład projektów w podziale na powiaty</w:t>
      </w:r>
      <w:bookmarkEnd w:id="485"/>
      <w:bookmarkEnd w:id="486"/>
      <w:bookmarkEnd w:id="487"/>
      <w:bookmarkEnd w:id="488"/>
      <w:r w:rsidRPr="006D71C7">
        <w:rPr>
          <w:color w:val="auto"/>
          <w:sz w:val="20"/>
          <w:szCs w:val="20"/>
        </w:rPr>
        <w:t xml:space="preserve"> </w:t>
      </w:r>
    </w:p>
    <w:p w:rsidR="00C74054" w:rsidRDefault="00C74054" w:rsidP="006D71C7">
      <w:pPr>
        <w:tabs>
          <w:tab w:val="left" w:pos="1276"/>
        </w:tabs>
        <w:autoSpaceDE w:val="0"/>
        <w:autoSpaceDN w:val="0"/>
        <w:adjustRightInd w:val="0"/>
        <w:spacing w:after="120"/>
        <w:jc w:val="both"/>
        <w:rPr>
          <w:b/>
          <w:i/>
          <w:szCs w:val="24"/>
        </w:rPr>
      </w:pPr>
    </w:p>
    <w:p w:rsidR="006902E8" w:rsidRPr="006D71C7" w:rsidRDefault="006902E8" w:rsidP="006D71C7">
      <w:pPr>
        <w:tabs>
          <w:tab w:val="left" w:pos="1276"/>
        </w:tabs>
        <w:autoSpaceDE w:val="0"/>
        <w:autoSpaceDN w:val="0"/>
        <w:adjustRightInd w:val="0"/>
        <w:spacing w:after="120"/>
        <w:jc w:val="both"/>
        <w:rPr>
          <w:b/>
          <w:i/>
          <w:szCs w:val="24"/>
        </w:rPr>
      </w:pPr>
      <w:r w:rsidRPr="006D71C7">
        <w:rPr>
          <w:b/>
          <w:i/>
          <w:szCs w:val="24"/>
        </w:rPr>
        <w:t>Analiza wskaźnikowa</w:t>
      </w:r>
    </w:p>
    <w:p w:rsidR="00BF4964" w:rsidRPr="006D71C7" w:rsidRDefault="00BF4964" w:rsidP="006D71C7">
      <w:pPr>
        <w:jc w:val="both"/>
        <w:rPr>
          <w:szCs w:val="24"/>
        </w:rPr>
      </w:pPr>
      <w:r w:rsidRPr="006D71C7">
        <w:rPr>
          <w:szCs w:val="24"/>
        </w:rPr>
        <w:t>Osiągnięcie wartości docelowej nie jest zagrożone dla 7 wskaźników, których wartość docelowa dla 2015 roku z pewnością zostanie osiągnięta. Są to wskaźniki :</w:t>
      </w:r>
      <w:r w:rsidR="00C74054">
        <w:rPr>
          <w:i/>
          <w:szCs w:val="24"/>
        </w:rPr>
        <w:t xml:space="preserve"> Liczba projektów z </w:t>
      </w:r>
      <w:r w:rsidRPr="006D71C7">
        <w:rPr>
          <w:i/>
          <w:szCs w:val="24"/>
        </w:rPr>
        <w:t>zakresu gospodarki odpadami, Liczba projektów mających na celu poprawę jakości powietrza, Liczba projektów z zakresu prewencji zagrożeń, Powierzchnia terenów zrekultywowanych w wyniku realizacji projektów, Liczba osób przyłączonych do sieci kanalizacyjnej w wyniku realizacji projektów, L</w:t>
      </w:r>
      <w:r w:rsidR="00E93652" w:rsidRPr="006D71C7">
        <w:rPr>
          <w:i/>
          <w:szCs w:val="24"/>
        </w:rPr>
        <w:t>iczba gatunków wyprowadzonych z </w:t>
      </w:r>
      <w:r w:rsidRPr="006D71C7">
        <w:rPr>
          <w:i/>
          <w:szCs w:val="24"/>
        </w:rPr>
        <w:t>regionalnego stanu zagrożenia wyginięciem, Liczba osób objętych programami kształtowania postaw ekologicznych.</w:t>
      </w:r>
      <w:r w:rsidRPr="006D71C7">
        <w:rPr>
          <w:szCs w:val="24"/>
        </w:rPr>
        <w:t xml:space="preserve"> </w:t>
      </w:r>
    </w:p>
    <w:p w:rsidR="00BF4964" w:rsidRPr="006D71C7" w:rsidRDefault="00BF4964" w:rsidP="006D71C7">
      <w:pPr>
        <w:jc w:val="both"/>
        <w:rPr>
          <w:i/>
          <w:szCs w:val="24"/>
        </w:rPr>
      </w:pPr>
      <w:r w:rsidRPr="006D71C7">
        <w:rPr>
          <w:szCs w:val="24"/>
        </w:rPr>
        <w:t>Dla wskaźników</w:t>
      </w:r>
      <w:r w:rsidRPr="006D71C7">
        <w:rPr>
          <w:i/>
          <w:szCs w:val="24"/>
        </w:rPr>
        <w:t xml:space="preserve"> Liczba projektów dot. infrastruktury społeczeństwa informacyjnego, Ilość osób objętych selektywną zbiórką odpadów </w:t>
      </w:r>
      <w:r w:rsidRPr="006D71C7">
        <w:rPr>
          <w:szCs w:val="24"/>
        </w:rPr>
        <w:t>istnieje ryzyko nieosiągnięcia wartości docelowej ze względu na brak zainteresowania ze strony potencjalnych beneficjentów.</w:t>
      </w:r>
    </w:p>
    <w:p w:rsidR="00BF4964" w:rsidRPr="006D71C7" w:rsidRDefault="00BF4964" w:rsidP="006D71C7">
      <w:pPr>
        <w:jc w:val="both"/>
        <w:rPr>
          <w:szCs w:val="24"/>
        </w:rPr>
      </w:pPr>
      <w:r w:rsidRPr="006D71C7">
        <w:rPr>
          <w:szCs w:val="24"/>
        </w:rPr>
        <w:t xml:space="preserve">Wartość docelowa dla 2015 roku wskaźnika </w:t>
      </w:r>
      <w:r w:rsidRPr="006D71C7">
        <w:rPr>
          <w:i/>
          <w:szCs w:val="24"/>
        </w:rPr>
        <w:t xml:space="preserve">Dodatkowa liczba osób przyłączonych do sieci wodociągowej w wyniku realizacji projektów </w:t>
      </w:r>
      <w:r w:rsidRPr="006D71C7">
        <w:rPr>
          <w:szCs w:val="24"/>
        </w:rPr>
        <w:t>nie zostanie osiągnięta. IZ RPO WSL</w:t>
      </w:r>
      <w:r w:rsidR="00B55C07" w:rsidRPr="006D71C7">
        <w:rPr>
          <w:rFonts w:cs="Perpetua"/>
          <w:szCs w:val="24"/>
        </w:rPr>
        <w:t xml:space="preserve"> na</w:t>
      </w:r>
      <w:r w:rsidR="007F0A2E" w:rsidRPr="006D71C7">
        <w:rPr>
          <w:rFonts w:cs="Perpetua"/>
          <w:szCs w:val="24"/>
        </w:rPr>
        <w:t> </w:t>
      </w:r>
      <w:r w:rsidR="00B55C07" w:rsidRPr="006D71C7">
        <w:rPr>
          <w:rFonts w:cs="Perpetua"/>
          <w:szCs w:val="24"/>
        </w:rPr>
        <w:t>początku programowania wprowadziła zapisy</w:t>
      </w:r>
      <w:r w:rsidRPr="006D71C7">
        <w:rPr>
          <w:szCs w:val="24"/>
        </w:rPr>
        <w:t>, które mówią, że sieć wodociągowa może być budowana wyłącznie w przypadku budowy lub modernizacji sieci kanalizacyjnej. Istnieje również możliwość budowy czy modernizacji systemów zaopatrzenia w wodę</w:t>
      </w:r>
      <w:r w:rsidR="00D52475" w:rsidRPr="006D71C7">
        <w:rPr>
          <w:szCs w:val="24"/>
        </w:rPr>
        <w:t>,</w:t>
      </w:r>
      <w:r w:rsidR="009C07AD" w:rsidRPr="006D71C7">
        <w:rPr>
          <w:szCs w:val="24"/>
        </w:rPr>
        <w:t xml:space="preserve"> jednak</w:t>
      </w:r>
      <w:r w:rsidRPr="006D71C7">
        <w:rPr>
          <w:szCs w:val="24"/>
        </w:rPr>
        <w:t xml:space="preserve"> pod warunkiem uzupełnienia istniejącej sieci kanalizacyjnej lub w przypadku gdy realizowany projekt obejmuje obszar na którym co najmni</w:t>
      </w:r>
      <w:r w:rsidR="00B55C07" w:rsidRPr="006D71C7">
        <w:rPr>
          <w:szCs w:val="24"/>
        </w:rPr>
        <w:t>ej 50% planowanych do </w:t>
      </w:r>
      <w:r w:rsidRPr="006D71C7">
        <w:rPr>
          <w:szCs w:val="24"/>
        </w:rPr>
        <w:t>przyłączenia odbiorców posiada przydomowe oczyszczalnie ścieków.</w:t>
      </w:r>
      <w:r w:rsidR="00B55C07" w:rsidRPr="006D71C7">
        <w:rPr>
          <w:szCs w:val="24"/>
        </w:rPr>
        <w:t xml:space="preserve"> Powyższe zapisy zostały wprowadzone z myślą o realizacji projektów kompleksowych</w:t>
      </w:r>
      <w:r w:rsidR="00E12E8C" w:rsidRPr="006D71C7">
        <w:rPr>
          <w:szCs w:val="24"/>
        </w:rPr>
        <w:t>, jednak beneficjenci w większości realizują projekty dot. tylko kanalizacji.</w:t>
      </w:r>
    </w:p>
    <w:p w:rsidR="00BF4964" w:rsidRDefault="00BF4964" w:rsidP="006D71C7">
      <w:pPr>
        <w:pStyle w:val="Default"/>
        <w:spacing w:after="120" w:line="276" w:lineRule="auto"/>
        <w:jc w:val="both"/>
        <w:rPr>
          <w:color w:val="auto"/>
        </w:rPr>
      </w:pPr>
      <w:r w:rsidRPr="006D71C7">
        <w:rPr>
          <w:color w:val="auto"/>
        </w:rPr>
        <w:t>Realizacj</w:t>
      </w:r>
      <w:r w:rsidR="00354526" w:rsidRPr="006D71C7">
        <w:rPr>
          <w:color w:val="auto"/>
        </w:rPr>
        <w:t>a</w:t>
      </w:r>
      <w:r w:rsidRPr="006D71C7">
        <w:rPr>
          <w:color w:val="auto"/>
        </w:rPr>
        <w:t xml:space="preserve"> projektów w zakresie środowiskowym pozwala niwelować zły stan techniczny i niedoinwestowanie infrastruktury ochrony środowiska. Wskaźnikami, które mają bezpośrednie przełożenie na kwestie problematyczne województwa śląskiego w zakresie środowiska zdefiniowane w analizie SWOT w RPO WSL to </w:t>
      </w:r>
      <w:r w:rsidRPr="006D71C7">
        <w:rPr>
          <w:i/>
          <w:color w:val="auto"/>
        </w:rPr>
        <w:t xml:space="preserve">Powierzchnia terenów zrekultywowanych w wyniku realizacji projektów, Dodatkowa liczba osób przyłączonych do sieci wodociągowej oraz Dodatkowa liczba osób przyłączonych do sieci kanalizacyjnej w wyniku realizacji projektów. </w:t>
      </w:r>
      <w:r w:rsidRPr="006D71C7">
        <w:rPr>
          <w:color w:val="auto"/>
        </w:rPr>
        <w:t xml:space="preserve">Ww. wskaźniki wpływają odpowiednio na niski procent zrekultywowanych terenów poprzemysłowych, ograniczone zasoby wodne oraz nagromadzenie znacznych ilości odpadów komunalnych. </w:t>
      </w:r>
    </w:p>
    <w:p w:rsidR="006E4456" w:rsidRPr="003030BD" w:rsidRDefault="006E4456" w:rsidP="006E4456">
      <w:pPr>
        <w:autoSpaceDE w:val="0"/>
        <w:autoSpaceDN w:val="0"/>
        <w:adjustRightInd w:val="0"/>
        <w:spacing w:after="0"/>
        <w:jc w:val="both"/>
        <w:rPr>
          <w:iCs/>
        </w:rPr>
      </w:pPr>
      <w:r>
        <w:rPr>
          <w:iCs/>
        </w:rPr>
        <w:t xml:space="preserve">Realizacja wskaźnika </w:t>
      </w:r>
      <w:r w:rsidRPr="00CE21FB">
        <w:rPr>
          <w:i/>
          <w:iCs/>
        </w:rPr>
        <w:t>Liczba bezpośrednio</w:t>
      </w:r>
      <w:r>
        <w:rPr>
          <w:iCs/>
        </w:rPr>
        <w:t xml:space="preserve"> </w:t>
      </w:r>
      <w:r>
        <w:rPr>
          <w:i/>
          <w:iCs/>
        </w:rPr>
        <w:t>utworzonych nowych</w:t>
      </w:r>
      <w:r w:rsidRPr="00D3287B">
        <w:rPr>
          <w:i/>
          <w:iCs/>
        </w:rPr>
        <w:t xml:space="preserve"> miejsca pracy </w:t>
      </w:r>
      <w:r>
        <w:rPr>
          <w:i/>
          <w:iCs/>
        </w:rPr>
        <w:t xml:space="preserve">(EPC) </w:t>
      </w:r>
      <w:r>
        <w:rPr>
          <w:iCs/>
        </w:rPr>
        <w:t xml:space="preserve">w podziale na kobiety i mężczyzn w omawianym priorytecie wskazuje na większą liczbę utworzonych miejsc prac dla kobiet (5 dla mężczyzn, a dla kobiet 5,75 nowych etatów). </w:t>
      </w:r>
      <w:r w:rsidRPr="0003480C">
        <w:rPr>
          <w:rFonts w:eastAsia="Calibri"/>
          <w:szCs w:val="24"/>
        </w:rPr>
        <w:t>Równość szans kobiet i mężczyzn jest w</w:t>
      </w:r>
      <w:r>
        <w:rPr>
          <w:rFonts w:eastAsia="Calibri"/>
          <w:szCs w:val="24"/>
        </w:rPr>
        <w:t>ażnym</w:t>
      </w:r>
      <w:r w:rsidRPr="0003480C">
        <w:rPr>
          <w:rFonts w:eastAsia="Calibri"/>
          <w:szCs w:val="24"/>
        </w:rPr>
        <w:t xml:space="preserve"> elementem szerszej kwestii równości szans, której przestrzeganie stanowi jedn</w:t>
      </w:r>
      <w:r>
        <w:rPr>
          <w:rFonts w:eastAsia="Calibri"/>
          <w:szCs w:val="24"/>
        </w:rPr>
        <w:t>ą z </w:t>
      </w:r>
      <w:r w:rsidRPr="0003480C">
        <w:rPr>
          <w:rFonts w:eastAsia="Calibri"/>
          <w:szCs w:val="24"/>
        </w:rPr>
        <w:t>podstawowych zasad</w:t>
      </w:r>
      <w:r>
        <w:rPr>
          <w:rFonts w:eastAsia="Calibri"/>
          <w:szCs w:val="24"/>
        </w:rPr>
        <w:t xml:space="preserve"> RPO WSL. Przy programowaniu zostały założone podwskaźniki: miejsca pracy w podziale na płeć na równym poziomie, beneficjenci składając wnioski o dofinansowanie nie deklarują kogo zatrudnią, gdyż zostałaby zaburzona omawiana zasada, każdy ma mieć równy dostęp do zatrudnienia. Analizując omawiany wskaźnik w podziale na priorytety można zaobserwować, że w jednych zatrudnionych zostało więcej kobiet w innych mężczyzn. </w:t>
      </w:r>
      <w:r w:rsidRPr="00DE3312">
        <w:rPr>
          <w:iCs/>
        </w:rPr>
        <w:t>IZ RPO WSL przyjęła odpowiednie kryteria wyboru projektów do dofinansowania dot. polityk horyzontalnych (ok</w:t>
      </w:r>
      <w:r w:rsidRPr="00DE3312">
        <w:t>reślenie stopnia realizacji polityki równych szans, polityki ochrony środowiska, wpływ projektu na</w:t>
      </w:r>
      <w:r w:rsidR="004218CA">
        <w:t> </w:t>
      </w:r>
      <w:r w:rsidRPr="00DE3312">
        <w:t>utworzenie nowych miejsc pracy</w:t>
      </w:r>
      <w:r>
        <w:t>). P</w:t>
      </w:r>
      <w:r w:rsidRPr="00DE3312">
        <w:t>rojekt mający pozytywny wpływ na realizacje poszczególnych polityk horyzontalnych otrzymuje dodatkowe punkty w trakcie przeprowadzanej oceny merytoryczno-technicznej, co</w:t>
      </w:r>
      <w:r>
        <w:t xml:space="preserve"> </w:t>
      </w:r>
      <w:r w:rsidRPr="00DE3312">
        <w:t>w</w:t>
      </w:r>
      <w:r>
        <w:t xml:space="preserve"> </w:t>
      </w:r>
      <w:r w:rsidRPr="00DE3312">
        <w:t>konsekwencji zwiększa jego szansę na otrzymanie dofinansowania</w:t>
      </w:r>
      <w:r>
        <w:t>.</w:t>
      </w:r>
    </w:p>
    <w:p w:rsidR="00B55C07" w:rsidRPr="006D71C7" w:rsidRDefault="00B55C07" w:rsidP="006D71C7">
      <w:pPr>
        <w:spacing w:after="0"/>
        <w:jc w:val="both"/>
        <w:rPr>
          <w:szCs w:val="24"/>
        </w:rPr>
      </w:pPr>
      <w:r w:rsidRPr="006D71C7">
        <w:rPr>
          <w:szCs w:val="24"/>
        </w:rPr>
        <w:t>W ramach Priorytetu V realizowane są poniższe wskaźniki KE (core indicators):</w:t>
      </w:r>
    </w:p>
    <w:p w:rsidR="00B55C07" w:rsidRPr="006D71C7" w:rsidRDefault="00B55C07" w:rsidP="00BA2FE7">
      <w:pPr>
        <w:pStyle w:val="Akapitzlist"/>
        <w:numPr>
          <w:ilvl w:val="0"/>
          <w:numId w:val="93"/>
        </w:numPr>
        <w:spacing w:after="0"/>
        <w:jc w:val="both"/>
        <w:rPr>
          <w:i/>
          <w:szCs w:val="24"/>
        </w:rPr>
      </w:pPr>
      <w:r w:rsidRPr="006D71C7">
        <w:rPr>
          <w:i/>
          <w:szCs w:val="24"/>
        </w:rPr>
        <w:t>Liczba projektów z zakresu gospodarki odpadami</w:t>
      </w:r>
    </w:p>
    <w:p w:rsidR="00B55C07" w:rsidRPr="006D71C7" w:rsidRDefault="00B55C07" w:rsidP="00BA2FE7">
      <w:pPr>
        <w:pStyle w:val="Akapitzlist"/>
        <w:numPr>
          <w:ilvl w:val="0"/>
          <w:numId w:val="93"/>
        </w:numPr>
        <w:jc w:val="both"/>
        <w:rPr>
          <w:i/>
          <w:szCs w:val="24"/>
        </w:rPr>
      </w:pPr>
      <w:r w:rsidRPr="006D71C7">
        <w:rPr>
          <w:i/>
          <w:szCs w:val="24"/>
        </w:rPr>
        <w:t>Liczba projektów dot. infrastruktury społeczeństwa informacyjnego</w:t>
      </w:r>
    </w:p>
    <w:p w:rsidR="00B55C07" w:rsidRPr="006D71C7" w:rsidRDefault="00B55C07" w:rsidP="00BA2FE7">
      <w:pPr>
        <w:pStyle w:val="Akapitzlist"/>
        <w:numPr>
          <w:ilvl w:val="0"/>
          <w:numId w:val="93"/>
        </w:numPr>
        <w:jc w:val="both"/>
        <w:rPr>
          <w:i/>
          <w:szCs w:val="24"/>
        </w:rPr>
      </w:pPr>
      <w:r w:rsidRPr="006D71C7">
        <w:rPr>
          <w:i/>
          <w:szCs w:val="24"/>
        </w:rPr>
        <w:t>Liczba projektów z zakresu energii odnawialnej</w:t>
      </w:r>
    </w:p>
    <w:p w:rsidR="00B55C07" w:rsidRPr="006D71C7" w:rsidRDefault="00B55C07" w:rsidP="00BA2FE7">
      <w:pPr>
        <w:pStyle w:val="Akapitzlist"/>
        <w:numPr>
          <w:ilvl w:val="0"/>
          <w:numId w:val="93"/>
        </w:numPr>
        <w:jc w:val="both"/>
        <w:rPr>
          <w:i/>
          <w:szCs w:val="24"/>
        </w:rPr>
      </w:pPr>
      <w:r w:rsidRPr="006D71C7">
        <w:rPr>
          <w:i/>
          <w:szCs w:val="24"/>
        </w:rPr>
        <w:t>Powierzchnia terenów zrekultywowanych w wyniku realizacji projektów</w:t>
      </w:r>
    </w:p>
    <w:p w:rsidR="00B55C07" w:rsidRPr="006D71C7" w:rsidRDefault="00B55C07" w:rsidP="00BA2FE7">
      <w:pPr>
        <w:pStyle w:val="Akapitzlist"/>
        <w:numPr>
          <w:ilvl w:val="0"/>
          <w:numId w:val="93"/>
        </w:numPr>
        <w:jc w:val="both"/>
        <w:rPr>
          <w:i/>
          <w:szCs w:val="24"/>
        </w:rPr>
      </w:pPr>
      <w:r w:rsidRPr="006D71C7">
        <w:rPr>
          <w:i/>
          <w:szCs w:val="24"/>
        </w:rPr>
        <w:t>Liczba osób przyłączonych do sieci kanalizacyjnej w wyniku realizacji projektów</w:t>
      </w:r>
    </w:p>
    <w:p w:rsidR="00B55C07" w:rsidRPr="006D71C7" w:rsidRDefault="00B55C07" w:rsidP="00BA2FE7">
      <w:pPr>
        <w:pStyle w:val="Akapitzlist"/>
        <w:numPr>
          <w:ilvl w:val="0"/>
          <w:numId w:val="93"/>
        </w:numPr>
        <w:jc w:val="both"/>
        <w:rPr>
          <w:i/>
          <w:szCs w:val="24"/>
        </w:rPr>
      </w:pPr>
      <w:r w:rsidRPr="006D71C7">
        <w:rPr>
          <w:i/>
          <w:szCs w:val="24"/>
        </w:rPr>
        <w:t>Moc zainstalowana produkcji energii pochodząca ze źródeł odnawialnych</w:t>
      </w:r>
    </w:p>
    <w:p w:rsidR="00B55C07" w:rsidRPr="006D71C7" w:rsidRDefault="00B55C07" w:rsidP="006D71C7">
      <w:pPr>
        <w:pStyle w:val="Default"/>
        <w:spacing w:line="276" w:lineRule="auto"/>
        <w:jc w:val="both"/>
        <w:rPr>
          <w:rFonts w:eastAsiaTheme="minorHAnsi"/>
          <w:color w:val="auto"/>
          <w:lang w:eastAsia="en-US"/>
        </w:rPr>
      </w:pPr>
      <w:r w:rsidRPr="006D71C7">
        <w:rPr>
          <w:color w:val="auto"/>
        </w:rPr>
        <w:t xml:space="preserve">W ramach </w:t>
      </w:r>
      <w:r w:rsidR="005519A5" w:rsidRPr="006D71C7">
        <w:rPr>
          <w:color w:val="auto"/>
        </w:rPr>
        <w:t>p</w:t>
      </w:r>
      <w:r w:rsidRPr="006D71C7">
        <w:rPr>
          <w:color w:val="auto"/>
        </w:rPr>
        <w:t xml:space="preserve">riorytetu V podczas renegocjacji Programu został zmieniony typ wskaźnika </w:t>
      </w:r>
      <w:r w:rsidRPr="006D71C7">
        <w:rPr>
          <w:rFonts w:eastAsiaTheme="minorHAnsi"/>
          <w:i/>
          <w:color w:val="auto"/>
          <w:lang w:eastAsia="en-US"/>
        </w:rPr>
        <w:t>Powierzchnia terenów zrekultywowanych w wyniku realizacji projektów</w:t>
      </w:r>
      <w:r w:rsidRPr="006D71C7">
        <w:rPr>
          <w:rFonts w:eastAsiaTheme="minorHAnsi"/>
          <w:color w:val="auto"/>
          <w:lang w:eastAsia="en-US"/>
        </w:rPr>
        <w:t xml:space="preserve"> ze wskaźnika rezultatu na wskaźnik produktu. Ponadto ze wskaźników </w:t>
      </w:r>
      <w:r w:rsidRPr="006D71C7">
        <w:rPr>
          <w:rFonts w:eastAsiaTheme="minorHAnsi"/>
          <w:i/>
          <w:color w:val="auto"/>
          <w:lang w:eastAsia="en-US"/>
        </w:rPr>
        <w:t>Dodatkowa liczba osób przyłączonych do sieci kanalizacyjnej w wyniku realizacji projektów,</w:t>
      </w:r>
      <w:r w:rsidRPr="006D71C7">
        <w:rPr>
          <w:rFonts w:eastAsiaTheme="minorHAnsi"/>
          <w:color w:val="auto"/>
          <w:lang w:eastAsia="en-US"/>
        </w:rPr>
        <w:t xml:space="preserve">  </w:t>
      </w:r>
      <w:r w:rsidRPr="006D71C7">
        <w:rPr>
          <w:rFonts w:eastAsiaTheme="minorHAnsi"/>
          <w:i/>
          <w:color w:val="auto"/>
          <w:lang w:eastAsia="en-US"/>
        </w:rPr>
        <w:t>Dodatkowa liczba osób przyłączonych do sieci wodociągowej w wyniku realizacji projektów</w:t>
      </w:r>
      <w:r w:rsidRPr="006D71C7">
        <w:rPr>
          <w:rFonts w:eastAsiaTheme="minorHAnsi"/>
          <w:color w:val="auto"/>
          <w:lang w:eastAsia="en-US"/>
        </w:rPr>
        <w:t xml:space="preserve"> oraz </w:t>
      </w:r>
      <w:r w:rsidRPr="006D71C7">
        <w:rPr>
          <w:rFonts w:eastAsiaTheme="minorHAnsi"/>
          <w:i/>
          <w:color w:val="auto"/>
          <w:lang w:eastAsia="en-US"/>
        </w:rPr>
        <w:t xml:space="preserve">Dodatkowa </w:t>
      </w:r>
      <w:r w:rsidRPr="006D71C7">
        <w:rPr>
          <w:rFonts w:eastAsiaTheme="minorHAnsi"/>
          <w:color w:val="auto"/>
          <w:lang w:eastAsia="en-US"/>
        </w:rPr>
        <w:t>m</w:t>
      </w:r>
      <w:r w:rsidRPr="006D71C7">
        <w:rPr>
          <w:rFonts w:eastAsiaTheme="minorHAnsi"/>
          <w:i/>
          <w:color w:val="auto"/>
          <w:lang w:eastAsia="en-US"/>
        </w:rPr>
        <w:t>oc zainstalowana produkcji energii pochodząca ze źródeł odnawialnych</w:t>
      </w:r>
      <w:r w:rsidRPr="006D71C7">
        <w:rPr>
          <w:rFonts w:eastAsiaTheme="minorHAnsi"/>
          <w:color w:val="auto"/>
          <w:lang w:eastAsia="en-US"/>
        </w:rPr>
        <w:t xml:space="preserve"> zostało usunięte słowo „dodatkowa”. Dzięki</w:t>
      </w:r>
      <w:r w:rsidR="00354526" w:rsidRPr="006D71C7">
        <w:rPr>
          <w:rFonts w:eastAsiaTheme="minorHAnsi"/>
          <w:color w:val="auto"/>
          <w:lang w:eastAsia="en-US"/>
        </w:rPr>
        <w:t xml:space="preserve"> zmianie</w:t>
      </w:r>
      <w:r w:rsidRPr="006D71C7">
        <w:rPr>
          <w:rFonts w:eastAsiaTheme="minorHAnsi"/>
          <w:color w:val="auto"/>
          <w:lang w:eastAsia="en-US"/>
        </w:rPr>
        <w:t xml:space="preserve"> nazwy wskaźnika </w:t>
      </w:r>
      <w:r w:rsidR="00BE0BFE" w:rsidRPr="006D71C7">
        <w:rPr>
          <w:rFonts w:eastAsiaTheme="minorHAnsi"/>
          <w:color w:val="auto"/>
          <w:lang w:eastAsia="en-US"/>
        </w:rPr>
        <w:t>zapisy</w:t>
      </w:r>
      <w:r w:rsidR="00D97AE2" w:rsidRPr="006D71C7">
        <w:rPr>
          <w:rFonts w:eastAsiaTheme="minorHAnsi"/>
          <w:color w:val="auto"/>
          <w:lang w:eastAsia="en-US"/>
        </w:rPr>
        <w:t xml:space="preserve"> są bardziej logiczne i spójne z </w:t>
      </w:r>
      <w:r w:rsidRPr="006D71C7">
        <w:rPr>
          <w:rFonts w:eastAsiaTheme="minorHAnsi"/>
          <w:color w:val="auto"/>
          <w:lang w:eastAsia="en-US"/>
        </w:rPr>
        <w:t>nazwami przyjętymi w innych województwach oraz wytycznymi MRR w zakresie warunków gromadzenia i przekazywania danych w formie elektronicznej.</w:t>
      </w:r>
    </w:p>
    <w:p w:rsidR="007F0A2E" w:rsidRPr="006D71C7" w:rsidRDefault="007F0A2E" w:rsidP="006D71C7">
      <w:pPr>
        <w:autoSpaceDE w:val="0"/>
        <w:autoSpaceDN w:val="0"/>
        <w:adjustRightInd w:val="0"/>
        <w:spacing w:after="0"/>
        <w:jc w:val="both"/>
        <w:rPr>
          <w:rFonts w:eastAsiaTheme="minorHAnsi"/>
          <w:szCs w:val="24"/>
          <w:lang w:eastAsia="en-US"/>
        </w:rPr>
      </w:pPr>
    </w:p>
    <w:p w:rsidR="007F0A2E" w:rsidRPr="006D71C7" w:rsidRDefault="007F0A2E" w:rsidP="006D71C7">
      <w:pPr>
        <w:autoSpaceDE w:val="0"/>
        <w:autoSpaceDN w:val="0"/>
        <w:adjustRightInd w:val="0"/>
        <w:spacing w:after="0"/>
        <w:jc w:val="both"/>
        <w:rPr>
          <w:szCs w:val="24"/>
        </w:rPr>
      </w:pPr>
      <w:r w:rsidRPr="006D71C7">
        <w:rPr>
          <w:rFonts w:eastAsiaTheme="minorHAnsi"/>
          <w:szCs w:val="24"/>
          <w:lang w:eastAsia="en-US"/>
        </w:rPr>
        <w:t xml:space="preserve">Tabela postępu priorytetu V znajduje się w załączniku nr IV do niniejszego </w:t>
      </w:r>
      <w:r w:rsidRPr="006D71C7">
        <w:rPr>
          <w:rFonts w:eastAsiaTheme="minorHAnsi"/>
          <w:i/>
          <w:szCs w:val="24"/>
          <w:lang w:eastAsia="en-US"/>
        </w:rPr>
        <w:t>Sprawozdania.</w:t>
      </w:r>
    </w:p>
    <w:p w:rsidR="00BF4964" w:rsidRPr="006D71C7" w:rsidRDefault="00BF4964" w:rsidP="006D71C7">
      <w:pPr>
        <w:tabs>
          <w:tab w:val="left" w:pos="1276"/>
        </w:tabs>
        <w:autoSpaceDE w:val="0"/>
        <w:autoSpaceDN w:val="0"/>
        <w:adjustRightInd w:val="0"/>
        <w:spacing w:after="120"/>
        <w:jc w:val="both"/>
        <w:rPr>
          <w:b/>
          <w:i/>
          <w:szCs w:val="24"/>
        </w:rPr>
      </w:pPr>
    </w:p>
    <w:p w:rsidR="00DE2E63" w:rsidRPr="006D71C7" w:rsidRDefault="00DE2E63" w:rsidP="006D71C7">
      <w:pPr>
        <w:spacing w:after="120"/>
        <w:jc w:val="both"/>
        <w:rPr>
          <w:b/>
          <w:bCs/>
          <w:i/>
          <w:szCs w:val="24"/>
        </w:rPr>
      </w:pPr>
      <w:r w:rsidRPr="006D71C7">
        <w:rPr>
          <w:b/>
          <w:bCs/>
          <w:i/>
          <w:szCs w:val="24"/>
        </w:rPr>
        <w:t xml:space="preserve">Realizacja ewentualnych zaleceń i rekomendacji KE odnoszące się do </w:t>
      </w:r>
      <w:r w:rsidR="00477E8A" w:rsidRPr="006D71C7">
        <w:rPr>
          <w:b/>
          <w:bCs/>
          <w:i/>
          <w:szCs w:val="24"/>
        </w:rPr>
        <w:t>priorytetu</w:t>
      </w:r>
      <w:r w:rsidRPr="006D71C7">
        <w:rPr>
          <w:b/>
          <w:bCs/>
          <w:i/>
          <w:szCs w:val="24"/>
        </w:rPr>
        <w:t>:</w:t>
      </w:r>
    </w:p>
    <w:p w:rsidR="00DE2E63" w:rsidRPr="006D71C7" w:rsidRDefault="00DE2E63" w:rsidP="006D71C7">
      <w:pPr>
        <w:pStyle w:val="Akapitzlist"/>
        <w:numPr>
          <w:ilvl w:val="0"/>
          <w:numId w:val="6"/>
        </w:numPr>
        <w:spacing w:after="120"/>
        <w:jc w:val="both"/>
        <w:rPr>
          <w:bCs/>
          <w:szCs w:val="24"/>
        </w:rPr>
      </w:pPr>
      <w:r w:rsidRPr="006D71C7">
        <w:rPr>
          <w:spacing w:val="-4"/>
          <w:szCs w:val="24"/>
        </w:rPr>
        <w:t>analiza koncentruje s</w:t>
      </w:r>
      <w:r w:rsidR="00050132" w:rsidRPr="006D71C7">
        <w:rPr>
          <w:spacing w:val="-4"/>
          <w:szCs w:val="24"/>
        </w:rPr>
        <w:t xml:space="preserve">ię </w:t>
      </w:r>
      <w:r w:rsidR="00E93652" w:rsidRPr="006D71C7">
        <w:rPr>
          <w:spacing w:val="-4"/>
          <w:szCs w:val="24"/>
        </w:rPr>
        <w:t>wokół celu/celów p</w:t>
      </w:r>
      <w:r w:rsidR="00050132" w:rsidRPr="006D71C7">
        <w:rPr>
          <w:spacing w:val="-4"/>
          <w:szCs w:val="24"/>
        </w:rPr>
        <w:t>riorytetu V</w:t>
      </w:r>
      <w:r w:rsidRPr="006D71C7">
        <w:rPr>
          <w:spacing w:val="-4"/>
          <w:szCs w:val="24"/>
        </w:rPr>
        <w:t>,</w:t>
      </w:r>
    </w:p>
    <w:p w:rsidR="00E51322" w:rsidRPr="006D71C7" w:rsidRDefault="00E51322" w:rsidP="006D71C7">
      <w:pPr>
        <w:pStyle w:val="Akapitzlist"/>
        <w:numPr>
          <w:ilvl w:val="0"/>
          <w:numId w:val="6"/>
        </w:numPr>
        <w:spacing w:after="120"/>
        <w:jc w:val="both"/>
        <w:rPr>
          <w:bCs/>
          <w:szCs w:val="24"/>
        </w:rPr>
      </w:pPr>
      <w:r w:rsidRPr="006D71C7">
        <w:rPr>
          <w:spacing w:val="-4"/>
          <w:szCs w:val="24"/>
        </w:rPr>
        <w:t>zmiana prezentacji analizy wskaźnikowej.</w:t>
      </w:r>
    </w:p>
    <w:p w:rsidR="00DB0467" w:rsidRPr="006D71C7" w:rsidRDefault="00DB0467" w:rsidP="006D71C7">
      <w:pPr>
        <w:pStyle w:val="Akapitzlist"/>
        <w:spacing w:after="120"/>
        <w:jc w:val="both"/>
        <w:rPr>
          <w:bCs/>
          <w:szCs w:val="24"/>
        </w:rPr>
      </w:pPr>
    </w:p>
    <w:p w:rsidR="003127B1" w:rsidRPr="006D71C7" w:rsidRDefault="003127B1" w:rsidP="006D71C7">
      <w:pPr>
        <w:spacing w:before="120" w:after="120" w:line="360" w:lineRule="auto"/>
        <w:jc w:val="both"/>
        <w:rPr>
          <w:b/>
          <w:bCs/>
          <w:i/>
          <w:szCs w:val="24"/>
        </w:rPr>
      </w:pPr>
      <w:r w:rsidRPr="006D71C7">
        <w:rPr>
          <w:b/>
          <w:bCs/>
          <w:i/>
          <w:szCs w:val="24"/>
        </w:rPr>
        <w:t>Rekomendacje IZ odnośnie do dalszego przebiegu realizacji priorytetu:</w:t>
      </w:r>
    </w:p>
    <w:p w:rsidR="00245F70" w:rsidRPr="006D71C7" w:rsidRDefault="003127B1" w:rsidP="006D71C7">
      <w:pPr>
        <w:pStyle w:val="Akapitzlist"/>
        <w:spacing w:before="120" w:after="240"/>
        <w:ind w:left="0"/>
        <w:jc w:val="both"/>
        <w:rPr>
          <w:rFonts w:eastAsia="Calibri"/>
          <w:i/>
          <w:szCs w:val="24"/>
        </w:rPr>
      </w:pPr>
      <w:r w:rsidRPr="006D71C7">
        <w:rPr>
          <w:rFonts w:eastAsia="Calibri"/>
          <w:szCs w:val="24"/>
        </w:rPr>
        <w:t xml:space="preserve">IZ RPO WSL na bieżąco monitoruje postęp wdrażania priorytetu V zarówno w zakresie postępu finansowego jak i rzeczowego. Biorąc pod uwagę projekty wybrane do dofinansowania, IZ RPO WSL uznaje że przekazane wsparcie w pełni realizuje cele, jakie zostały założone na etapie programowania uwzględniając wyniki diagnozy społeczno-gospodarczej ujętej w </w:t>
      </w:r>
      <w:r w:rsidRPr="006D71C7">
        <w:rPr>
          <w:rFonts w:eastAsia="Calibri"/>
          <w:i/>
          <w:szCs w:val="24"/>
        </w:rPr>
        <w:t>Programie.</w:t>
      </w:r>
      <w:r w:rsidR="00AF1772" w:rsidRPr="006D71C7">
        <w:rPr>
          <w:rFonts w:eastAsia="Calibri"/>
          <w:szCs w:val="24"/>
        </w:rPr>
        <w:t xml:space="preserve"> W kolejnym okresie sprawozdawczym IZ RPO WSL</w:t>
      </w:r>
      <w:r w:rsidR="00AF1772" w:rsidRPr="006D71C7">
        <w:rPr>
          <w:rFonts w:eastAsia="Calibri"/>
          <w:i/>
          <w:szCs w:val="24"/>
        </w:rPr>
        <w:t xml:space="preserve"> </w:t>
      </w:r>
      <w:r w:rsidR="00AF1772" w:rsidRPr="006D71C7">
        <w:rPr>
          <w:rFonts w:eastAsia="Calibri"/>
          <w:szCs w:val="24"/>
        </w:rPr>
        <w:t>na bieżąco będzie monitorować postęp rzeczowy i finansowy priorytetu w celu sprawnego i efektywnego wdrażania,</w:t>
      </w:r>
      <w:r w:rsidR="00BE0BFE" w:rsidRPr="006D71C7">
        <w:rPr>
          <w:rFonts w:eastAsia="Calibri"/>
          <w:szCs w:val="24"/>
        </w:rPr>
        <w:t xml:space="preserve"> ponadto</w:t>
      </w:r>
      <w:r w:rsidR="00AF1772" w:rsidRPr="006D71C7">
        <w:rPr>
          <w:rFonts w:eastAsia="Calibri"/>
          <w:szCs w:val="24"/>
        </w:rPr>
        <w:t xml:space="preserve"> na bieżąco będzie kontaktować się z beneficjentami.</w:t>
      </w:r>
    </w:p>
    <w:p w:rsidR="003127B1" w:rsidRPr="006D71C7" w:rsidRDefault="003127B1" w:rsidP="006D71C7">
      <w:pPr>
        <w:spacing w:before="120" w:after="240"/>
        <w:jc w:val="both"/>
        <w:rPr>
          <w:rFonts w:eastAsia="Calibri"/>
          <w:b/>
          <w:i/>
          <w:szCs w:val="24"/>
        </w:rPr>
      </w:pPr>
      <w:r w:rsidRPr="006D71C7">
        <w:rPr>
          <w:rFonts w:eastAsia="Calibri"/>
          <w:b/>
          <w:i/>
          <w:szCs w:val="24"/>
        </w:rPr>
        <w:t xml:space="preserve">Analiza </w:t>
      </w:r>
      <w:r w:rsidR="00EA024E" w:rsidRPr="006D71C7">
        <w:rPr>
          <w:rFonts w:eastAsia="Calibri"/>
          <w:b/>
          <w:i/>
          <w:szCs w:val="24"/>
        </w:rPr>
        <w:t>jakościowa</w:t>
      </w:r>
    </w:p>
    <w:p w:rsidR="009E543B" w:rsidRPr="006D71C7" w:rsidRDefault="009E543B" w:rsidP="006D71C7">
      <w:pPr>
        <w:autoSpaceDE w:val="0"/>
        <w:autoSpaceDN w:val="0"/>
        <w:adjustRightInd w:val="0"/>
        <w:jc w:val="both"/>
        <w:rPr>
          <w:szCs w:val="24"/>
        </w:rPr>
      </w:pPr>
      <w:r w:rsidRPr="006D71C7">
        <w:rPr>
          <w:szCs w:val="24"/>
        </w:rPr>
        <w:t>Stan środowiska naturalnego w województwie śląskim ulega sukcesywnej poprawie. Działania proekologiczne o charakterze inwestycyjnym i pozainwestycyjnym podejmowane przez organy samorządu terytorialnego wszystkich szczebli, organy administracji rządowej oraz podmioty gospodarcze zobowiązane do usuwania skutków negatywnego oddziaływania na środowisko doprowadziły w ostatnich latach do widocznej poprawy stanu środowiska naturalnego. Wysoki stopień koncentracji przemysłu i urbanizacji spowodował trwałe przeobrażenia tego obszaru. Poprawa jakości środowiska przyrodniczego uwzględnia m.in.: zmniejszenie ilości zanieczyszczeń odprowadzanych do wód i gruntów, budowę systemu oczyszczalni ścieków, ograniczanie zanieczyszczeń powierzchniowych gruntów, działania z</w:t>
      </w:r>
      <w:r w:rsidR="00573CC8" w:rsidRPr="006D71C7">
        <w:rPr>
          <w:szCs w:val="24"/>
        </w:rPr>
        <w:t> </w:t>
      </w:r>
      <w:r w:rsidRPr="006D71C7">
        <w:rPr>
          <w:szCs w:val="24"/>
        </w:rPr>
        <w:t>zakresu ochrony powietrza, ograniczenia emisji CO2 oraz eliminacji pyłów zawieszonych. Zwiększeniu atrakcyjności terenu województwa sprzyja zmniejszeni</w:t>
      </w:r>
      <w:r w:rsidR="009C07AD" w:rsidRPr="006D71C7">
        <w:rPr>
          <w:szCs w:val="24"/>
        </w:rPr>
        <w:t>u</w:t>
      </w:r>
      <w:r w:rsidRPr="006D71C7">
        <w:rPr>
          <w:szCs w:val="24"/>
        </w:rPr>
        <w:t xml:space="preserve"> zanieczyszczenia powietrza oraz ochron</w:t>
      </w:r>
      <w:r w:rsidR="009C07AD" w:rsidRPr="006D71C7">
        <w:rPr>
          <w:szCs w:val="24"/>
        </w:rPr>
        <w:t>ie</w:t>
      </w:r>
      <w:r w:rsidRPr="006D71C7">
        <w:rPr>
          <w:szCs w:val="24"/>
        </w:rPr>
        <w:t xml:space="preserve"> zasobów leśnych. </w:t>
      </w:r>
      <w:r w:rsidR="008A4A6F" w:rsidRPr="006D71C7">
        <w:rPr>
          <w:rFonts w:eastAsia="Calibri"/>
          <w:szCs w:val="24"/>
        </w:rPr>
        <w:t xml:space="preserve">Uwzględniając powyższe IZ RPO WSL zdecydowała o wsparciu ww. obszarów interwencją EFRR, dlatego </w:t>
      </w:r>
      <w:r w:rsidR="00D34BA4" w:rsidRPr="006D71C7">
        <w:rPr>
          <w:rFonts w:eastAsia="Calibri"/>
          <w:szCs w:val="24"/>
        </w:rPr>
        <w:t xml:space="preserve">głównym celem </w:t>
      </w:r>
      <w:r w:rsidR="008A4A6F" w:rsidRPr="006D71C7">
        <w:rPr>
          <w:rFonts w:eastAsia="Calibri"/>
          <w:szCs w:val="24"/>
        </w:rPr>
        <w:t>priorytetu</w:t>
      </w:r>
      <w:r w:rsidR="00D34BA4" w:rsidRPr="006D71C7">
        <w:rPr>
          <w:rFonts w:eastAsia="Calibri"/>
          <w:szCs w:val="24"/>
        </w:rPr>
        <w:t xml:space="preserve"> jest </w:t>
      </w:r>
      <w:r w:rsidR="00D34BA4" w:rsidRPr="006D71C7">
        <w:rPr>
          <w:rFonts w:eastAsia="Calibri"/>
          <w:i/>
          <w:szCs w:val="24"/>
        </w:rPr>
        <w:t xml:space="preserve">ochrona oraz poprawa jakości środowiska, </w:t>
      </w:r>
      <w:r w:rsidRPr="006D71C7">
        <w:rPr>
          <w:szCs w:val="24"/>
        </w:rPr>
        <w:t>w</w:t>
      </w:r>
      <w:r w:rsidR="00F126A1" w:rsidRPr="006D71C7">
        <w:rPr>
          <w:szCs w:val="24"/>
        </w:rPr>
        <w:t> </w:t>
      </w:r>
      <w:r w:rsidRPr="006D71C7">
        <w:rPr>
          <w:szCs w:val="24"/>
        </w:rPr>
        <w:t>ramach którego można realizować projekty</w:t>
      </w:r>
      <w:r w:rsidR="00F126A1" w:rsidRPr="006D71C7">
        <w:rPr>
          <w:szCs w:val="24"/>
        </w:rPr>
        <w:t xml:space="preserve"> m.in. w zakresie rozwoju infrastruktury wodno – ściekowej, gospodarki odpadami czy poprawy jakości powietrza. </w:t>
      </w:r>
      <w:r w:rsidR="00BE0BFE" w:rsidRPr="006D71C7">
        <w:rPr>
          <w:szCs w:val="24"/>
        </w:rPr>
        <w:t>R</w:t>
      </w:r>
      <w:r w:rsidR="00F126A1" w:rsidRPr="006D71C7">
        <w:rPr>
          <w:szCs w:val="24"/>
        </w:rPr>
        <w:t>ealizacja tego celu umożliwi</w:t>
      </w:r>
      <w:r w:rsidR="009C07AD" w:rsidRPr="006D71C7">
        <w:rPr>
          <w:szCs w:val="24"/>
        </w:rPr>
        <w:t>a</w:t>
      </w:r>
      <w:r w:rsidR="00F126A1" w:rsidRPr="006D71C7">
        <w:rPr>
          <w:szCs w:val="24"/>
        </w:rPr>
        <w:t xml:space="preserve"> wzrost jakości życia mieszkańców i zabezpiecz</w:t>
      </w:r>
      <w:r w:rsidR="009C07AD" w:rsidRPr="006D71C7">
        <w:rPr>
          <w:szCs w:val="24"/>
        </w:rPr>
        <w:t>a</w:t>
      </w:r>
      <w:r w:rsidR="00F126A1" w:rsidRPr="006D71C7">
        <w:rPr>
          <w:szCs w:val="24"/>
        </w:rPr>
        <w:t xml:space="preserve"> możliwości rozwojowe przyszłych pokoleń</w:t>
      </w:r>
      <w:r w:rsidR="009C07AD" w:rsidRPr="006D71C7">
        <w:rPr>
          <w:sz w:val="20"/>
          <w:szCs w:val="20"/>
        </w:rPr>
        <w:t xml:space="preserve">, </w:t>
      </w:r>
      <w:r w:rsidR="009C07AD" w:rsidRPr="006D71C7">
        <w:rPr>
          <w:szCs w:val="24"/>
        </w:rPr>
        <w:t>p</w:t>
      </w:r>
      <w:r w:rsidR="00F126A1" w:rsidRPr="006D71C7">
        <w:rPr>
          <w:szCs w:val="24"/>
        </w:rPr>
        <w:t>oprawi</w:t>
      </w:r>
      <w:r w:rsidR="009C07AD" w:rsidRPr="006D71C7">
        <w:rPr>
          <w:szCs w:val="24"/>
        </w:rPr>
        <w:t>ając</w:t>
      </w:r>
      <w:r w:rsidR="00F126A1" w:rsidRPr="006D71C7">
        <w:rPr>
          <w:szCs w:val="24"/>
        </w:rPr>
        <w:t xml:space="preserve"> również wizerunek województwa, które cały czas postrzegane jest jako region silnie zanieczyszczony i zdegradowany.</w:t>
      </w:r>
      <w:r w:rsidR="002A63F7" w:rsidRPr="006D71C7">
        <w:rPr>
          <w:szCs w:val="24"/>
        </w:rPr>
        <w:t xml:space="preserve"> W ramach przedmiotowego priorytetu </w:t>
      </w:r>
      <w:r w:rsidR="00986AB5" w:rsidRPr="006D71C7">
        <w:rPr>
          <w:szCs w:val="24"/>
        </w:rPr>
        <w:t>największym zainteresowaniem beneficjentów cieszą się</w:t>
      </w:r>
      <w:r w:rsidR="002A63F7" w:rsidRPr="006D71C7">
        <w:rPr>
          <w:szCs w:val="24"/>
        </w:rPr>
        <w:t xml:space="preserve"> projek</w:t>
      </w:r>
      <w:r w:rsidR="00986AB5" w:rsidRPr="006D71C7">
        <w:rPr>
          <w:szCs w:val="24"/>
        </w:rPr>
        <w:t xml:space="preserve">ty dot. termomodernizacji obiektu </w:t>
      </w:r>
      <w:r w:rsidR="009C07AD" w:rsidRPr="006D71C7">
        <w:rPr>
          <w:szCs w:val="24"/>
        </w:rPr>
        <w:t>(</w:t>
      </w:r>
      <w:r w:rsidR="00986AB5" w:rsidRPr="006D71C7">
        <w:rPr>
          <w:szCs w:val="24"/>
        </w:rPr>
        <w:t>ok. 38%</w:t>
      </w:r>
      <w:r w:rsidR="00D34BA4" w:rsidRPr="006D71C7">
        <w:rPr>
          <w:szCs w:val="24"/>
        </w:rPr>
        <w:t xml:space="preserve"> realizowanych projektów</w:t>
      </w:r>
      <w:r w:rsidR="009C07AD" w:rsidRPr="006D71C7">
        <w:rPr>
          <w:szCs w:val="24"/>
        </w:rPr>
        <w:t>)</w:t>
      </w:r>
      <w:r w:rsidR="00986AB5" w:rsidRPr="006D71C7">
        <w:rPr>
          <w:szCs w:val="24"/>
        </w:rPr>
        <w:t>.</w:t>
      </w:r>
      <w:r w:rsidR="002A63F7" w:rsidRPr="006D71C7">
        <w:rPr>
          <w:szCs w:val="24"/>
        </w:rPr>
        <w:t xml:space="preserve"> </w:t>
      </w:r>
      <w:r w:rsidR="00986AB5" w:rsidRPr="006D71C7">
        <w:rPr>
          <w:szCs w:val="24"/>
        </w:rPr>
        <w:t>Ponadto dużym zainteresowaniem cieszą się projekty z zakresu gospodarki wodno - ściekowej i odpadami</w:t>
      </w:r>
      <w:r w:rsidR="00420C6A" w:rsidRPr="006D71C7">
        <w:rPr>
          <w:szCs w:val="24"/>
        </w:rPr>
        <w:t xml:space="preserve"> (ok. 25%)</w:t>
      </w:r>
      <w:r w:rsidR="00986AB5" w:rsidRPr="006D71C7">
        <w:rPr>
          <w:szCs w:val="24"/>
        </w:rPr>
        <w:t>, szczególnie na</w:t>
      </w:r>
      <w:r w:rsidR="00420C6A" w:rsidRPr="006D71C7">
        <w:rPr>
          <w:szCs w:val="24"/>
        </w:rPr>
        <w:t xml:space="preserve"> obszarach</w:t>
      </w:r>
      <w:r w:rsidR="00986AB5" w:rsidRPr="006D71C7">
        <w:rPr>
          <w:szCs w:val="24"/>
        </w:rPr>
        <w:t xml:space="preserve"> wiejskich, gdyż tam zauważalne są jeszcze znaczne braki</w:t>
      </w:r>
      <w:r w:rsidR="00D34BA4" w:rsidRPr="006D71C7">
        <w:rPr>
          <w:szCs w:val="24"/>
        </w:rPr>
        <w:t xml:space="preserve"> w tym zakresie</w:t>
      </w:r>
      <w:r w:rsidR="00986AB5" w:rsidRPr="006D71C7">
        <w:rPr>
          <w:szCs w:val="24"/>
        </w:rPr>
        <w:t>.</w:t>
      </w:r>
      <w:r w:rsidR="004218CA">
        <w:rPr>
          <w:szCs w:val="24"/>
        </w:rPr>
        <w:t xml:space="preserve"> Powyższe projekty są </w:t>
      </w:r>
      <w:r w:rsidR="00EA024E" w:rsidRPr="006D71C7">
        <w:rPr>
          <w:szCs w:val="24"/>
        </w:rPr>
        <w:t xml:space="preserve">odpowiedzią na zdefiniowane słabe strony województwa tzn. nagromadzenie znacznych ilości odpadów przemysłowych i komunalnych, nadmierne zanieczyszczenie wód. Dzięki  realizacji projektów 2 000 </w:t>
      </w:r>
      <w:r w:rsidR="00AD7866" w:rsidRPr="006D71C7">
        <w:rPr>
          <w:bCs/>
          <w:iCs/>
          <w:szCs w:val="24"/>
        </w:rPr>
        <w:t>gospodarstw domowych</w:t>
      </w:r>
      <w:r w:rsidR="00EA024E" w:rsidRPr="006D71C7">
        <w:rPr>
          <w:bCs/>
          <w:iCs/>
          <w:szCs w:val="24"/>
        </w:rPr>
        <w:t xml:space="preserve"> zostało</w:t>
      </w:r>
      <w:r w:rsidR="00AD7866" w:rsidRPr="006D71C7">
        <w:rPr>
          <w:bCs/>
          <w:iCs/>
          <w:szCs w:val="24"/>
        </w:rPr>
        <w:t xml:space="preserve"> objętych selektywną zbiórką odpadów</w:t>
      </w:r>
      <w:r w:rsidR="00EA024E" w:rsidRPr="006D71C7">
        <w:rPr>
          <w:bCs/>
          <w:iCs/>
          <w:szCs w:val="24"/>
        </w:rPr>
        <w:t xml:space="preserve"> oraz 142 </w:t>
      </w:r>
      <w:r w:rsidR="00AD7866" w:rsidRPr="006D71C7">
        <w:rPr>
          <w:bCs/>
          <w:iCs/>
          <w:szCs w:val="24"/>
        </w:rPr>
        <w:t>gospodarstw</w:t>
      </w:r>
      <w:r w:rsidR="00EA024E" w:rsidRPr="006D71C7">
        <w:rPr>
          <w:bCs/>
          <w:iCs/>
          <w:szCs w:val="24"/>
        </w:rPr>
        <w:t xml:space="preserve">a domowe podłączono do nowego wodociągu. </w:t>
      </w:r>
      <w:r w:rsidR="00757004" w:rsidRPr="006D71C7">
        <w:rPr>
          <w:szCs w:val="24"/>
        </w:rPr>
        <w:t xml:space="preserve">Do końca okresu sprawozdawczego </w:t>
      </w:r>
      <w:r w:rsidR="00F20A51" w:rsidRPr="006D71C7">
        <w:rPr>
          <w:szCs w:val="24"/>
        </w:rPr>
        <w:t xml:space="preserve">beneficjenci nie byli zainteresowani realizacją projektów dot. budowy infrastruktury, służącej do produkcji i przesyłu energii pochodzącej ze źródeł odnawialnych – energia z biomasy. </w:t>
      </w:r>
      <w:r w:rsidR="009C07AD" w:rsidRPr="006D71C7">
        <w:rPr>
          <w:szCs w:val="24"/>
        </w:rPr>
        <w:t>Z</w:t>
      </w:r>
      <w:r w:rsidR="00F20A51" w:rsidRPr="006D71C7">
        <w:rPr>
          <w:szCs w:val="24"/>
        </w:rPr>
        <w:t>nikome zainteresowanie beneficjen</w:t>
      </w:r>
      <w:r w:rsidR="004218CA">
        <w:rPr>
          <w:szCs w:val="24"/>
        </w:rPr>
        <w:t>ci przejawiali w </w:t>
      </w:r>
      <w:r w:rsidR="00731FBC" w:rsidRPr="006D71C7">
        <w:rPr>
          <w:szCs w:val="24"/>
        </w:rPr>
        <w:t xml:space="preserve">zakresie </w:t>
      </w:r>
      <w:r w:rsidR="00F20A51" w:rsidRPr="006D71C7">
        <w:rPr>
          <w:szCs w:val="24"/>
        </w:rPr>
        <w:t>realizacj</w:t>
      </w:r>
      <w:r w:rsidR="00731FBC" w:rsidRPr="006D71C7">
        <w:rPr>
          <w:szCs w:val="24"/>
        </w:rPr>
        <w:t>i</w:t>
      </w:r>
      <w:r w:rsidR="00F20A51" w:rsidRPr="006D71C7">
        <w:rPr>
          <w:szCs w:val="24"/>
        </w:rPr>
        <w:t xml:space="preserve"> projektów dot.</w:t>
      </w:r>
      <w:r w:rsidR="00731FBC" w:rsidRPr="006D71C7">
        <w:rPr>
          <w:szCs w:val="24"/>
        </w:rPr>
        <w:t> </w:t>
      </w:r>
      <w:r w:rsidR="00F20A51" w:rsidRPr="006D71C7">
        <w:rPr>
          <w:szCs w:val="24"/>
        </w:rPr>
        <w:t>budowy infrastruktury służącej do produkcji i przesyłu energii pochodzącej ze</w:t>
      </w:r>
      <w:r w:rsidR="00573CC8" w:rsidRPr="006D71C7">
        <w:rPr>
          <w:szCs w:val="24"/>
        </w:rPr>
        <w:t> </w:t>
      </w:r>
      <w:r w:rsidR="00F20A51" w:rsidRPr="006D71C7">
        <w:rPr>
          <w:szCs w:val="24"/>
        </w:rPr>
        <w:t>źródeł odnawialnych – energia słoneczna</w:t>
      </w:r>
      <w:r w:rsidR="00731FBC" w:rsidRPr="006D71C7">
        <w:rPr>
          <w:szCs w:val="24"/>
        </w:rPr>
        <w:t xml:space="preserve"> (3 projekty) oraz budową infrastruktury, służącej do</w:t>
      </w:r>
      <w:r w:rsidR="009053E6" w:rsidRPr="006D71C7">
        <w:rPr>
          <w:szCs w:val="24"/>
        </w:rPr>
        <w:t> </w:t>
      </w:r>
      <w:r w:rsidR="00731FBC" w:rsidRPr="006D71C7">
        <w:rPr>
          <w:szCs w:val="24"/>
        </w:rPr>
        <w:t>produkcji i przesyłu energii pochodzącej ze źródeł odnawialnych – pozostałe (1</w:t>
      </w:r>
      <w:r w:rsidR="009C07AD" w:rsidRPr="006D71C7">
        <w:rPr>
          <w:szCs w:val="24"/>
        </w:rPr>
        <w:t xml:space="preserve"> </w:t>
      </w:r>
      <w:r w:rsidR="00731FBC" w:rsidRPr="006D71C7">
        <w:rPr>
          <w:szCs w:val="24"/>
        </w:rPr>
        <w:t>projekt).</w:t>
      </w:r>
    </w:p>
    <w:p w:rsidR="00AD7866" w:rsidRDefault="00EA024E" w:rsidP="006D71C7">
      <w:pPr>
        <w:jc w:val="both"/>
        <w:rPr>
          <w:szCs w:val="24"/>
        </w:rPr>
      </w:pPr>
      <w:r w:rsidRPr="006D71C7">
        <w:rPr>
          <w:szCs w:val="24"/>
        </w:rPr>
        <w:t xml:space="preserve">Troska o dziedzictwo przyrodnicze wymaga aktywności na rzecz zachowania i wzbogacenia </w:t>
      </w:r>
      <w:r w:rsidR="00AD7866" w:rsidRPr="006D71C7">
        <w:rPr>
          <w:szCs w:val="24"/>
        </w:rPr>
        <w:t xml:space="preserve">istniejących oraz odtwarzania zanikłych elementów różnorodności biologicznej. </w:t>
      </w:r>
      <w:bookmarkStart w:id="489" w:name="_Toc262031945"/>
      <w:bookmarkStart w:id="490" w:name="_Toc292789301"/>
      <w:bookmarkStart w:id="491" w:name="_Toc292793598"/>
      <w:r w:rsidR="00AD7866" w:rsidRPr="006D71C7">
        <w:rPr>
          <w:szCs w:val="24"/>
        </w:rPr>
        <w:t xml:space="preserve">W październiku 2011 r. w Podlesicach podczas Jurajskich Regionaliów zainaugurowano działalność Centrum Dziedzictwa Przyrodniczego i Kulturowego Jury. Jego budowa jest efektem projektu </w:t>
      </w:r>
      <w:r w:rsidR="00AD7866" w:rsidRPr="006D71C7">
        <w:rPr>
          <w:b/>
          <w:i/>
          <w:szCs w:val="24"/>
        </w:rPr>
        <w:t>Centrum Dziedzictwa Przyrodniczego i Kulturowego Jury w Podlesicach - rozbudowa kompleksu edukacyjnego</w:t>
      </w:r>
      <w:r w:rsidR="00AD7866" w:rsidRPr="006D71C7">
        <w:rPr>
          <w:szCs w:val="24"/>
        </w:rPr>
        <w:t xml:space="preserve"> zrealizowanego w ramach RPO WSL związanego z rozbudową podlesickiego kompleksu edukacyjnego. Powstały obiekt wraz z wyposażeniem i ekspozycjami, z własną stacją transformatorową i studnią głębinową, jest jednym z wielu zadań zrealizowanego projektu. Ponadto złożyły się na niego m.in. kontynuacja prac zabezpieczających Jaskinię Głęboką, wydanie publikacji, rozbudowa oferty edukacyjnej, prowadzenie czynnych zabiegów ochrony przyrody. Dzięki dofinansowaniu udało się wzbogacić publiczną przestrzeń o ośrodek stanowiący zaplecze logistyczne dla działań na rzecz ochrony bioróżnorodności i krajobrazu Jury, prowadzonych przez Towarzystwo Miłośników Ziemi Zawierciańskiej z licznymi partnerami, pod nadzorem merytorycznym naukowców z Wydziału Nauk o Ziemi Uniwersytetu Śląskiego oraz Regionalnej Dyrekcji Ochrony Środowiska w Katowicach. Obiekt harmonizuje z otaczającą go przyrodą – do jego budowy i wykończenia wykorzystano kamień wapienny, cegłę i drewniane elementy. Ośrodek będzie pełnił funkcje: edukacyjną, naukową, dokumentacyjna, wystawienniczą, wydawniczą. Ma stać się miejscem, w którym eksponowane będą efekty prowadzonych w</w:t>
      </w:r>
      <w:r w:rsidR="00573CC8" w:rsidRPr="006D71C7">
        <w:rPr>
          <w:szCs w:val="24"/>
        </w:rPr>
        <w:t> </w:t>
      </w:r>
      <w:r w:rsidR="00AD7866" w:rsidRPr="006D71C7">
        <w:rPr>
          <w:szCs w:val="24"/>
        </w:rPr>
        <w:t>tym regionie badań geologicznych, paleontologicznych czy archeologicznych. Znajdujące się w nim wystawy, interaktywne ekspozycje oraz mul</w:t>
      </w:r>
      <w:r w:rsidR="004218CA">
        <w:rPr>
          <w:szCs w:val="24"/>
        </w:rPr>
        <w:t>timedialna sala konferencyjna z </w:t>
      </w:r>
      <w:r w:rsidR="00AD7866" w:rsidRPr="006D71C7">
        <w:rPr>
          <w:szCs w:val="24"/>
        </w:rPr>
        <w:t>pewnością sprostają oczekiwaniom szkolnej młodzieży i turystów. W skład kompleksu edukacyjnego wchodzą ponadto: Zagroda Edukacyjna, ścieżka dydaktyczna, Jaskinia Głęboka.</w:t>
      </w:r>
    </w:p>
    <w:p w:rsidR="0060162D" w:rsidRPr="0060162D" w:rsidRDefault="0060162D" w:rsidP="006D71C7">
      <w:pPr>
        <w:jc w:val="both"/>
        <w:rPr>
          <w:b/>
          <w:i/>
          <w:szCs w:val="24"/>
        </w:rPr>
      </w:pPr>
      <w:r>
        <w:rPr>
          <w:szCs w:val="24"/>
        </w:rPr>
        <w:t xml:space="preserve">W ramach przedmiotowego obszaru tj. kultura na terenie województwa śląskiego realizowane są także projekty w ramach jednego krajowego programu operacyjnego. Szczegółowe informacje zostały przedstawione w pkt. 2.1.6.2 niniejszego </w:t>
      </w:r>
      <w:r w:rsidRPr="0060162D">
        <w:rPr>
          <w:i/>
          <w:szCs w:val="24"/>
        </w:rPr>
        <w:t>Sprawozdania</w:t>
      </w:r>
      <w:r>
        <w:rPr>
          <w:i/>
          <w:szCs w:val="24"/>
        </w:rPr>
        <w:t>.</w:t>
      </w:r>
    </w:p>
    <w:p w:rsidR="0005410E" w:rsidRPr="006D71C7" w:rsidRDefault="007338BD" w:rsidP="006D71C7">
      <w:pPr>
        <w:autoSpaceDE w:val="0"/>
        <w:autoSpaceDN w:val="0"/>
        <w:adjustRightInd w:val="0"/>
        <w:jc w:val="both"/>
        <w:rPr>
          <w:b/>
          <w:bCs/>
          <w:szCs w:val="24"/>
        </w:rPr>
      </w:pPr>
      <w:r w:rsidRPr="006D71C7">
        <w:rPr>
          <w:b/>
          <w:bCs/>
          <w:szCs w:val="24"/>
        </w:rPr>
        <w:t>3.5.2 Opis istotnych problemów we wdrażaniu wraz z podjętymi środkami zaradczymi</w:t>
      </w:r>
      <w:bookmarkEnd w:id="489"/>
      <w:bookmarkEnd w:id="490"/>
      <w:bookmarkEnd w:id="491"/>
    </w:p>
    <w:p w:rsidR="00E300DF" w:rsidRPr="006D71C7" w:rsidRDefault="00411B02" w:rsidP="006D71C7">
      <w:pPr>
        <w:widowControl w:val="0"/>
        <w:autoSpaceDE w:val="0"/>
        <w:autoSpaceDN w:val="0"/>
        <w:adjustRightInd w:val="0"/>
        <w:spacing w:after="240"/>
        <w:ind w:right="-23"/>
        <w:jc w:val="both"/>
        <w:rPr>
          <w:bCs/>
          <w:szCs w:val="24"/>
        </w:rPr>
      </w:pPr>
      <w:r w:rsidRPr="006D71C7">
        <w:rPr>
          <w:bCs/>
          <w:szCs w:val="28"/>
        </w:rPr>
        <w:t>W okresie sprawozdawczym nie pojawiły się problemy z wdrażaniem przedmiotowego</w:t>
      </w:r>
      <w:r w:rsidR="00050132" w:rsidRPr="006D71C7">
        <w:rPr>
          <w:bCs/>
          <w:szCs w:val="24"/>
        </w:rPr>
        <w:t xml:space="preserve"> priorytetu RPO WSL.</w:t>
      </w:r>
    </w:p>
    <w:p w:rsidR="00E22D59" w:rsidRPr="006D71C7" w:rsidRDefault="00EA024E" w:rsidP="00BA2FE7">
      <w:pPr>
        <w:pStyle w:val="Nagwek1"/>
        <w:numPr>
          <w:ilvl w:val="1"/>
          <w:numId w:val="63"/>
        </w:numPr>
        <w:pBdr>
          <w:top w:val="single" w:sz="24" w:space="1" w:color="EE8C69" w:themeColor="accent1" w:themeTint="99"/>
          <w:left w:val="single" w:sz="24" w:space="4" w:color="EE8C69" w:themeColor="accent1" w:themeTint="99"/>
          <w:bottom w:val="single" w:sz="24" w:space="1" w:color="EE8C69" w:themeColor="accent1" w:themeTint="99"/>
          <w:right w:val="single" w:sz="24" w:space="4" w:color="EE8C69" w:themeColor="accent1" w:themeTint="99"/>
        </w:pBdr>
        <w:tabs>
          <w:tab w:val="left" w:pos="1418"/>
        </w:tabs>
        <w:spacing w:before="240" w:after="120"/>
        <w:jc w:val="both"/>
        <w:rPr>
          <w:bCs w:val="0"/>
          <w:szCs w:val="24"/>
        </w:rPr>
      </w:pPr>
      <w:bookmarkStart w:id="492" w:name="_Toc262031946"/>
      <w:bookmarkStart w:id="493" w:name="_Toc292789302"/>
      <w:bookmarkStart w:id="494" w:name="_Toc292793599"/>
      <w:bookmarkStart w:id="495" w:name="_Toc327259273"/>
      <w:r w:rsidRPr="006D71C7">
        <w:rPr>
          <w:bCs w:val="0"/>
          <w:szCs w:val="24"/>
        </w:rPr>
        <w:t xml:space="preserve">PRIORYTET </w:t>
      </w:r>
      <w:r w:rsidR="0005410E" w:rsidRPr="006D71C7">
        <w:rPr>
          <w:bCs w:val="0"/>
          <w:szCs w:val="24"/>
        </w:rPr>
        <w:t xml:space="preserve">VI – </w:t>
      </w:r>
      <w:bookmarkStart w:id="496" w:name="_Toc262031370"/>
      <w:bookmarkEnd w:id="492"/>
      <w:bookmarkEnd w:id="493"/>
      <w:bookmarkEnd w:id="494"/>
      <w:r w:rsidRPr="006D71C7">
        <w:rPr>
          <w:bCs w:val="0"/>
          <w:szCs w:val="24"/>
        </w:rPr>
        <w:t>ZRÓWNOWAŻONY ROZWÓJ MIAST</w:t>
      </w:r>
      <w:bookmarkEnd w:id="495"/>
    </w:p>
    <w:p w:rsidR="004A2760" w:rsidRPr="006D71C7" w:rsidRDefault="004A2760" w:rsidP="00BA2FE7">
      <w:pPr>
        <w:pStyle w:val="Nagwek1"/>
        <w:numPr>
          <w:ilvl w:val="2"/>
          <w:numId w:val="63"/>
        </w:numPr>
        <w:tabs>
          <w:tab w:val="left" w:pos="1418"/>
        </w:tabs>
        <w:spacing w:before="240" w:after="120"/>
        <w:ind w:left="1134" w:hanging="283"/>
        <w:jc w:val="both"/>
      </w:pPr>
      <w:bookmarkStart w:id="497" w:name="_Toc292793600"/>
      <w:bookmarkStart w:id="498" w:name="_Toc324853922"/>
      <w:bookmarkStart w:id="499" w:name="_Toc327259274"/>
      <w:r w:rsidRPr="006D71C7">
        <w:t>Osiągnięcie celów i analiza postępów</w:t>
      </w:r>
      <w:bookmarkEnd w:id="497"/>
      <w:bookmarkEnd w:id="498"/>
      <w:bookmarkEnd w:id="499"/>
    </w:p>
    <w:p w:rsidR="00E22D59" w:rsidRPr="006D71C7" w:rsidRDefault="00E22D59" w:rsidP="00BA2FE7">
      <w:pPr>
        <w:pStyle w:val="Nagwek1"/>
        <w:numPr>
          <w:ilvl w:val="3"/>
          <w:numId w:val="63"/>
        </w:numPr>
        <w:tabs>
          <w:tab w:val="left" w:pos="1418"/>
        </w:tabs>
        <w:spacing w:before="240" w:after="120"/>
        <w:jc w:val="both"/>
      </w:pPr>
      <w:bookmarkStart w:id="500" w:name="_Toc324853923"/>
      <w:bookmarkStart w:id="501" w:name="_Toc327259275"/>
      <w:r w:rsidRPr="006D71C7">
        <w:t>Informacje na temat fizycznych i finansowych postępów priorytetu</w:t>
      </w:r>
      <w:bookmarkEnd w:id="500"/>
      <w:bookmarkEnd w:id="501"/>
    </w:p>
    <w:p w:rsidR="00C43B75" w:rsidRDefault="00AD7866" w:rsidP="00C43B75">
      <w:pPr>
        <w:pStyle w:val="Nagwek2"/>
        <w:numPr>
          <w:ilvl w:val="0"/>
          <w:numId w:val="0"/>
        </w:numPr>
        <w:spacing w:before="0" w:beforeAutospacing="0" w:after="120" w:afterAutospacing="0" w:line="276" w:lineRule="auto"/>
        <w:jc w:val="both"/>
      </w:pPr>
      <w:bookmarkStart w:id="502" w:name="_Toc324786867"/>
      <w:bookmarkStart w:id="503" w:name="_Toc324853924"/>
      <w:bookmarkStart w:id="504" w:name="_Toc327259276"/>
      <w:r w:rsidRPr="006D71C7">
        <w:rPr>
          <w:b w:val="0"/>
          <w:sz w:val="24"/>
          <w:szCs w:val="24"/>
        </w:rPr>
        <w:t>W załącznik</w:t>
      </w:r>
      <w:r w:rsidR="00D57B8C"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dla priorytetu VI, dla kolejnych lat w ujęciu kumulatywnym. Przedstawione informacje prezentowane według stanu na koniec 2011 roku oparte </w:t>
      </w:r>
      <w:r w:rsidR="00372B6A" w:rsidRPr="006D71C7">
        <w:rPr>
          <w:b w:val="0"/>
          <w:sz w:val="24"/>
          <w:szCs w:val="24"/>
        </w:rPr>
        <w:t xml:space="preserve">zostały </w:t>
      </w:r>
      <w:r w:rsidRPr="006D71C7">
        <w:rPr>
          <w:b w:val="0"/>
          <w:sz w:val="24"/>
          <w:szCs w:val="24"/>
        </w:rPr>
        <w:t>na danych dotyczących operacji zakończonych. Określone zostały wartości docelowe dla 2010, 2013 i 2015 roku oraz zaprezentowano szacowaną wartość na podstawie podpisanych umów o dofinansowanie. Przedstawiono także wskaźniki przedmiotowego priorytetu w podziale na działania i poddziałania.</w:t>
      </w:r>
      <w:bookmarkEnd w:id="502"/>
      <w:bookmarkEnd w:id="503"/>
      <w:bookmarkEnd w:id="504"/>
    </w:p>
    <w:p w:rsidR="00245F70" w:rsidRPr="006D71C7" w:rsidRDefault="007338BD" w:rsidP="00BA2FE7">
      <w:pPr>
        <w:pStyle w:val="Nagwek1"/>
        <w:numPr>
          <w:ilvl w:val="3"/>
          <w:numId w:val="63"/>
        </w:numPr>
        <w:tabs>
          <w:tab w:val="left" w:pos="1418"/>
        </w:tabs>
        <w:spacing w:before="240" w:after="120"/>
        <w:jc w:val="both"/>
      </w:pPr>
      <w:bookmarkStart w:id="505" w:name="_Toc324853925"/>
      <w:bookmarkStart w:id="506" w:name="_Toc327259277"/>
      <w:r w:rsidRPr="006D71C7">
        <w:t>Analiza jakościowa (poziom priorytetu)</w:t>
      </w:r>
      <w:bookmarkEnd w:id="505"/>
      <w:bookmarkEnd w:id="506"/>
    </w:p>
    <w:p w:rsidR="000304D8" w:rsidRPr="006D71C7" w:rsidRDefault="007338BD" w:rsidP="006D71C7">
      <w:pPr>
        <w:jc w:val="both"/>
        <w:rPr>
          <w:b/>
          <w:i/>
        </w:rPr>
      </w:pPr>
      <w:r w:rsidRPr="006D71C7">
        <w:rPr>
          <w:b/>
          <w:i/>
        </w:rPr>
        <w:t>Informacje ogólne</w:t>
      </w:r>
    </w:p>
    <w:p w:rsidR="00E22D59" w:rsidRPr="006D71C7" w:rsidRDefault="00E22D59" w:rsidP="006D71C7">
      <w:pPr>
        <w:spacing w:before="240"/>
        <w:jc w:val="both"/>
        <w:rPr>
          <w:szCs w:val="24"/>
        </w:rPr>
      </w:pPr>
      <w:r w:rsidRPr="006D71C7">
        <w:rPr>
          <w:szCs w:val="24"/>
        </w:rPr>
        <w:t xml:space="preserve">Celem głównym przedmiotowego priorytetu jest </w:t>
      </w:r>
      <w:r w:rsidRPr="006D71C7">
        <w:rPr>
          <w:i/>
          <w:iCs/>
          <w:szCs w:val="24"/>
        </w:rPr>
        <w:t>wzrost konkurencyjności przestrzeni miejskiej województwa</w:t>
      </w:r>
      <w:r w:rsidRPr="006D71C7">
        <w:rPr>
          <w:szCs w:val="24"/>
        </w:rPr>
        <w:t xml:space="preserve">. W ramach priorytetu wspierane </w:t>
      </w:r>
      <w:r w:rsidR="00BC73F9" w:rsidRPr="006D71C7">
        <w:rPr>
          <w:szCs w:val="24"/>
        </w:rPr>
        <w:t>są</w:t>
      </w:r>
      <w:r w:rsidRPr="006D71C7">
        <w:rPr>
          <w:szCs w:val="24"/>
        </w:rPr>
        <w:t xml:space="preserve"> działania w zakresie wzmacniania regionalnych ośrodków wzrostu i rewitalizacji terenów zdegradowanych.</w:t>
      </w:r>
    </w:p>
    <w:p w:rsidR="00E22D59" w:rsidRPr="006D71C7" w:rsidRDefault="00E22D59" w:rsidP="006D71C7">
      <w:pPr>
        <w:spacing w:after="120"/>
        <w:jc w:val="both"/>
        <w:rPr>
          <w:szCs w:val="24"/>
        </w:rPr>
      </w:pPr>
      <w:r w:rsidRPr="006D71C7">
        <w:rPr>
          <w:szCs w:val="24"/>
        </w:rPr>
        <w:t>Realizacji priorytetu służyć mają dwa działania:</w:t>
      </w:r>
    </w:p>
    <w:p w:rsidR="00E22D59" w:rsidRPr="006D71C7" w:rsidRDefault="00E22D59" w:rsidP="00BA2FE7">
      <w:pPr>
        <w:pStyle w:val="Akapitzlist"/>
        <w:numPr>
          <w:ilvl w:val="0"/>
          <w:numId w:val="9"/>
        </w:numPr>
        <w:spacing w:after="0"/>
        <w:jc w:val="both"/>
        <w:rPr>
          <w:i/>
          <w:szCs w:val="24"/>
        </w:rPr>
      </w:pPr>
      <w:r w:rsidRPr="006D71C7">
        <w:rPr>
          <w:i/>
          <w:szCs w:val="24"/>
        </w:rPr>
        <w:t>6.1 Wzmacnianie regionalnych ośrodków wzrostu,</w:t>
      </w:r>
    </w:p>
    <w:p w:rsidR="00E22D59" w:rsidRPr="006D71C7" w:rsidRDefault="00E22D59" w:rsidP="00BA2FE7">
      <w:pPr>
        <w:pStyle w:val="Akapitzlist"/>
        <w:numPr>
          <w:ilvl w:val="0"/>
          <w:numId w:val="9"/>
        </w:numPr>
        <w:spacing w:after="120"/>
        <w:jc w:val="both"/>
        <w:rPr>
          <w:i/>
          <w:szCs w:val="24"/>
        </w:rPr>
      </w:pPr>
      <w:r w:rsidRPr="006D71C7">
        <w:rPr>
          <w:i/>
          <w:szCs w:val="24"/>
        </w:rPr>
        <w:t>6.2 Rewitalizacja obszarów zdegradowanych.</w:t>
      </w:r>
    </w:p>
    <w:p w:rsidR="00067559" w:rsidRPr="006D71C7" w:rsidRDefault="00AD7866" w:rsidP="006D71C7">
      <w:pPr>
        <w:spacing w:after="120"/>
        <w:jc w:val="both"/>
        <w:rPr>
          <w:i/>
          <w:szCs w:val="24"/>
        </w:rPr>
      </w:pPr>
      <w:r w:rsidRPr="006D71C7">
        <w:rPr>
          <w:szCs w:val="24"/>
        </w:rPr>
        <w:t>Na realizację p</w:t>
      </w:r>
      <w:r w:rsidR="00E22D59" w:rsidRPr="006D71C7">
        <w:rPr>
          <w:szCs w:val="24"/>
        </w:rPr>
        <w:t xml:space="preserve">riorytetu VI alokowano </w:t>
      </w:r>
      <w:r w:rsidRPr="006D71C7">
        <w:rPr>
          <w:szCs w:val="24"/>
        </w:rPr>
        <w:t xml:space="preserve">312 802 445 EUR </w:t>
      </w:r>
      <w:r w:rsidR="00E22D59" w:rsidRPr="006D71C7">
        <w:rPr>
          <w:szCs w:val="24"/>
        </w:rPr>
        <w:t xml:space="preserve">pochodzących z EFRR, co stanowi </w:t>
      </w:r>
      <w:r w:rsidRPr="006D71C7">
        <w:rPr>
          <w:szCs w:val="24"/>
        </w:rPr>
        <w:t>17,9</w:t>
      </w:r>
      <w:r w:rsidR="00E22D59" w:rsidRPr="006D71C7">
        <w:rPr>
          <w:szCs w:val="24"/>
        </w:rPr>
        <w:t xml:space="preserve">% wartości </w:t>
      </w:r>
      <w:r w:rsidR="00E22D59" w:rsidRPr="006D71C7">
        <w:rPr>
          <w:i/>
          <w:szCs w:val="24"/>
        </w:rPr>
        <w:t>Programu.</w:t>
      </w:r>
      <w:r w:rsidR="00E22D59" w:rsidRPr="006D71C7">
        <w:rPr>
          <w:szCs w:val="24"/>
        </w:rPr>
        <w:t xml:space="preserve"> </w:t>
      </w:r>
    </w:p>
    <w:p w:rsidR="00AD7866" w:rsidRPr="006D71C7" w:rsidRDefault="00AD7866" w:rsidP="006D71C7">
      <w:pPr>
        <w:widowControl w:val="0"/>
        <w:autoSpaceDE w:val="0"/>
        <w:autoSpaceDN w:val="0"/>
        <w:adjustRightInd w:val="0"/>
        <w:spacing w:after="120"/>
        <w:ind w:right="-23"/>
        <w:jc w:val="both"/>
        <w:rPr>
          <w:szCs w:val="24"/>
        </w:rPr>
      </w:pPr>
      <w:r w:rsidRPr="006D71C7">
        <w:rPr>
          <w:szCs w:val="24"/>
        </w:rPr>
        <w:t xml:space="preserve">Opis wkładu priorytetu w promowanie równości szans kobiet i mężczyzn znajduje się w pkt. 2.2.1 </w:t>
      </w:r>
      <w:r w:rsidRPr="006D71C7">
        <w:rPr>
          <w:i/>
          <w:szCs w:val="24"/>
        </w:rPr>
        <w:t>Sprawozdania.</w:t>
      </w:r>
      <w:r w:rsidRPr="006D71C7">
        <w:rPr>
          <w:szCs w:val="24"/>
        </w:rPr>
        <w:t>.</w:t>
      </w:r>
    </w:p>
    <w:p w:rsidR="00AD7866" w:rsidRPr="006D71C7" w:rsidRDefault="00AD7866" w:rsidP="006D71C7">
      <w:pPr>
        <w:widowControl w:val="0"/>
        <w:autoSpaceDE w:val="0"/>
        <w:autoSpaceDN w:val="0"/>
        <w:adjustRightInd w:val="0"/>
        <w:spacing w:after="120"/>
        <w:ind w:right="-23"/>
        <w:jc w:val="both"/>
        <w:rPr>
          <w:i/>
          <w:szCs w:val="24"/>
        </w:rPr>
      </w:pPr>
      <w:r w:rsidRPr="006D71C7">
        <w:rPr>
          <w:szCs w:val="24"/>
        </w:rPr>
        <w:t xml:space="preserve">Informacje nt. zasady cross – financing realizowanej w ramach przedmiotowego priorytetu znajdują się w pkt. 2.6.3 </w:t>
      </w:r>
      <w:r w:rsidRPr="006D71C7">
        <w:rPr>
          <w:i/>
          <w:szCs w:val="24"/>
        </w:rPr>
        <w:t>Sprawozdania.</w:t>
      </w:r>
    </w:p>
    <w:p w:rsidR="00AD7866" w:rsidRPr="006D71C7" w:rsidRDefault="00AD7866" w:rsidP="006D71C7">
      <w:pPr>
        <w:widowControl w:val="0"/>
        <w:autoSpaceDE w:val="0"/>
        <w:autoSpaceDN w:val="0"/>
        <w:adjustRightInd w:val="0"/>
        <w:spacing w:after="120"/>
        <w:ind w:right="-23"/>
        <w:jc w:val="both"/>
        <w:rPr>
          <w:szCs w:val="24"/>
        </w:rPr>
      </w:pPr>
      <w:r w:rsidRPr="006D71C7">
        <w:rPr>
          <w:szCs w:val="24"/>
        </w:rPr>
        <w:t xml:space="preserve"> IZ RPO WSL nie planuje żadnych zmian w alokacji priorytetu.</w:t>
      </w:r>
    </w:p>
    <w:p w:rsidR="001915C3" w:rsidRPr="006D71C7" w:rsidRDefault="00AD7866" w:rsidP="006D71C7">
      <w:pPr>
        <w:pStyle w:val="Akapitzlist"/>
        <w:spacing w:after="0"/>
        <w:ind w:left="0"/>
        <w:jc w:val="both"/>
      </w:pPr>
      <w:r w:rsidRPr="006D71C7">
        <w:rPr>
          <w:szCs w:val="24"/>
        </w:rPr>
        <w:t>W</w:t>
      </w:r>
      <w:r w:rsidRPr="006D71C7">
        <w:t xml:space="preserve"> ramach priorytetu VI nie zostało przeprowadzone badanie ewaluacyjne.</w:t>
      </w:r>
      <w:r w:rsidR="001915C3" w:rsidRPr="006D71C7">
        <w:t xml:space="preserve"> Jednak w </w:t>
      </w:r>
      <w:r w:rsidR="00573CC8" w:rsidRPr="006D71C7">
        <w:t xml:space="preserve">zakresie obszaru tematycznego – </w:t>
      </w:r>
      <w:r w:rsidR="001915C3" w:rsidRPr="006D71C7">
        <w:t>rewitalizacj</w:t>
      </w:r>
      <w:r w:rsidR="00573CC8" w:rsidRPr="006D71C7">
        <w:t>a</w:t>
      </w:r>
      <w:r w:rsidR="001915C3" w:rsidRPr="006D71C7">
        <w:t xml:space="preserve"> wykonano badanie w ramach projektu systemowego pt. </w:t>
      </w:r>
      <w:r w:rsidR="00B055BA" w:rsidRPr="006D71C7">
        <w:rPr>
          <w:i/>
        </w:rPr>
        <w:t>Badania i analizy na </w:t>
      </w:r>
      <w:r w:rsidR="001915C3" w:rsidRPr="006D71C7">
        <w:rPr>
          <w:i/>
        </w:rPr>
        <w:t>potrzeby Regionalnego Centrum Analiz Strategicznych</w:t>
      </w:r>
      <w:r w:rsidR="001915C3" w:rsidRPr="006D71C7">
        <w:t xml:space="preserve"> realizowanego w</w:t>
      </w:r>
      <w:r w:rsidR="00573CC8" w:rsidRPr="006D71C7">
        <w:t> </w:t>
      </w:r>
      <w:r w:rsidR="001915C3" w:rsidRPr="006D71C7">
        <w:t xml:space="preserve">ramach poddziałania </w:t>
      </w:r>
      <w:r w:rsidR="001915C3" w:rsidRPr="006D71C7">
        <w:rPr>
          <w:i/>
        </w:rPr>
        <w:t>8.1.4. Przewidywanie zmiany gospodarczej PO KL</w:t>
      </w:r>
      <w:r w:rsidR="001915C3" w:rsidRPr="006D71C7">
        <w:t xml:space="preserve"> - </w:t>
      </w:r>
      <w:r w:rsidR="001915C3" w:rsidRPr="006D71C7">
        <w:rPr>
          <w:i/>
        </w:rPr>
        <w:t xml:space="preserve">Rewitalizacja obszarów zdegradowanych – ocena procesu i identyfikacja pożądanych kierunków działania podmiotów publicznych i prywatnych w województwie śląskim. </w:t>
      </w:r>
      <w:r w:rsidR="001915C3" w:rsidRPr="006D71C7">
        <w:rPr>
          <w:iCs/>
        </w:rPr>
        <w:t xml:space="preserve">Głównym celem badania było </w:t>
      </w:r>
      <w:r w:rsidR="001915C3" w:rsidRPr="006D71C7">
        <w:t>określenie pożądanego kierunku i zasad wspierania działań rewitalizacyjnych w</w:t>
      </w:r>
      <w:r w:rsidR="00573CC8" w:rsidRPr="006D71C7">
        <w:t> </w:t>
      </w:r>
      <w:r w:rsidR="001915C3" w:rsidRPr="006D71C7">
        <w:t xml:space="preserve">województwie śląskim oraz dostarczenie wiedzy na temat programowania instrumentów wsparcia w tym obszarze. </w:t>
      </w:r>
    </w:p>
    <w:p w:rsidR="001915C3" w:rsidRPr="006D71C7" w:rsidRDefault="001915C3" w:rsidP="006D71C7">
      <w:pPr>
        <w:spacing w:after="0"/>
        <w:jc w:val="both"/>
      </w:pPr>
      <w:r w:rsidRPr="006D71C7">
        <w:t>Cele szczegółowe:</w:t>
      </w:r>
    </w:p>
    <w:p w:rsidR="001915C3" w:rsidRPr="006D71C7" w:rsidRDefault="001915C3" w:rsidP="00BA2FE7">
      <w:pPr>
        <w:numPr>
          <w:ilvl w:val="0"/>
          <w:numId w:val="102"/>
        </w:numPr>
        <w:suppressAutoHyphens/>
        <w:spacing w:after="0"/>
        <w:ind w:left="709" w:hanging="425"/>
        <w:jc w:val="both"/>
      </w:pPr>
      <w:r w:rsidRPr="006D71C7">
        <w:t>Dokonanie analizy i oceny dotychczas podejmowan</w:t>
      </w:r>
      <w:r w:rsidR="00B055BA" w:rsidRPr="006D71C7">
        <w:t>ych działań rewitalizacyjnych w </w:t>
      </w:r>
      <w:r w:rsidRPr="006D71C7">
        <w:t>województwie śląskim</w:t>
      </w:r>
    </w:p>
    <w:p w:rsidR="001915C3" w:rsidRPr="006D71C7" w:rsidRDefault="001915C3" w:rsidP="00BA2FE7">
      <w:pPr>
        <w:numPr>
          <w:ilvl w:val="0"/>
          <w:numId w:val="102"/>
        </w:numPr>
        <w:suppressAutoHyphens/>
        <w:spacing w:after="0"/>
        <w:ind w:left="709" w:hanging="425"/>
        <w:jc w:val="both"/>
      </w:pPr>
      <w:r w:rsidRPr="006D71C7">
        <w:t>Wypracowanie mechanizmów zapewniających komplementarność działań społecznych z inwestycyjnymi w ramach rewitalizacji</w:t>
      </w:r>
    </w:p>
    <w:p w:rsidR="001915C3" w:rsidRPr="006D71C7" w:rsidRDefault="001915C3" w:rsidP="00BA2FE7">
      <w:pPr>
        <w:numPr>
          <w:ilvl w:val="0"/>
          <w:numId w:val="102"/>
        </w:numPr>
        <w:suppressAutoHyphens/>
        <w:spacing w:after="0"/>
        <w:ind w:left="709" w:hanging="425"/>
        <w:jc w:val="both"/>
      </w:pPr>
      <w:r w:rsidRPr="006D71C7">
        <w:t>Ocena możliwości realizacji inwestycji rewitalizacyjnych w ramach partnerstwa publiczno-prywatnego.</w:t>
      </w:r>
    </w:p>
    <w:p w:rsidR="00AD7866" w:rsidRPr="006D71C7" w:rsidRDefault="001915C3" w:rsidP="006D71C7">
      <w:pPr>
        <w:jc w:val="both"/>
      </w:pPr>
      <w:r w:rsidRPr="006D71C7">
        <w:rPr>
          <w:iCs/>
        </w:rPr>
        <w:t xml:space="preserve">W efekcie badania wypracowano zestaw rekomendacji </w:t>
      </w:r>
      <w:r w:rsidRPr="006D71C7">
        <w:t>wskazujący działania rewitalizacyjne, które powinno się realizować w regionie.</w:t>
      </w:r>
      <w:r w:rsidR="00B055BA" w:rsidRPr="006D71C7">
        <w:t xml:space="preserve"> </w:t>
      </w:r>
      <w:r w:rsidRPr="006D71C7">
        <w:t>Okres realizacji badania: grudzień 2010r. – czerwiec 2011r.</w:t>
      </w:r>
    </w:p>
    <w:p w:rsidR="00AD7866" w:rsidRPr="006D71C7" w:rsidRDefault="00AD7866" w:rsidP="006D71C7">
      <w:pPr>
        <w:spacing w:after="120"/>
        <w:jc w:val="both"/>
      </w:pPr>
      <w:r w:rsidRPr="006D71C7">
        <w:rPr>
          <w:b/>
          <w:i/>
        </w:rPr>
        <w:t>Postęp wdrażania priorytetu VI</w:t>
      </w:r>
    </w:p>
    <w:p w:rsidR="00AF7C14" w:rsidRPr="006D71C7" w:rsidRDefault="00AD7866" w:rsidP="006D71C7">
      <w:pPr>
        <w:spacing w:after="0"/>
        <w:jc w:val="both"/>
        <w:rPr>
          <w:szCs w:val="24"/>
        </w:rPr>
      </w:pPr>
      <w:r w:rsidRPr="006D71C7">
        <w:rPr>
          <w:szCs w:val="24"/>
        </w:rPr>
        <w:t>W okresie sprawozdawczym szczególnie widoczną dynamikę wzrostu można zauważyć na</w:t>
      </w:r>
      <w:r w:rsidR="00573CC8" w:rsidRPr="006D71C7">
        <w:rPr>
          <w:szCs w:val="24"/>
        </w:rPr>
        <w:t> </w:t>
      </w:r>
      <w:r w:rsidRPr="006D71C7">
        <w:rPr>
          <w:szCs w:val="24"/>
        </w:rPr>
        <w:t xml:space="preserve">poziomie kontraktowania środków. Na koniec 2011r. poziom kontraktacji w ramach priorytetu wyniósł ponad 83%. </w:t>
      </w:r>
      <w:r w:rsidR="00AF7C14" w:rsidRPr="006D71C7">
        <w:rPr>
          <w:szCs w:val="24"/>
        </w:rPr>
        <w:t>R</w:t>
      </w:r>
      <w:r w:rsidRPr="006D71C7">
        <w:rPr>
          <w:szCs w:val="24"/>
        </w:rPr>
        <w:t>óżnica pomiędzy wartoś</w:t>
      </w:r>
      <w:r w:rsidR="00AF7C14" w:rsidRPr="006D71C7">
        <w:rPr>
          <w:szCs w:val="24"/>
        </w:rPr>
        <w:t>cią dofinansowanych wniosków, a </w:t>
      </w:r>
      <w:r w:rsidR="007B6365" w:rsidRPr="006D71C7">
        <w:rPr>
          <w:szCs w:val="24"/>
        </w:rPr>
        <w:t>kontraktacją</w:t>
      </w:r>
      <w:r w:rsidRPr="006D71C7">
        <w:rPr>
          <w:szCs w:val="24"/>
        </w:rPr>
        <w:t xml:space="preserve"> wynika </w:t>
      </w:r>
      <w:r w:rsidR="00D52475" w:rsidRPr="006D71C7">
        <w:rPr>
          <w:szCs w:val="24"/>
        </w:rPr>
        <w:t>z różnic kursowych oraz</w:t>
      </w:r>
      <w:r w:rsidR="00D57B8C" w:rsidRPr="006D71C7">
        <w:rPr>
          <w:szCs w:val="24"/>
        </w:rPr>
        <w:t>, w tym</w:t>
      </w:r>
      <w:r w:rsidRPr="006D71C7">
        <w:rPr>
          <w:szCs w:val="24"/>
        </w:rPr>
        <w:t xml:space="preserve"> f</w:t>
      </w:r>
      <w:r w:rsidR="004218CA">
        <w:rPr>
          <w:szCs w:val="24"/>
        </w:rPr>
        <w:t>aktu, że w ramach priorytetu VI </w:t>
      </w:r>
      <w:r w:rsidRPr="006D71C7">
        <w:rPr>
          <w:szCs w:val="24"/>
        </w:rPr>
        <w:t>wdrażana jest Inicjatywa JESSICA</w:t>
      </w:r>
      <w:r w:rsidR="007B6365" w:rsidRPr="006D71C7">
        <w:rPr>
          <w:szCs w:val="24"/>
        </w:rPr>
        <w:t>, która rządzi się innymi zasadami (szczegółowe informacje na temat</w:t>
      </w:r>
      <w:r w:rsidR="00573CC8" w:rsidRPr="006D71C7">
        <w:rPr>
          <w:szCs w:val="24"/>
        </w:rPr>
        <w:t xml:space="preserve"> Inicjatywy</w:t>
      </w:r>
      <w:r w:rsidR="007B6365" w:rsidRPr="006D71C7">
        <w:rPr>
          <w:szCs w:val="24"/>
        </w:rPr>
        <w:t xml:space="preserve"> JESSICA zostały przedstawione w pkt.</w:t>
      </w:r>
      <w:r w:rsidR="00573CC8" w:rsidRPr="006D71C7">
        <w:rPr>
          <w:szCs w:val="24"/>
        </w:rPr>
        <w:t xml:space="preserve"> </w:t>
      </w:r>
      <w:r w:rsidR="007B6365" w:rsidRPr="006D71C7">
        <w:rPr>
          <w:szCs w:val="24"/>
        </w:rPr>
        <w:t xml:space="preserve">2.1.6.5 niniejszego </w:t>
      </w:r>
      <w:r w:rsidR="007B6365" w:rsidRPr="006D71C7">
        <w:rPr>
          <w:i/>
          <w:szCs w:val="24"/>
        </w:rPr>
        <w:t>Sprawozdania</w:t>
      </w:r>
      <w:r w:rsidR="007B6365" w:rsidRPr="006D71C7">
        <w:rPr>
          <w:szCs w:val="24"/>
        </w:rPr>
        <w:t>)</w:t>
      </w:r>
      <w:r w:rsidRPr="006D71C7">
        <w:rPr>
          <w:szCs w:val="24"/>
        </w:rPr>
        <w:t xml:space="preserve">. </w:t>
      </w:r>
    </w:p>
    <w:p w:rsidR="00B055BA" w:rsidRPr="006D71C7" w:rsidRDefault="00B055BA" w:rsidP="006D71C7">
      <w:pPr>
        <w:spacing w:after="0"/>
        <w:jc w:val="both"/>
        <w:rPr>
          <w:i/>
          <w:szCs w:val="24"/>
        </w:rPr>
      </w:pPr>
    </w:p>
    <w:p w:rsidR="00AD7866" w:rsidRPr="006D71C7" w:rsidRDefault="00AF7C14" w:rsidP="006D71C7">
      <w:pPr>
        <w:spacing w:after="0"/>
        <w:jc w:val="both"/>
        <w:rPr>
          <w:szCs w:val="24"/>
        </w:rPr>
      </w:pPr>
      <w:r w:rsidRPr="006D71C7">
        <w:rPr>
          <w:noProof/>
          <w:szCs w:val="24"/>
        </w:rPr>
        <w:drawing>
          <wp:inline distT="0" distB="0" distL="0" distR="0">
            <wp:extent cx="5762995" cy="2647507"/>
            <wp:effectExtent l="38100" t="19050" r="28205" b="443"/>
            <wp:docPr id="4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AD7866" w:rsidRPr="006D71C7" w:rsidRDefault="00AD7866" w:rsidP="006D71C7">
      <w:pPr>
        <w:spacing w:after="0"/>
        <w:jc w:val="both"/>
        <w:rPr>
          <w:szCs w:val="24"/>
        </w:rPr>
      </w:pPr>
    </w:p>
    <w:p w:rsidR="00C43B75" w:rsidRDefault="00C43B75" w:rsidP="00C43B75">
      <w:pPr>
        <w:pStyle w:val="Legenda"/>
        <w:rPr>
          <w:b w:val="0"/>
          <w:i/>
          <w:color w:val="auto"/>
          <w:sz w:val="20"/>
          <w:szCs w:val="20"/>
        </w:rPr>
      </w:pPr>
      <w:bookmarkStart w:id="507" w:name="_Toc324853732"/>
      <w:bookmarkStart w:id="508" w:name="_Toc326055361"/>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43</w:t>
      </w:r>
      <w:r w:rsidR="008F7228" w:rsidRPr="00C43B75">
        <w:rPr>
          <w:color w:val="auto"/>
          <w:sz w:val="20"/>
          <w:szCs w:val="20"/>
        </w:rPr>
        <w:fldChar w:fldCharType="end"/>
      </w:r>
      <w:r w:rsidR="00C53D11">
        <w:t xml:space="preserve"> </w:t>
      </w:r>
      <w:r w:rsidR="00AD7866" w:rsidRPr="006D71C7">
        <w:rPr>
          <w:b w:val="0"/>
          <w:i/>
          <w:color w:val="auto"/>
          <w:sz w:val="20"/>
          <w:szCs w:val="20"/>
        </w:rPr>
        <w:t xml:space="preserve">Realizacja </w:t>
      </w:r>
      <w:r w:rsidR="00573CC8" w:rsidRPr="006D71C7">
        <w:rPr>
          <w:b w:val="0"/>
          <w:i/>
          <w:color w:val="auto"/>
          <w:sz w:val="20"/>
          <w:szCs w:val="20"/>
        </w:rPr>
        <w:t>p</w:t>
      </w:r>
      <w:r w:rsidR="00AD7866" w:rsidRPr="006D71C7">
        <w:rPr>
          <w:b w:val="0"/>
          <w:i/>
          <w:color w:val="auto"/>
          <w:sz w:val="20"/>
          <w:szCs w:val="20"/>
        </w:rPr>
        <w:t>riorytetu VI od uruchomienia Programu</w:t>
      </w:r>
      <w:bookmarkEnd w:id="507"/>
      <w:bookmarkEnd w:id="508"/>
    </w:p>
    <w:p w:rsidR="00AD7866" w:rsidRPr="006D71C7" w:rsidRDefault="00AD7866" w:rsidP="006D71C7">
      <w:pPr>
        <w:pStyle w:val="Legenda"/>
        <w:spacing w:line="276" w:lineRule="auto"/>
        <w:jc w:val="both"/>
        <w:rPr>
          <w:b w:val="0"/>
          <w:color w:val="auto"/>
          <w:sz w:val="24"/>
          <w:szCs w:val="24"/>
        </w:rPr>
      </w:pPr>
      <w:r w:rsidRPr="006D71C7">
        <w:rPr>
          <w:b w:val="0"/>
          <w:color w:val="auto"/>
          <w:sz w:val="24"/>
          <w:szCs w:val="24"/>
        </w:rPr>
        <w:t>Poniżej w tabeli przedstawiono postęp realizacji priorytetu VI w podziale na działania. Stopień wykorzystania alokacji w poszczególnych działaniach jest na wysokim poziomie. Na</w:t>
      </w:r>
      <w:r w:rsidR="00573CC8" w:rsidRPr="006D71C7">
        <w:rPr>
          <w:b w:val="0"/>
          <w:color w:val="auto"/>
          <w:sz w:val="24"/>
          <w:szCs w:val="24"/>
        </w:rPr>
        <w:t> </w:t>
      </w:r>
      <w:r w:rsidRPr="006D71C7">
        <w:rPr>
          <w:b w:val="0"/>
          <w:color w:val="auto"/>
          <w:sz w:val="24"/>
          <w:szCs w:val="24"/>
        </w:rPr>
        <w:t>poziomie zatwierdzonych wniosków do dofinansowania</w:t>
      </w:r>
      <w:r w:rsidR="00D57B8C" w:rsidRPr="006D71C7">
        <w:rPr>
          <w:b w:val="0"/>
          <w:color w:val="auto"/>
          <w:sz w:val="24"/>
          <w:szCs w:val="24"/>
        </w:rPr>
        <w:t xml:space="preserve"> wynika to z faktu</w:t>
      </w:r>
      <w:r w:rsidRPr="006D71C7">
        <w:rPr>
          <w:b w:val="0"/>
          <w:color w:val="auto"/>
          <w:sz w:val="24"/>
          <w:szCs w:val="24"/>
        </w:rPr>
        <w:t xml:space="preserve">, iż IZ RPO WSL ogłosiła w 2010 roku wszystkie nabory na całą zaplanowaną alokację dla przedmiotowego priorytetu. W </w:t>
      </w:r>
      <w:r w:rsidR="007338BD" w:rsidRPr="006D71C7">
        <w:rPr>
          <w:b w:val="0"/>
          <w:i/>
          <w:color w:val="auto"/>
          <w:sz w:val="24"/>
          <w:szCs w:val="24"/>
        </w:rPr>
        <w:t>działaniu 6.2</w:t>
      </w:r>
      <w:r w:rsidRPr="006D71C7">
        <w:rPr>
          <w:b w:val="0"/>
          <w:color w:val="auto"/>
          <w:sz w:val="24"/>
          <w:szCs w:val="24"/>
        </w:rPr>
        <w:t>. różnica pomiędzy zatwierdzonymi wnioskami o</w:t>
      </w:r>
      <w:r w:rsidR="009428B6" w:rsidRPr="006D71C7">
        <w:rPr>
          <w:b w:val="0"/>
          <w:color w:val="auto"/>
          <w:sz w:val="24"/>
          <w:szCs w:val="24"/>
        </w:rPr>
        <w:t> </w:t>
      </w:r>
      <w:r w:rsidRPr="006D71C7">
        <w:rPr>
          <w:b w:val="0"/>
          <w:color w:val="auto"/>
          <w:sz w:val="24"/>
          <w:szCs w:val="24"/>
        </w:rPr>
        <w:t>dofinansowanie a podpisanymi umowami, wynika z tego, że w ramach tego działania wdrażana jest Inicjatywa JESSICA</w:t>
      </w:r>
      <w:r w:rsidR="005E5638" w:rsidRPr="006D71C7">
        <w:rPr>
          <w:b w:val="0"/>
          <w:color w:val="auto"/>
          <w:sz w:val="24"/>
          <w:szCs w:val="24"/>
        </w:rPr>
        <w:t>. Wysoki poziom kontraktacji w </w:t>
      </w:r>
      <w:r w:rsidR="007338BD" w:rsidRPr="006D71C7">
        <w:rPr>
          <w:b w:val="0"/>
          <w:i/>
          <w:color w:val="auto"/>
          <w:sz w:val="24"/>
          <w:szCs w:val="24"/>
        </w:rPr>
        <w:t>działaniu 6.1</w:t>
      </w:r>
      <w:r w:rsidRPr="006D71C7">
        <w:rPr>
          <w:b w:val="0"/>
          <w:color w:val="auto"/>
          <w:sz w:val="24"/>
          <w:szCs w:val="24"/>
        </w:rPr>
        <w:t xml:space="preserve"> spowodowany jest faktem, iż </w:t>
      </w:r>
      <w:r w:rsidR="005E5638" w:rsidRPr="006D71C7">
        <w:rPr>
          <w:b w:val="0"/>
          <w:color w:val="auto"/>
          <w:sz w:val="24"/>
          <w:szCs w:val="24"/>
        </w:rPr>
        <w:t>cała alokacja została przeznaczona na projekty ze ścieżk</w:t>
      </w:r>
      <w:r w:rsidR="00FE0245" w:rsidRPr="006D71C7">
        <w:rPr>
          <w:b w:val="0"/>
          <w:color w:val="auto"/>
          <w:sz w:val="24"/>
          <w:szCs w:val="24"/>
        </w:rPr>
        <w:t>i</w:t>
      </w:r>
      <w:r w:rsidR="005E5638" w:rsidRPr="006D71C7">
        <w:rPr>
          <w:b w:val="0"/>
          <w:color w:val="auto"/>
          <w:sz w:val="24"/>
          <w:szCs w:val="24"/>
        </w:rPr>
        <w:t xml:space="preserve"> pozakonkursowej, które miały zagwarantowane dofinansowanie i w związku z tym mogły wcześniej przygotować dokumentację projektową. </w:t>
      </w:r>
    </w:p>
    <w:p w:rsidR="001915C3" w:rsidRPr="006D71C7" w:rsidRDefault="007338BD" w:rsidP="006D71C7">
      <w:pPr>
        <w:pStyle w:val="Legenda"/>
        <w:jc w:val="both"/>
        <w:rPr>
          <w:b w:val="0"/>
          <w:i/>
          <w:color w:val="auto"/>
          <w:sz w:val="20"/>
          <w:szCs w:val="20"/>
        </w:rPr>
      </w:pPr>
      <w:bookmarkStart w:id="509" w:name="_Toc324853733"/>
      <w:bookmarkStart w:id="510" w:name="_Toc326046380"/>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28</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 xml:space="preserve">Postęp realizacji </w:t>
      </w:r>
      <w:r w:rsidR="009428B6" w:rsidRPr="006D71C7">
        <w:rPr>
          <w:b w:val="0"/>
          <w:i/>
          <w:color w:val="auto"/>
          <w:sz w:val="20"/>
          <w:szCs w:val="20"/>
        </w:rPr>
        <w:t>p</w:t>
      </w:r>
      <w:r w:rsidRPr="006D71C7">
        <w:rPr>
          <w:b w:val="0"/>
          <w:i/>
          <w:color w:val="auto"/>
          <w:sz w:val="20"/>
          <w:szCs w:val="20"/>
        </w:rPr>
        <w:t>riorytetu VI w podziale na działania</w:t>
      </w:r>
      <w:bookmarkEnd w:id="509"/>
      <w:bookmarkEnd w:id="510"/>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4B29B" w:themeFill="accent1" w:themeFillTint="66"/>
        <w:tblLayout w:type="fixed"/>
        <w:tblLook w:val="04A0" w:firstRow="1" w:lastRow="0" w:firstColumn="1" w:lastColumn="0" w:noHBand="0" w:noVBand="1"/>
      </w:tblPr>
      <w:tblGrid>
        <w:gridCol w:w="1149"/>
        <w:gridCol w:w="1144"/>
        <w:gridCol w:w="1643"/>
        <w:gridCol w:w="992"/>
        <w:gridCol w:w="1204"/>
        <w:gridCol w:w="922"/>
        <w:gridCol w:w="1182"/>
        <w:gridCol w:w="1052"/>
      </w:tblGrid>
      <w:tr w:rsidR="00AD7866" w:rsidRPr="006D71C7" w:rsidTr="00AD7866">
        <w:trPr>
          <w:trHeight w:val="974"/>
        </w:trPr>
        <w:tc>
          <w:tcPr>
            <w:tcW w:w="1149" w:type="dxa"/>
            <w:vMerge w:val="restart"/>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D7866" w:rsidRPr="006D71C7" w:rsidRDefault="00AD7866" w:rsidP="00C74054">
            <w:pPr>
              <w:jc w:val="center"/>
              <w:rPr>
                <w:b/>
                <w:bCs/>
                <w:sz w:val="22"/>
              </w:rPr>
            </w:pPr>
            <w:r w:rsidRPr="006D71C7">
              <w:rPr>
                <w:b/>
                <w:bCs/>
                <w:sz w:val="22"/>
              </w:rPr>
              <w:t>Działanie</w:t>
            </w:r>
          </w:p>
        </w:tc>
        <w:tc>
          <w:tcPr>
            <w:tcW w:w="1144" w:type="dxa"/>
            <w:vMerge w:val="restart"/>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D7866" w:rsidRPr="006D71C7" w:rsidRDefault="00AD7866" w:rsidP="00C74054">
            <w:pPr>
              <w:jc w:val="center"/>
              <w:rPr>
                <w:b/>
                <w:bCs/>
                <w:sz w:val="22"/>
              </w:rPr>
            </w:pPr>
            <w:r w:rsidRPr="006D71C7">
              <w:rPr>
                <w:b/>
                <w:bCs/>
                <w:sz w:val="22"/>
              </w:rPr>
              <w:t>Alokacja w mln EUR</w:t>
            </w:r>
          </w:p>
        </w:tc>
        <w:tc>
          <w:tcPr>
            <w:tcW w:w="2635"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D7866" w:rsidRPr="006D71C7" w:rsidRDefault="00AD7866" w:rsidP="00C74054">
            <w:pPr>
              <w:jc w:val="center"/>
              <w:rPr>
                <w:b/>
                <w:bCs/>
                <w:sz w:val="22"/>
              </w:rPr>
            </w:pPr>
            <w:r w:rsidRPr="006D71C7">
              <w:rPr>
                <w:b/>
                <w:bCs/>
                <w:sz w:val="22"/>
              </w:rPr>
              <w:t>Zatwierdzone wnioski o dofinansowanie</w:t>
            </w:r>
          </w:p>
        </w:tc>
        <w:tc>
          <w:tcPr>
            <w:tcW w:w="2126"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D7866" w:rsidRPr="006D71C7" w:rsidRDefault="00AD7866" w:rsidP="00C74054">
            <w:pPr>
              <w:jc w:val="center"/>
              <w:rPr>
                <w:b/>
                <w:bCs/>
                <w:sz w:val="22"/>
              </w:rPr>
            </w:pPr>
            <w:r w:rsidRPr="006D71C7">
              <w:rPr>
                <w:b/>
                <w:bCs/>
                <w:sz w:val="22"/>
              </w:rPr>
              <w:t>Podpisane umowy</w:t>
            </w:r>
          </w:p>
        </w:tc>
        <w:tc>
          <w:tcPr>
            <w:tcW w:w="2234"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D7866" w:rsidRPr="006D71C7" w:rsidRDefault="00AD7866" w:rsidP="00C74054">
            <w:pPr>
              <w:jc w:val="center"/>
              <w:rPr>
                <w:b/>
                <w:bCs/>
                <w:sz w:val="22"/>
              </w:rPr>
            </w:pPr>
            <w:r w:rsidRPr="006D71C7">
              <w:rPr>
                <w:b/>
                <w:bCs/>
                <w:sz w:val="22"/>
              </w:rPr>
              <w:t>Płatności</w:t>
            </w:r>
          </w:p>
        </w:tc>
      </w:tr>
      <w:tr w:rsidR="00AD7866" w:rsidRPr="006D71C7" w:rsidTr="00AD7866">
        <w:trPr>
          <w:trHeight w:val="637"/>
        </w:trPr>
        <w:tc>
          <w:tcPr>
            <w:tcW w:w="1149" w:type="dxa"/>
            <w:vMerge/>
            <w:tcBorders>
              <w:top w:val="single" w:sz="8" w:space="0" w:color="FFFFFF"/>
              <w:left w:val="single" w:sz="8" w:space="0" w:color="FFFFFF"/>
              <w:bottom w:val="nil"/>
              <w:right w:val="single" w:sz="24" w:space="0" w:color="FFFFFF"/>
            </w:tcBorders>
            <w:shd w:val="clear" w:color="auto" w:fill="F4B29B" w:themeFill="accent1" w:themeFillTint="66"/>
            <w:vAlign w:val="center"/>
          </w:tcPr>
          <w:p w:rsidR="00AD7866" w:rsidRPr="006D71C7" w:rsidRDefault="00AD7866" w:rsidP="00C74054">
            <w:pPr>
              <w:jc w:val="center"/>
              <w:rPr>
                <w:b/>
                <w:bCs/>
                <w:sz w:val="22"/>
              </w:rPr>
            </w:pPr>
          </w:p>
        </w:tc>
        <w:tc>
          <w:tcPr>
            <w:tcW w:w="1144" w:type="dxa"/>
            <w:vMerge/>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D7866" w:rsidRPr="006D71C7" w:rsidRDefault="00AD7866" w:rsidP="00C74054">
            <w:pPr>
              <w:jc w:val="center"/>
              <w:rPr>
                <w:b/>
                <w:sz w:val="22"/>
              </w:rPr>
            </w:pPr>
          </w:p>
        </w:tc>
        <w:tc>
          <w:tcPr>
            <w:tcW w:w="1643"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D7866" w:rsidRPr="006D71C7" w:rsidRDefault="00AD7866" w:rsidP="00C74054">
            <w:pPr>
              <w:jc w:val="center"/>
              <w:rPr>
                <w:b/>
                <w:sz w:val="22"/>
              </w:rPr>
            </w:pPr>
            <w:r w:rsidRPr="006D71C7">
              <w:rPr>
                <w:b/>
                <w:sz w:val="22"/>
              </w:rPr>
              <w:t>mln EUR</w:t>
            </w:r>
          </w:p>
        </w:tc>
        <w:tc>
          <w:tcPr>
            <w:tcW w:w="99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D7866" w:rsidRPr="006D71C7" w:rsidRDefault="00AD7866" w:rsidP="00C74054">
            <w:pPr>
              <w:jc w:val="center"/>
              <w:rPr>
                <w:b/>
                <w:sz w:val="22"/>
              </w:rPr>
            </w:pPr>
            <w:r w:rsidRPr="006D71C7">
              <w:rPr>
                <w:b/>
                <w:sz w:val="22"/>
              </w:rPr>
              <w:t>%</w:t>
            </w:r>
          </w:p>
        </w:tc>
        <w:tc>
          <w:tcPr>
            <w:tcW w:w="1204"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D7866" w:rsidRPr="006D71C7" w:rsidRDefault="00AD7866" w:rsidP="00C74054">
            <w:pPr>
              <w:jc w:val="center"/>
              <w:rPr>
                <w:b/>
                <w:sz w:val="22"/>
              </w:rPr>
            </w:pPr>
            <w:r w:rsidRPr="006D71C7">
              <w:rPr>
                <w:b/>
                <w:sz w:val="22"/>
              </w:rPr>
              <w:t>mln EUR</w:t>
            </w:r>
          </w:p>
        </w:tc>
        <w:tc>
          <w:tcPr>
            <w:tcW w:w="92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D7866" w:rsidRPr="006D71C7" w:rsidRDefault="00AD7866" w:rsidP="00C74054">
            <w:pPr>
              <w:jc w:val="center"/>
              <w:rPr>
                <w:b/>
                <w:sz w:val="22"/>
              </w:rPr>
            </w:pPr>
            <w:r w:rsidRPr="006D71C7">
              <w:rPr>
                <w:b/>
                <w:sz w:val="22"/>
              </w:rPr>
              <w:t>%</w:t>
            </w:r>
          </w:p>
        </w:tc>
        <w:tc>
          <w:tcPr>
            <w:tcW w:w="118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D7866" w:rsidRPr="006D71C7" w:rsidRDefault="00AD7866" w:rsidP="00C74054">
            <w:pPr>
              <w:jc w:val="center"/>
              <w:rPr>
                <w:b/>
                <w:sz w:val="22"/>
              </w:rPr>
            </w:pPr>
            <w:r w:rsidRPr="006D71C7">
              <w:rPr>
                <w:b/>
                <w:sz w:val="22"/>
              </w:rPr>
              <w:t>mln EUR</w:t>
            </w:r>
          </w:p>
        </w:tc>
        <w:tc>
          <w:tcPr>
            <w:tcW w:w="105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D7866" w:rsidRPr="006D71C7" w:rsidRDefault="00AD7866" w:rsidP="00C74054">
            <w:pPr>
              <w:jc w:val="center"/>
              <w:rPr>
                <w:b/>
                <w:sz w:val="22"/>
              </w:rPr>
            </w:pPr>
            <w:r w:rsidRPr="006D71C7">
              <w:rPr>
                <w:b/>
                <w:sz w:val="22"/>
              </w:rPr>
              <w:t>%</w:t>
            </w:r>
          </w:p>
        </w:tc>
      </w:tr>
      <w:tr w:rsidR="00AD7866" w:rsidRPr="006D71C7" w:rsidTr="00AD7866">
        <w:tc>
          <w:tcPr>
            <w:tcW w:w="1149" w:type="dxa"/>
            <w:tcBorders>
              <w:left w:val="single" w:sz="8" w:space="0" w:color="FFFFFF"/>
              <w:bottom w:val="nil"/>
              <w:right w:val="single" w:sz="24" w:space="0" w:color="FFFFFF"/>
            </w:tcBorders>
            <w:shd w:val="clear" w:color="auto" w:fill="F4B29B" w:themeFill="accent1" w:themeFillTint="66"/>
            <w:vAlign w:val="center"/>
          </w:tcPr>
          <w:p w:rsidR="00AD7866" w:rsidRPr="006D71C7" w:rsidRDefault="00AD7866" w:rsidP="00C74054">
            <w:pPr>
              <w:jc w:val="center"/>
              <w:rPr>
                <w:b/>
                <w:bCs/>
                <w:sz w:val="22"/>
              </w:rPr>
            </w:pPr>
            <w:r w:rsidRPr="006D71C7">
              <w:rPr>
                <w:b/>
                <w:bCs/>
                <w:sz w:val="22"/>
              </w:rPr>
              <w:t>6.1.</w:t>
            </w:r>
          </w:p>
        </w:tc>
        <w:tc>
          <w:tcPr>
            <w:tcW w:w="1144" w:type="dxa"/>
            <w:tcBorders>
              <w:top w:val="single" w:sz="8" w:space="0" w:color="FFFFFF"/>
              <w:bottom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169,04</w:t>
            </w:r>
          </w:p>
        </w:tc>
        <w:tc>
          <w:tcPr>
            <w:tcW w:w="1643" w:type="dxa"/>
            <w:tcBorders>
              <w:top w:val="single" w:sz="8" w:space="0" w:color="FFFFFF"/>
              <w:bottom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154,03</w:t>
            </w:r>
          </w:p>
        </w:tc>
        <w:tc>
          <w:tcPr>
            <w:tcW w:w="992" w:type="dxa"/>
            <w:tcBorders>
              <w:top w:val="single" w:sz="8" w:space="0" w:color="FFFFFF"/>
              <w:bottom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91%</w:t>
            </w:r>
          </w:p>
        </w:tc>
        <w:tc>
          <w:tcPr>
            <w:tcW w:w="1204" w:type="dxa"/>
            <w:tcBorders>
              <w:top w:val="single" w:sz="8" w:space="0" w:color="FFFFFF"/>
              <w:bottom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153,95</w:t>
            </w:r>
          </w:p>
        </w:tc>
        <w:tc>
          <w:tcPr>
            <w:tcW w:w="922" w:type="dxa"/>
            <w:tcBorders>
              <w:top w:val="single" w:sz="8" w:space="0" w:color="FFFFFF"/>
              <w:bottom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91%</w:t>
            </w:r>
          </w:p>
        </w:tc>
        <w:tc>
          <w:tcPr>
            <w:tcW w:w="1182" w:type="dxa"/>
            <w:tcBorders>
              <w:top w:val="single" w:sz="8" w:space="0" w:color="FFFFFF"/>
              <w:bottom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32,44</w:t>
            </w:r>
          </w:p>
        </w:tc>
        <w:tc>
          <w:tcPr>
            <w:tcW w:w="1052" w:type="dxa"/>
            <w:tcBorders>
              <w:top w:val="single" w:sz="8" w:space="0" w:color="FFFFFF"/>
              <w:bottom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19%</w:t>
            </w:r>
          </w:p>
        </w:tc>
      </w:tr>
      <w:tr w:rsidR="00AD7866" w:rsidRPr="006D71C7" w:rsidTr="00AD7866">
        <w:tc>
          <w:tcPr>
            <w:tcW w:w="1149" w:type="dxa"/>
            <w:tcBorders>
              <w:top w:val="single" w:sz="8" w:space="0" w:color="FFFFFF"/>
              <w:left w:val="single" w:sz="8" w:space="0" w:color="FFFFFF"/>
              <w:bottom w:val="nil"/>
              <w:right w:val="single" w:sz="24" w:space="0" w:color="FFFFFF"/>
            </w:tcBorders>
            <w:shd w:val="clear" w:color="auto" w:fill="F4B29B" w:themeFill="accent1" w:themeFillTint="66"/>
            <w:vAlign w:val="center"/>
          </w:tcPr>
          <w:p w:rsidR="00AD7866" w:rsidRPr="006D71C7" w:rsidRDefault="00AD7866" w:rsidP="00C74054">
            <w:pPr>
              <w:jc w:val="center"/>
              <w:rPr>
                <w:b/>
                <w:bCs/>
                <w:sz w:val="22"/>
              </w:rPr>
            </w:pPr>
            <w:r w:rsidRPr="006D71C7">
              <w:rPr>
                <w:b/>
                <w:bCs/>
                <w:sz w:val="22"/>
              </w:rPr>
              <w:t>6.2.</w:t>
            </w:r>
          </w:p>
        </w:tc>
        <w:tc>
          <w:tcPr>
            <w:tcW w:w="1144"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143,76</w:t>
            </w:r>
          </w:p>
        </w:tc>
        <w:tc>
          <w:tcPr>
            <w:tcW w:w="1643"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81,09</w:t>
            </w:r>
          </w:p>
        </w:tc>
        <w:tc>
          <w:tcPr>
            <w:tcW w:w="99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56%</w:t>
            </w:r>
          </w:p>
        </w:tc>
        <w:tc>
          <w:tcPr>
            <w:tcW w:w="1204"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108,37</w:t>
            </w:r>
          </w:p>
        </w:tc>
        <w:tc>
          <w:tcPr>
            <w:tcW w:w="92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75%</w:t>
            </w:r>
          </w:p>
        </w:tc>
        <w:tc>
          <w:tcPr>
            <w:tcW w:w="118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69,40</w:t>
            </w:r>
          </w:p>
        </w:tc>
        <w:tc>
          <w:tcPr>
            <w:tcW w:w="105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D7866" w:rsidRPr="006D71C7" w:rsidRDefault="00AD7866" w:rsidP="00C74054">
            <w:pPr>
              <w:jc w:val="center"/>
              <w:rPr>
                <w:sz w:val="22"/>
              </w:rPr>
            </w:pPr>
            <w:r w:rsidRPr="006D71C7">
              <w:rPr>
                <w:sz w:val="22"/>
              </w:rPr>
              <w:t>48%</w:t>
            </w:r>
          </w:p>
        </w:tc>
      </w:tr>
    </w:tbl>
    <w:p w:rsidR="00AD7866" w:rsidRPr="006D71C7" w:rsidRDefault="00AD7866" w:rsidP="006D71C7">
      <w:pPr>
        <w:shd w:val="clear" w:color="auto" w:fill="FFFFFF"/>
        <w:jc w:val="both"/>
        <w:rPr>
          <w:szCs w:val="24"/>
        </w:rPr>
      </w:pPr>
    </w:p>
    <w:p w:rsidR="00AD7866" w:rsidRPr="006D71C7" w:rsidRDefault="005E5638" w:rsidP="006D71C7">
      <w:pPr>
        <w:spacing w:after="0"/>
        <w:jc w:val="both"/>
        <w:rPr>
          <w:szCs w:val="24"/>
        </w:rPr>
      </w:pPr>
      <w:r w:rsidRPr="006D71C7">
        <w:rPr>
          <w:szCs w:val="24"/>
        </w:rPr>
        <w:t>W ramach p</w:t>
      </w:r>
      <w:r w:rsidR="00AD7866" w:rsidRPr="006D71C7">
        <w:rPr>
          <w:szCs w:val="24"/>
        </w:rPr>
        <w:t>riorytetu VI występują trzy procedury oceny i wyboru projektów: konkursow</w:t>
      </w:r>
      <w:r w:rsidRPr="006D71C7">
        <w:rPr>
          <w:szCs w:val="24"/>
        </w:rPr>
        <w:t>a indywidualna i PRS. W ramach p</w:t>
      </w:r>
      <w:r w:rsidR="00AD7866" w:rsidRPr="006D71C7">
        <w:rPr>
          <w:szCs w:val="24"/>
        </w:rPr>
        <w:t xml:space="preserve">riorytetu VI wdrażana jest także Inicjatywa JESSICA. </w:t>
      </w:r>
      <w:r w:rsidR="00AD7866" w:rsidRPr="006D71C7">
        <w:t>Realizowanych jest pięć projektów kluczowych, w ramach których podpisano wszystkie umowy z beneficjentami :</w:t>
      </w:r>
    </w:p>
    <w:p w:rsidR="00AD7866" w:rsidRPr="006D71C7" w:rsidRDefault="00AD7866" w:rsidP="00BA2FE7">
      <w:pPr>
        <w:pStyle w:val="Akapitzlist"/>
        <w:widowControl w:val="0"/>
        <w:numPr>
          <w:ilvl w:val="0"/>
          <w:numId w:val="96"/>
        </w:numPr>
        <w:tabs>
          <w:tab w:val="num" w:pos="426"/>
        </w:tabs>
        <w:autoSpaceDE w:val="0"/>
        <w:autoSpaceDN w:val="0"/>
        <w:adjustRightInd w:val="0"/>
        <w:spacing w:after="120"/>
        <w:ind w:left="426"/>
        <w:jc w:val="both"/>
        <w:rPr>
          <w:i/>
        </w:rPr>
      </w:pPr>
      <w:r w:rsidRPr="006D71C7">
        <w:rPr>
          <w:i/>
        </w:rPr>
        <w:t>Budowa nowej siedziby Muzeum Śląskiego w Katowicach,</w:t>
      </w:r>
    </w:p>
    <w:p w:rsidR="00AD7866" w:rsidRPr="006D71C7" w:rsidRDefault="00AD7866" w:rsidP="00BA2FE7">
      <w:pPr>
        <w:pStyle w:val="Akapitzlist"/>
        <w:widowControl w:val="0"/>
        <w:numPr>
          <w:ilvl w:val="0"/>
          <w:numId w:val="96"/>
        </w:numPr>
        <w:tabs>
          <w:tab w:val="num" w:pos="426"/>
        </w:tabs>
        <w:autoSpaceDE w:val="0"/>
        <w:autoSpaceDN w:val="0"/>
        <w:adjustRightInd w:val="0"/>
        <w:spacing w:after="120"/>
        <w:ind w:left="426"/>
        <w:jc w:val="both"/>
        <w:rPr>
          <w:i/>
        </w:rPr>
      </w:pPr>
      <w:r w:rsidRPr="006D71C7">
        <w:rPr>
          <w:i/>
        </w:rPr>
        <w:t xml:space="preserve">Budowa nowoczesnej hali widowiskowo-sportowej Podium,  </w:t>
      </w:r>
    </w:p>
    <w:p w:rsidR="00AD7866" w:rsidRPr="006D71C7" w:rsidRDefault="00AD7866" w:rsidP="00BA2FE7">
      <w:pPr>
        <w:pStyle w:val="Akapitzlist"/>
        <w:widowControl w:val="0"/>
        <w:numPr>
          <w:ilvl w:val="0"/>
          <w:numId w:val="96"/>
        </w:numPr>
        <w:tabs>
          <w:tab w:val="num" w:pos="426"/>
        </w:tabs>
        <w:autoSpaceDE w:val="0"/>
        <w:autoSpaceDN w:val="0"/>
        <w:adjustRightInd w:val="0"/>
        <w:spacing w:after="120"/>
        <w:ind w:left="426"/>
        <w:jc w:val="both"/>
        <w:rPr>
          <w:i/>
        </w:rPr>
      </w:pPr>
      <w:r w:rsidRPr="006D71C7">
        <w:rPr>
          <w:i/>
        </w:rPr>
        <w:t xml:space="preserve">Międzynarodowe Centrum Kongresowe w Katowicach, </w:t>
      </w:r>
    </w:p>
    <w:p w:rsidR="00AD7866" w:rsidRPr="006D71C7" w:rsidRDefault="00AD7866" w:rsidP="00BA2FE7">
      <w:pPr>
        <w:pStyle w:val="Akapitzlist"/>
        <w:widowControl w:val="0"/>
        <w:numPr>
          <w:ilvl w:val="0"/>
          <w:numId w:val="96"/>
        </w:numPr>
        <w:tabs>
          <w:tab w:val="num" w:pos="426"/>
        </w:tabs>
        <w:autoSpaceDE w:val="0"/>
        <w:autoSpaceDN w:val="0"/>
        <w:adjustRightInd w:val="0"/>
        <w:spacing w:after="120"/>
        <w:ind w:left="426"/>
        <w:jc w:val="both"/>
        <w:rPr>
          <w:i/>
        </w:rPr>
      </w:pPr>
      <w:r w:rsidRPr="006D71C7">
        <w:rPr>
          <w:i/>
        </w:rPr>
        <w:t>Centrum Informacji Naukowej i Biblioteka Akademicka,</w:t>
      </w:r>
    </w:p>
    <w:p w:rsidR="00AD7866" w:rsidRPr="006D71C7" w:rsidRDefault="00AD7866" w:rsidP="00BA2FE7">
      <w:pPr>
        <w:pStyle w:val="Akapitzlist"/>
        <w:widowControl w:val="0"/>
        <w:numPr>
          <w:ilvl w:val="0"/>
          <w:numId w:val="96"/>
        </w:numPr>
        <w:tabs>
          <w:tab w:val="num" w:pos="426"/>
        </w:tabs>
        <w:autoSpaceDE w:val="0"/>
        <w:autoSpaceDN w:val="0"/>
        <w:adjustRightInd w:val="0"/>
        <w:spacing w:after="0"/>
        <w:ind w:left="426"/>
        <w:jc w:val="both"/>
        <w:rPr>
          <w:i/>
          <w:szCs w:val="24"/>
        </w:rPr>
      </w:pPr>
      <w:r w:rsidRPr="006D71C7">
        <w:rPr>
          <w:i/>
        </w:rPr>
        <w:t>Wzmocnienie znaczenia Centrum Pielgrzymkowego poprzez modernizację Alei Najświętszej Maryi Panny w Częstochowie.</w:t>
      </w:r>
    </w:p>
    <w:p w:rsidR="00AD7866" w:rsidRPr="006D71C7" w:rsidRDefault="00AD7866" w:rsidP="006D71C7">
      <w:pPr>
        <w:spacing w:after="0"/>
        <w:jc w:val="both"/>
        <w:rPr>
          <w:szCs w:val="24"/>
        </w:rPr>
      </w:pPr>
    </w:p>
    <w:p w:rsidR="007B6365" w:rsidRPr="006D71C7" w:rsidRDefault="00AF7C14" w:rsidP="006D71C7">
      <w:pPr>
        <w:pStyle w:val="Legenda"/>
        <w:spacing w:line="276" w:lineRule="auto"/>
        <w:jc w:val="both"/>
        <w:rPr>
          <w:b w:val="0"/>
          <w:color w:val="auto"/>
          <w:sz w:val="24"/>
          <w:szCs w:val="24"/>
        </w:rPr>
      </w:pPr>
      <w:r w:rsidRPr="006D71C7">
        <w:rPr>
          <w:b w:val="0"/>
          <w:color w:val="auto"/>
          <w:sz w:val="24"/>
          <w:szCs w:val="24"/>
        </w:rPr>
        <w:t>Realizacja p</w:t>
      </w:r>
      <w:r w:rsidR="00AD7866" w:rsidRPr="006D71C7">
        <w:rPr>
          <w:b w:val="0"/>
          <w:color w:val="auto"/>
          <w:sz w:val="24"/>
          <w:szCs w:val="24"/>
        </w:rPr>
        <w:t xml:space="preserve">riorytetu VI biorąc pod uwagę ścieżkę konkursową jest na niskim poziomie. Spowodowane jest to tym, że IZ RPO WSL </w:t>
      </w:r>
      <w:r w:rsidR="007B6365" w:rsidRPr="006D71C7">
        <w:rPr>
          <w:b w:val="0"/>
          <w:color w:val="auto"/>
          <w:sz w:val="24"/>
          <w:szCs w:val="24"/>
        </w:rPr>
        <w:t>z powodów prawnych mogła ogłosić</w:t>
      </w:r>
      <w:r w:rsidR="00AD7866" w:rsidRPr="006D71C7">
        <w:rPr>
          <w:b w:val="0"/>
          <w:color w:val="auto"/>
          <w:sz w:val="24"/>
          <w:szCs w:val="24"/>
        </w:rPr>
        <w:t xml:space="preserve"> pierwsze ko</w:t>
      </w:r>
      <w:r w:rsidR="007B6365" w:rsidRPr="006D71C7">
        <w:rPr>
          <w:b w:val="0"/>
          <w:color w:val="auto"/>
          <w:sz w:val="24"/>
          <w:szCs w:val="24"/>
        </w:rPr>
        <w:t>nkursy w ramach przedmiotowego p</w:t>
      </w:r>
      <w:r w:rsidR="00AD7866" w:rsidRPr="006D71C7">
        <w:rPr>
          <w:b w:val="0"/>
          <w:color w:val="auto"/>
          <w:sz w:val="24"/>
          <w:szCs w:val="24"/>
        </w:rPr>
        <w:t xml:space="preserve">riorytetu dopiero w 2010r. </w:t>
      </w:r>
      <w:r w:rsidR="007B6365" w:rsidRPr="006D71C7">
        <w:rPr>
          <w:b w:val="0"/>
          <w:color w:val="auto"/>
          <w:sz w:val="24"/>
          <w:szCs w:val="24"/>
        </w:rPr>
        <w:t>Realizacja projektów kluczowych i PRS biorąc pod uwagę kontraktację idzie sprawnie</w:t>
      </w:r>
      <w:r w:rsidR="004218CA">
        <w:rPr>
          <w:b w:val="0"/>
          <w:color w:val="auto"/>
          <w:sz w:val="24"/>
          <w:szCs w:val="24"/>
        </w:rPr>
        <w:t xml:space="preserve"> w przeciwieństwie do </w:t>
      </w:r>
      <w:r w:rsidR="007B6365" w:rsidRPr="006D71C7">
        <w:rPr>
          <w:b w:val="0"/>
          <w:color w:val="auto"/>
          <w:sz w:val="24"/>
          <w:szCs w:val="24"/>
        </w:rPr>
        <w:t xml:space="preserve">płatności </w:t>
      </w:r>
      <w:r w:rsidR="00372B6A" w:rsidRPr="006D71C7">
        <w:rPr>
          <w:b w:val="0"/>
          <w:color w:val="auto"/>
          <w:sz w:val="24"/>
          <w:szCs w:val="24"/>
        </w:rPr>
        <w:t xml:space="preserve">których </w:t>
      </w:r>
      <w:r w:rsidR="007B6365" w:rsidRPr="006D71C7">
        <w:rPr>
          <w:b w:val="0"/>
          <w:color w:val="auto"/>
          <w:sz w:val="24"/>
          <w:szCs w:val="24"/>
        </w:rPr>
        <w:t>poziom już jest znacznie niższy. Niski poziom płatności znajduje swoje uzasadnienie w charakterze realizowanych projektów infrastrukturalnych</w:t>
      </w:r>
      <w:r w:rsidR="00D57B8C" w:rsidRPr="006D71C7">
        <w:rPr>
          <w:b w:val="0"/>
          <w:color w:val="auto"/>
          <w:sz w:val="24"/>
          <w:szCs w:val="24"/>
        </w:rPr>
        <w:t xml:space="preserve"> (w tym projektów kluczowych wymagających notyfikacj</w:t>
      </w:r>
      <w:r w:rsidR="009428B6" w:rsidRPr="006D71C7">
        <w:rPr>
          <w:b w:val="0"/>
          <w:color w:val="auto"/>
          <w:sz w:val="24"/>
          <w:szCs w:val="24"/>
        </w:rPr>
        <w:t>i</w:t>
      </w:r>
      <w:r w:rsidR="00D57B8C" w:rsidRPr="006D71C7">
        <w:rPr>
          <w:b w:val="0"/>
          <w:color w:val="auto"/>
          <w:sz w:val="24"/>
          <w:szCs w:val="24"/>
        </w:rPr>
        <w:t xml:space="preserve"> KE)</w:t>
      </w:r>
      <w:r w:rsidR="007B6365" w:rsidRPr="006D71C7">
        <w:rPr>
          <w:b w:val="0"/>
          <w:color w:val="auto"/>
          <w:sz w:val="24"/>
          <w:szCs w:val="24"/>
        </w:rPr>
        <w:t xml:space="preserve">, których wdrażanie jest znacznie </w:t>
      </w:r>
      <w:r w:rsidR="00D57B8C" w:rsidRPr="006D71C7">
        <w:rPr>
          <w:b w:val="0"/>
          <w:color w:val="auto"/>
          <w:sz w:val="24"/>
          <w:szCs w:val="24"/>
        </w:rPr>
        <w:t xml:space="preserve">bardziej skomplikowane i </w:t>
      </w:r>
      <w:r w:rsidR="007B6365" w:rsidRPr="006D71C7">
        <w:rPr>
          <w:b w:val="0"/>
          <w:color w:val="auto"/>
          <w:sz w:val="24"/>
          <w:szCs w:val="24"/>
        </w:rPr>
        <w:t>wolniejsze</w:t>
      </w:r>
      <w:r w:rsidR="00D57B8C" w:rsidRPr="006D71C7">
        <w:rPr>
          <w:b w:val="0"/>
          <w:color w:val="auto"/>
          <w:sz w:val="24"/>
          <w:szCs w:val="24"/>
        </w:rPr>
        <w:t>,</w:t>
      </w:r>
      <w:r w:rsidR="007B6365" w:rsidRPr="006D71C7">
        <w:rPr>
          <w:b w:val="0"/>
          <w:color w:val="auto"/>
          <w:sz w:val="24"/>
          <w:szCs w:val="24"/>
        </w:rPr>
        <w:t xml:space="preserve"> a na efekty trzeba poczekać dłużej. Ponadto są to projekty o</w:t>
      </w:r>
      <w:r w:rsidR="009428B6" w:rsidRPr="006D71C7">
        <w:rPr>
          <w:b w:val="0"/>
          <w:color w:val="auto"/>
          <w:sz w:val="24"/>
          <w:szCs w:val="24"/>
        </w:rPr>
        <w:t> </w:t>
      </w:r>
      <w:r w:rsidR="007B6365" w:rsidRPr="006D71C7">
        <w:rPr>
          <w:b w:val="0"/>
          <w:color w:val="auto"/>
          <w:sz w:val="24"/>
          <w:szCs w:val="24"/>
        </w:rPr>
        <w:t xml:space="preserve">dużej </w:t>
      </w:r>
      <w:r w:rsidR="00372B6A" w:rsidRPr="006D71C7">
        <w:rPr>
          <w:b w:val="0"/>
          <w:color w:val="auto"/>
          <w:sz w:val="24"/>
          <w:szCs w:val="24"/>
        </w:rPr>
        <w:t xml:space="preserve">zarówno </w:t>
      </w:r>
      <w:r w:rsidR="007B6365" w:rsidRPr="006D71C7">
        <w:rPr>
          <w:b w:val="0"/>
          <w:color w:val="auto"/>
          <w:sz w:val="24"/>
          <w:szCs w:val="24"/>
        </w:rPr>
        <w:t>wartości całkowitej</w:t>
      </w:r>
      <w:r w:rsidR="00D57B8C" w:rsidRPr="006D71C7">
        <w:rPr>
          <w:b w:val="0"/>
          <w:color w:val="auto"/>
          <w:sz w:val="24"/>
          <w:szCs w:val="24"/>
        </w:rPr>
        <w:t>,</w:t>
      </w:r>
      <w:r w:rsidR="007B6365" w:rsidRPr="006D71C7">
        <w:rPr>
          <w:b w:val="0"/>
          <w:color w:val="auto"/>
          <w:sz w:val="24"/>
          <w:szCs w:val="24"/>
        </w:rPr>
        <w:t xml:space="preserve"> jak i dofinansowania, świadczy o tym fakt, iż do końca okresu sprawozdawczego podpisano w ramach priorytetu tylko 73 umowy </w:t>
      </w:r>
      <w:r w:rsidR="00372B6A" w:rsidRPr="006D71C7">
        <w:rPr>
          <w:b w:val="0"/>
          <w:color w:val="auto"/>
          <w:sz w:val="24"/>
          <w:szCs w:val="24"/>
        </w:rPr>
        <w:t xml:space="preserve">ale </w:t>
      </w:r>
      <w:r w:rsidR="004218CA">
        <w:rPr>
          <w:b w:val="0"/>
          <w:color w:val="auto"/>
          <w:sz w:val="24"/>
          <w:szCs w:val="24"/>
        </w:rPr>
        <w:t>na kwotę aż </w:t>
      </w:r>
      <w:r w:rsidR="007B6365" w:rsidRPr="006D71C7">
        <w:rPr>
          <w:b w:val="0"/>
          <w:color w:val="auto"/>
          <w:sz w:val="24"/>
          <w:szCs w:val="24"/>
        </w:rPr>
        <w:t>262 mln EUR.</w:t>
      </w:r>
    </w:p>
    <w:p w:rsidR="00C219DA" w:rsidRPr="006D71C7" w:rsidRDefault="00AD7866" w:rsidP="006D71C7">
      <w:pPr>
        <w:jc w:val="both"/>
      </w:pPr>
      <w:r w:rsidRPr="006D71C7">
        <w:rPr>
          <w:szCs w:val="24"/>
        </w:rPr>
        <w:t>Poniżej na schemacie przedstawiono poziom kontraktacji i płatności ogółem na priorytet oraz w podziale na PRS, IWIPK, Inicjatywę JESSICA i konkursy.</w:t>
      </w:r>
      <w:r w:rsidR="00C219DA" w:rsidRPr="006D71C7">
        <w:t xml:space="preserve"> </w:t>
      </w:r>
    </w:p>
    <w:p w:rsidR="00C219DA" w:rsidRPr="006D71C7" w:rsidRDefault="00C219DA" w:rsidP="006D71C7">
      <w:pPr>
        <w:jc w:val="both"/>
      </w:pPr>
      <w:r w:rsidRPr="006D71C7">
        <w:t xml:space="preserve">Na wdrażanie Inicjatywy JESSICA w województwie śląskim przeznaczono 60 mln EUR – 51 mln EUR z </w:t>
      </w:r>
      <w:r w:rsidRPr="006D71C7">
        <w:rPr>
          <w:i/>
        </w:rPr>
        <w:t>Działania 6.2 Rewitalizacja Obszarów Zdegradowanych RPO WSL</w:t>
      </w:r>
      <w:r w:rsidRPr="006D71C7">
        <w:t xml:space="preserve"> i 9 mln EUR z budżetu państwa. W okresie sprawozdawczym według kursu 1 euro =  4,5270 PLN, kwota przeznaczona na Inicjatywę JESSICA wynosi 55,14 mln EUR (249,62 mln PLN), stąd na poniższym diagramie kwota dofinansowania dla JESSICA różni się od kwoty zapisanej w </w:t>
      </w:r>
      <w:r w:rsidRPr="006D71C7">
        <w:rPr>
          <w:i/>
        </w:rPr>
        <w:t>Umowie o finansowaniu pomiędzy EBI a Województwem Śląskim</w:t>
      </w:r>
      <w:r w:rsidRPr="006D71C7">
        <w:t>.</w:t>
      </w:r>
    </w:p>
    <w:p w:rsidR="00AD7866" w:rsidRPr="006D71C7" w:rsidRDefault="00AD7866" w:rsidP="006D71C7">
      <w:pPr>
        <w:spacing w:after="120"/>
        <w:jc w:val="both"/>
        <w:rPr>
          <w:szCs w:val="24"/>
        </w:rPr>
      </w:pPr>
      <w:r w:rsidRPr="006D71C7">
        <w:rPr>
          <w:noProof/>
          <w:szCs w:val="24"/>
        </w:rPr>
        <w:drawing>
          <wp:inline distT="0" distB="0" distL="0" distR="0">
            <wp:extent cx="5975350" cy="3793980"/>
            <wp:effectExtent l="38100" t="0" r="25400" b="0"/>
            <wp:docPr id="3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C43B75" w:rsidRDefault="00C43B75" w:rsidP="00C43B75">
      <w:pPr>
        <w:pStyle w:val="Legenda"/>
        <w:rPr>
          <w:b w:val="0"/>
          <w:i/>
          <w:color w:val="auto"/>
          <w:sz w:val="20"/>
          <w:szCs w:val="20"/>
        </w:rPr>
      </w:pPr>
      <w:bookmarkStart w:id="511" w:name="_Toc324853734"/>
      <w:r w:rsidRPr="00C43B75">
        <w:rPr>
          <w:color w:val="auto"/>
          <w:sz w:val="20"/>
          <w:szCs w:val="20"/>
        </w:rPr>
        <w:t xml:space="preserve"> </w:t>
      </w:r>
      <w:bookmarkStart w:id="512" w:name="_Toc326055362"/>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44</w:t>
      </w:r>
      <w:r w:rsidR="008F7228" w:rsidRPr="00C43B75">
        <w:rPr>
          <w:color w:val="auto"/>
          <w:sz w:val="20"/>
          <w:szCs w:val="20"/>
        </w:rPr>
        <w:fldChar w:fldCharType="end"/>
      </w:r>
      <w:r w:rsidR="00C53D11">
        <w:t xml:space="preserve"> </w:t>
      </w:r>
      <w:r w:rsidR="007338BD" w:rsidRPr="006D71C7">
        <w:rPr>
          <w:b w:val="0"/>
          <w:i/>
          <w:color w:val="auto"/>
          <w:sz w:val="20"/>
          <w:szCs w:val="20"/>
        </w:rPr>
        <w:t xml:space="preserve">Poziom kontraktacji i płatności </w:t>
      </w:r>
      <w:r w:rsidR="009428B6" w:rsidRPr="006D71C7">
        <w:rPr>
          <w:b w:val="0"/>
          <w:i/>
          <w:color w:val="auto"/>
          <w:sz w:val="20"/>
          <w:szCs w:val="20"/>
        </w:rPr>
        <w:t>w podziale na ścieżki wyboru projektów</w:t>
      </w:r>
      <w:bookmarkEnd w:id="511"/>
      <w:bookmarkEnd w:id="512"/>
    </w:p>
    <w:p w:rsidR="00AD7866" w:rsidRPr="006D71C7" w:rsidRDefault="00AD7866" w:rsidP="006D71C7">
      <w:pPr>
        <w:spacing w:after="0"/>
        <w:jc w:val="both"/>
        <w:rPr>
          <w:szCs w:val="24"/>
        </w:rPr>
      </w:pPr>
      <w:r w:rsidRPr="006D71C7">
        <w:t>W okresie sprawozdawczym nie ogłoszono żadnego konkursu w ram</w:t>
      </w:r>
      <w:r w:rsidR="007B6365" w:rsidRPr="006D71C7">
        <w:t>ach przedmiotowego p</w:t>
      </w:r>
      <w:r w:rsidRPr="006D71C7">
        <w:t>riorytetu,</w:t>
      </w:r>
      <w:r w:rsidRPr="006D71C7">
        <w:rPr>
          <w:szCs w:val="24"/>
        </w:rPr>
        <w:t xml:space="preserve"> ponieważ wszystkie konkursy zostały ogłoszone już wcześniej. </w:t>
      </w:r>
    </w:p>
    <w:p w:rsidR="00AD7866" w:rsidRPr="006D71C7" w:rsidRDefault="00AD7866" w:rsidP="006D71C7">
      <w:pPr>
        <w:spacing w:after="0"/>
        <w:jc w:val="both"/>
      </w:pPr>
    </w:p>
    <w:p w:rsidR="00AD7866" w:rsidRPr="006D71C7" w:rsidRDefault="00AD7866" w:rsidP="006D71C7">
      <w:pPr>
        <w:jc w:val="both"/>
        <w:rPr>
          <w:b/>
          <w:i/>
        </w:rPr>
      </w:pPr>
      <w:r w:rsidRPr="006D71C7">
        <w:rPr>
          <w:b/>
          <w:i/>
        </w:rPr>
        <w:t>Rozkład pr</w:t>
      </w:r>
      <w:r w:rsidR="007B6365" w:rsidRPr="006D71C7">
        <w:rPr>
          <w:b/>
          <w:i/>
        </w:rPr>
        <w:t>ojektów realizowanych w ramach p</w:t>
      </w:r>
      <w:r w:rsidRPr="006D71C7">
        <w:rPr>
          <w:b/>
          <w:i/>
        </w:rPr>
        <w:t>riorytetu VI</w:t>
      </w:r>
    </w:p>
    <w:p w:rsidR="00AD7866" w:rsidRPr="006D71C7" w:rsidRDefault="00AD7866" w:rsidP="006D71C7">
      <w:pPr>
        <w:jc w:val="both"/>
      </w:pPr>
      <w:r w:rsidRPr="006D71C7">
        <w:t>Analizując rozkład udzielonego wsparcia według typu beneficjentów, najszersze grono odbiorców stanowią JST (52%) oraz jednostki organizacyjne JST (20%), dla których przeznaczono zdecydowaną większość ś</w:t>
      </w:r>
      <w:r w:rsidR="007B6365" w:rsidRPr="006D71C7">
        <w:t>rodków w ramach przedmiotowego p</w:t>
      </w:r>
      <w:r w:rsidRPr="006D71C7">
        <w:t>riorytetu. 18% środków w ramach priorytetu VI zostało przeznaczonych na realizację Inicjatywy JESSICA. Fundusz Powierniczy JESSICA został zorganizowany jako „wydzielona jednostka finansowa” w ramach Europejskiego Banku Inwestycyjnego.</w:t>
      </w:r>
    </w:p>
    <w:p w:rsidR="00AD7866" w:rsidRPr="006D71C7" w:rsidRDefault="00AD7866" w:rsidP="00765E72">
      <w:pPr>
        <w:jc w:val="center"/>
      </w:pPr>
      <w:r w:rsidRPr="006D71C7">
        <w:rPr>
          <w:noProof/>
        </w:rPr>
        <w:drawing>
          <wp:inline distT="0" distB="0" distL="0" distR="0">
            <wp:extent cx="5859219" cy="2747896"/>
            <wp:effectExtent l="38100" t="19050" r="27231" b="0"/>
            <wp:docPr id="35"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C43B75" w:rsidRDefault="00C43B75" w:rsidP="00C43B75">
      <w:pPr>
        <w:pStyle w:val="Legenda"/>
        <w:rPr>
          <w:b w:val="0"/>
          <w:i/>
          <w:color w:val="auto"/>
          <w:sz w:val="20"/>
          <w:szCs w:val="20"/>
        </w:rPr>
      </w:pPr>
      <w:bookmarkStart w:id="513" w:name="_Toc324853735"/>
      <w:bookmarkStart w:id="514" w:name="_Toc326055363"/>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45</w:t>
      </w:r>
      <w:r w:rsidR="008F7228" w:rsidRPr="00C43B75">
        <w:rPr>
          <w:color w:val="auto"/>
          <w:sz w:val="20"/>
          <w:szCs w:val="20"/>
        </w:rPr>
        <w:fldChar w:fldCharType="end"/>
      </w:r>
      <w:r w:rsidR="00C53D11">
        <w:t xml:space="preserve"> </w:t>
      </w:r>
      <w:r w:rsidR="00AD7866" w:rsidRPr="006D71C7">
        <w:rPr>
          <w:b w:val="0"/>
          <w:i/>
          <w:color w:val="auto"/>
          <w:sz w:val="20"/>
          <w:szCs w:val="20"/>
        </w:rPr>
        <w:t xml:space="preserve">Rozkład projektów  realizowanych w ramach </w:t>
      </w:r>
      <w:r w:rsidR="00E51322" w:rsidRPr="006D71C7">
        <w:rPr>
          <w:b w:val="0"/>
          <w:i/>
          <w:color w:val="auto"/>
          <w:sz w:val="20"/>
          <w:szCs w:val="20"/>
        </w:rPr>
        <w:t>p</w:t>
      </w:r>
      <w:r w:rsidR="00AD7866" w:rsidRPr="006D71C7">
        <w:rPr>
          <w:b w:val="0"/>
          <w:i/>
          <w:color w:val="auto"/>
          <w:sz w:val="20"/>
          <w:szCs w:val="20"/>
        </w:rPr>
        <w:t>riorytetu VI w podziale na beneficjentów</w:t>
      </w:r>
      <w:bookmarkEnd w:id="513"/>
      <w:bookmarkEnd w:id="514"/>
      <w:r w:rsidR="00AD7866" w:rsidRPr="006D71C7">
        <w:rPr>
          <w:b w:val="0"/>
          <w:i/>
          <w:color w:val="auto"/>
          <w:sz w:val="20"/>
          <w:szCs w:val="20"/>
        </w:rPr>
        <w:t xml:space="preserve"> </w:t>
      </w:r>
    </w:p>
    <w:p w:rsidR="00AD7866" w:rsidRPr="006D71C7" w:rsidRDefault="00AD7866" w:rsidP="006D71C7">
      <w:pPr>
        <w:jc w:val="both"/>
      </w:pPr>
      <w:r w:rsidRPr="006D71C7">
        <w:t>Ponad 95% środków skierowanych zostało na realizacje inwestycji na obszarach miejskich, natomiast około 4% na tereny wiejskie.</w:t>
      </w:r>
    </w:p>
    <w:p w:rsidR="00245F70" w:rsidRPr="006D71C7" w:rsidRDefault="007338BD" w:rsidP="006D71C7">
      <w:pPr>
        <w:pStyle w:val="Legenda"/>
        <w:spacing w:line="276" w:lineRule="auto"/>
        <w:jc w:val="both"/>
        <w:rPr>
          <w:b w:val="0"/>
          <w:i/>
          <w:color w:val="auto"/>
        </w:rPr>
      </w:pPr>
      <w:bookmarkStart w:id="515" w:name="_Toc324853736"/>
      <w:bookmarkStart w:id="516" w:name="_Toc326046381"/>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29</w:t>
      </w:r>
      <w:r w:rsidR="008F7228" w:rsidRPr="006D71C7">
        <w:rPr>
          <w:color w:val="auto"/>
          <w:sz w:val="20"/>
          <w:szCs w:val="20"/>
        </w:rPr>
        <w:fldChar w:fldCharType="end"/>
      </w:r>
      <w:r w:rsidR="00E51322" w:rsidRPr="006D71C7">
        <w:rPr>
          <w:color w:val="auto"/>
        </w:rPr>
        <w:t xml:space="preserve"> </w:t>
      </w:r>
      <w:r w:rsidRPr="006D71C7">
        <w:rPr>
          <w:b w:val="0"/>
          <w:i/>
          <w:color w:val="auto"/>
          <w:sz w:val="20"/>
          <w:szCs w:val="20"/>
        </w:rPr>
        <w:t xml:space="preserve">Rozkład projektów realizowanych w ramach </w:t>
      </w:r>
      <w:r w:rsidR="00E51322" w:rsidRPr="006D71C7">
        <w:rPr>
          <w:b w:val="0"/>
          <w:i/>
          <w:color w:val="auto"/>
          <w:sz w:val="20"/>
          <w:szCs w:val="20"/>
        </w:rPr>
        <w:t>p</w:t>
      </w:r>
      <w:r w:rsidRPr="006D71C7">
        <w:rPr>
          <w:b w:val="0"/>
          <w:i/>
          <w:color w:val="auto"/>
          <w:sz w:val="20"/>
          <w:szCs w:val="20"/>
        </w:rPr>
        <w:t>riorytetu VI w podziale na obszar (wartość</w:t>
      </w:r>
      <w:r w:rsidR="009428B6" w:rsidRPr="006D71C7">
        <w:rPr>
          <w:b w:val="0"/>
          <w:i/>
          <w:color w:val="auto"/>
          <w:sz w:val="20"/>
          <w:szCs w:val="20"/>
        </w:rPr>
        <w:t xml:space="preserve"> w mln EUR </w:t>
      </w:r>
      <w:r w:rsidRPr="006D71C7">
        <w:rPr>
          <w:b w:val="0"/>
          <w:i/>
          <w:color w:val="auto"/>
          <w:sz w:val="20"/>
          <w:szCs w:val="20"/>
        </w:rPr>
        <w:t>i liczba)</w:t>
      </w:r>
      <w:bookmarkEnd w:id="515"/>
      <w:bookmarkEnd w:id="516"/>
    </w:p>
    <w:tbl>
      <w:tblPr>
        <w:tblStyle w:val="redniasiatka3akcent1"/>
        <w:tblW w:w="0" w:type="auto"/>
        <w:shd w:val="clear" w:color="auto" w:fill="F4B29B" w:themeFill="accent1" w:themeFillTint="66"/>
        <w:tblLook w:val="04A0" w:firstRow="1" w:lastRow="0" w:firstColumn="1" w:lastColumn="0" w:noHBand="0" w:noVBand="1"/>
      </w:tblPr>
      <w:tblGrid>
        <w:gridCol w:w="2303"/>
        <w:gridCol w:w="2303"/>
        <w:gridCol w:w="2303"/>
        <w:gridCol w:w="2303"/>
      </w:tblGrid>
      <w:tr w:rsidR="00AD7866" w:rsidRPr="00C53D11" w:rsidTr="00C74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74054">
            <w:pPr>
              <w:jc w:val="center"/>
              <w:rPr>
                <w:bCs w:val="0"/>
                <w:color w:val="auto"/>
                <w:sz w:val="20"/>
                <w:szCs w:val="20"/>
              </w:rPr>
            </w:pPr>
            <w:r w:rsidRPr="00C43B75">
              <w:rPr>
                <w:color w:val="auto"/>
                <w:sz w:val="20"/>
                <w:szCs w:val="20"/>
              </w:rPr>
              <w:t>OBSZAR</w:t>
            </w:r>
          </w:p>
        </w:tc>
        <w:tc>
          <w:tcPr>
            <w:tcW w:w="2303" w:type="dxa"/>
            <w:shd w:val="clear" w:color="auto" w:fill="F4B29B" w:themeFill="accent1" w:themeFillTint="66"/>
            <w:vAlign w:val="center"/>
          </w:tcPr>
          <w:p w:rsidR="00C43B75" w:rsidRPr="00C43B75" w:rsidRDefault="00C43B75" w:rsidP="00C74054">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LICZBA</w:t>
            </w:r>
          </w:p>
        </w:tc>
        <w:tc>
          <w:tcPr>
            <w:tcW w:w="2303" w:type="dxa"/>
            <w:shd w:val="clear" w:color="auto" w:fill="F4B29B" w:themeFill="accent1" w:themeFillTint="66"/>
            <w:vAlign w:val="center"/>
          </w:tcPr>
          <w:p w:rsidR="00C43B75" w:rsidRPr="00C43B75" w:rsidRDefault="00C43B75" w:rsidP="00C74054">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WARTOŚĆ OGÓŁEM</w:t>
            </w:r>
          </w:p>
        </w:tc>
        <w:tc>
          <w:tcPr>
            <w:tcW w:w="2303" w:type="dxa"/>
            <w:shd w:val="clear" w:color="auto" w:fill="F4B29B" w:themeFill="accent1" w:themeFillTint="66"/>
            <w:vAlign w:val="center"/>
          </w:tcPr>
          <w:p w:rsidR="00C43B75" w:rsidRPr="00C43B75" w:rsidRDefault="00C43B75" w:rsidP="00C74054">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DOFINANSOWANIE UE</w:t>
            </w:r>
          </w:p>
        </w:tc>
      </w:tr>
      <w:tr w:rsidR="00AD7866" w:rsidRPr="00C53D11" w:rsidTr="00C7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74054">
            <w:pPr>
              <w:jc w:val="center"/>
              <w:rPr>
                <w:bCs w:val="0"/>
                <w:color w:val="auto"/>
                <w:sz w:val="20"/>
                <w:szCs w:val="20"/>
              </w:rPr>
            </w:pPr>
            <w:r w:rsidRPr="00C43B75">
              <w:rPr>
                <w:color w:val="auto"/>
                <w:sz w:val="20"/>
                <w:szCs w:val="20"/>
              </w:rPr>
              <w:t>MIEJSKI</w:t>
            </w:r>
          </w:p>
        </w:tc>
        <w:tc>
          <w:tcPr>
            <w:tcW w:w="2303" w:type="dxa"/>
            <w:tcBorders>
              <w:top w:val="single" w:sz="24" w:space="0" w:color="FFFFFF" w:themeColor="background1"/>
            </w:tcBorders>
            <w:shd w:val="clear" w:color="auto" w:fill="F9D8CD" w:themeFill="accent1" w:themeFillTint="33"/>
            <w:vAlign w:val="center"/>
          </w:tcPr>
          <w:p w:rsidR="00C43B75" w:rsidRDefault="00C43B75" w:rsidP="00C7405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57</w:t>
            </w:r>
          </w:p>
        </w:tc>
        <w:tc>
          <w:tcPr>
            <w:tcW w:w="2303" w:type="dxa"/>
            <w:tcBorders>
              <w:top w:val="single" w:sz="24" w:space="0" w:color="FFFFFF" w:themeColor="background1"/>
            </w:tcBorders>
            <w:shd w:val="clear" w:color="auto" w:fill="F9D8CD" w:themeFill="accent1" w:themeFillTint="33"/>
            <w:vAlign w:val="center"/>
          </w:tcPr>
          <w:p w:rsidR="00C43B75" w:rsidRDefault="00C43B75" w:rsidP="00C7405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424,17</w:t>
            </w:r>
          </w:p>
        </w:tc>
        <w:tc>
          <w:tcPr>
            <w:tcW w:w="2303" w:type="dxa"/>
            <w:tcBorders>
              <w:top w:val="single" w:sz="24" w:space="0" w:color="FFFFFF" w:themeColor="background1"/>
            </w:tcBorders>
            <w:shd w:val="clear" w:color="auto" w:fill="F9D8CD" w:themeFill="accent1" w:themeFillTint="33"/>
            <w:vAlign w:val="center"/>
          </w:tcPr>
          <w:p w:rsidR="00C43B75" w:rsidRDefault="00C43B75" w:rsidP="00C7405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248,99</w:t>
            </w:r>
          </w:p>
        </w:tc>
      </w:tr>
      <w:tr w:rsidR="00AD7866" w:rsidRPr="00C53D11" w:rsidTr="00C74054">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74054">
            <w:pPr>
              <w:jc w:val="center"/>
              <w:rPr>
                <w:bCs w:val="0"/>
                <w:color w:val="auto"/>
                <w:sz w:val="20"/>
                <w:szCs w:val="20"/>
              </w:rPr>
            </w:pPr>
            <w:r w:rsidRPr="00C43B75">
              <w:rPr>
                <w:color w:val="auto"/>
                <w:sz w:val="20"/>
                <w:szCs w:val="20"/>
              </w:rPr>
              <w:t>WIEJSKI</w:t>
            </w:r>
          </w:p>
        </w:tc>
        <w:tc>
          <w:tcPr>
            <w:tcW w:w="2303"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7405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43B75">
              <w:rPr>
                <w:b/>
                <w:sz w:val="20"/>
                <w:szCs w:val="20"/>
              </w:rPr>
              <w:t>13</w:t>
            </w:r>
          </w:p>
        </w:tc>
        <w:tc>
          <w:tcPr>
            <w:tcW w:w="2303"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7405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43B75">
              <w:rPr>
                <w:b/>
                <w:sz w:val="20"/>
                <w:szCs w:val="20"/>
              </w:rPr>
              <w:t>14,64</w:t>
            </w:r>
          </w:p>
        </w:tc>
        <w:tc>
          <w:tcPr>
            <w:tcW w:w="2303"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7405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43B75">
              <w:rPr>
                <w:b/>
                <w:sz w:val="20"/>
                <w:szCs w:val="20"/>
              </w:rPr>
              <w:t>11,58</w:t>
            </w:r>
          </w:p>
        </w:tc>
      </w:tr>
      <w:tr w:rsidR="00AD7866" w:rsidRPr="00C53D11" w:rsidTr="00C7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74054">
            <w:pPr>
              <w:jc w:val="center"/>
              <w:rPr>
                <w:bCs w:val="0"/>
                <w:color w:val="auto"/>
                <w:sz w:val="20"/>
                <w:szCs w:val="20"/>
              </w:rPr>
            </w:pPr>
            <w:r w:rsidRPr="00C43B75">
              <w:rPr>
                <w:color w:val="auto"/>
                <w:sz w:val="20"/>
                <w:szCs w:val="20"/>
              </w:rPr>
              <w:t>GÓRSKI</w:t>
            </w:r>
          </w:p>
        </w:tc>
        <w:tc>
          <w:tcPr>
            <w:tcW w:w="2303" w:type="dxa"/>
            <w:shd w:val="clear" w:color="auto" w:fill="F9D8CD" w:themeFill="accent1" w:themeFillTint="33"/>
            <w:vAlign w:val="center"/>
          </w:tcPr>
          <w:p w:rsidR="00C43B75" w:rsidRDefault="00C43B75" w:rsidP="00C7405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3</w:t>
            </w:r>
          </w:p>
        </w:tc>
        <w:tc>
          <w:tcPr>
            <w:tcW w:w="2303" w:type="dxa"/>
            <w:shd w:val="clear" w:color="auto" w:fill="F9D8CD" w:themeFill="accent1" w:themeFillTint="33"/>
            <w:vAlign w:val="center"/>
          </w:tcPr>
          <w:p w:rsidR="00C43B75" w:rsidRDefault="00C43B75" w:rsidP="00C7405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2,14</w:t>
            </w:r>
          </w:p>
        </w:tc>
        <w:tc>
          <w:tcPr>
            <w:tcW w:w="2303" w:type="dxa"/>
            <w:shd w:val="clear" w:color="auto" w:fill="F9D8CD" w:themeFill="accent1" w:themeFillTint="33"/>
            <w:vAlign w:val="center"/>
          </w:tcPr>
          <w:p w:rsidR="00C43B75" w:rsidRDefault="00C43B75" w:rsidP="00C7405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1,75</w:t>
            </w:r>
          </w:p>
        </w:tc>
      </w:tr>
    </w:tbl>
    <w:p w:rsidR="00245F70" w:rsidRPr="006D71C7" w:rsidRDefault="00AD7866" w:rsidP="006D71C7">
      <w:pPr>
        <w:spacing w:before="100" w:beforeAutospacing="1"/>
        <w:jc w:val="both"/>
        <w:rPr>
          <w:szCs w:val="24"/>
        </w:rPr>
      </w:pPr>
      <w:r w:rsidRPr="006D71C7">
        <w:rPr>
          <w:szCs w:val="24"/>
        </w:rPr>
        <w:t>W ramach priorytetu realizowane są projekty, których wartość dofinansowania kształtuje się w przedziale od 44 087,79 EUR do 49 731 716,02 EUR. Średnia wartość dofinansowania dla projektu wynosi 3 593 553,37 EUR, a średnia wartość całkowita projektu to 6 040 431,31 EUR.</w:t>
      </w:r>
    </w:p>
    <w:p w:rsidR="002B2C49" w:rsidRPr="006D71C7" w:rsidRDefault="002B2C49" w:rsidP="006D71C7">
      <w:pPr>
        <w:jc w:val="both"/>
        <w:rPr>
          <w:szCs w:val="24"/>
        </w:rPr>
      </w:pPr>
      <w:r w:rsidRPr="006D71C7">
        <w:rPr>
          <w:szCs w:val="24"/>
        </w:rPr>
        <w:t xml:space="preserve">W ramach przedmiotowego priorytetu w realizacji projektu pod względem kwotowym </w:t>
      </w:r>
      <w:r w:rsidR="00AE2024" w:rsidRPr="006D71C7">
        <w:rPr>
          <w:szCs w:val="24"/>
        </w:rPr>
        <w:t xml:space="preserve">zdecydowanym </w:t>
      </w:r>
      <w:r w:rsidRPr="006D71C7">
        <w:rPr>
          <w:szCs w:val="24"/>
        </w:rPr>
        <w:t xml:space="preserve">faworytem </w:t>
      </w:r>
      <w:r w:rsidR="009428B6" w:rsidRPr="006D71C7">
        <w:rPr>
          <w:szCs w:val="24"/>
        </w:rPr>
        <w:t xml:space="preserve">jest </w:t>
      </w:r>
      <w:r w:rsidRPr="006D71C7">
        <w:rPr>
          <w:szCs w:val="24"/>
        </w:rPr>
        <w:t xml:space="preserve">Miasto Katowice, </w:t>
      </w:r>
      <w:r w:rsidR="00BE0BFE" w:rsidRPr="006D71C7">
        <w:rPr>
          <w:szCs w:val="24"/>
        </w:rPr>
        <w:t xml:space="preserve">które </w:t>
      </w:r>
      <w:r w:rsidRPr="006D71C7">
        <w:rPr>
          <w:szCs w:val="24"/>
        </w:rPr>
        <w:t>realizuj</w:t>
      </w:r>
      <w:r w:rsidR="00BE0BFE" w:rsidRPr="006D71C7">
        <w:rPr>
          <w:szCs w:val="24"/>
        </w:rPr>
        <w:t>e</w:t>
      </w:r>
      <w:r w:rsidRPr="006D71C7">
        <w:rPr>
          <w:szCs w:val="24"/>
        </w:rPr>
        <w:t xml:space="preserve"> m.in. kluczowe projekty.</w:t>
      </w:r>
      <w:r w:rsidR="00AE2024" w:rsidRPr="006D71C7">
        <w:rPr>
          <w:szCs w:val="24"/>
        </w:rPr>
        <w:t xml:space="preserve"> Średnio beneficjenci realizują po dwa projekty,</w:t>
      </w:r>
      <w:r w:rsidR="00372B6A" w:rsidRPr="006D71C7">
        <w:rPr>
          <w:szCs w:val="24"/>
        </w:rPr>
        <w:t xml:space="preserve"> ale</w:t>
      </w:r>
      <w:r w:rsidR="00AE2024" w:rsidRPr="006D71C7">
        <w:rPr>
          <w:szCs w:val="24"/>
        </w:rPr>
        <w:t xml:space="preserve"> są także powiaty</w:t>
      </w:r>
      <w:r w:rsidR="004218CA">
        <w:rPr>
          <w:szCs w:val="24"/>
        </w:rPr>
        <w:t>, które nie otrzymały w </w:t>
      </w:r>
      <w:r w:rsidR="00AE2024" w:rsidRPr="006D71C7">
        <w:rPr>
          <w:szCs w:val="24"/>
        </w:rPr>
        <w:t>ogóle dofinansowania w ramach przedmiotowego priorytetu (Miasto Mysłowice, powiat pszczyński).</w:t>
      </w:r>
    </w:p>
    <w:p w:rsidR="002B2C49" w:rsidRPr="006D71C7" w:rsidRDefault="00463A8F" w:rsidP="006D71C7">
      <w:pPr>
        <w:spacing w:after="120" w:line="240" w:lineRule="auto"/>
        <w:jc w:val="both"/>
        <w:rPr>
          <w:b/>
          <w:bCs/>
          <w:i/>
          <w:iCs/>
          <w:sz w:val="20"/>
          <w:szCs w:val="20"/>
        </w:rPr>
      </w:pPr>
      <w:r w:rsidRPr="006D71C7">
        <w:rPr>
          <w:b/>
          <w:bCs/>
          <w:i/>
          <w:iCs/>
          <w:noProof/>
          <w:sz w:val="20"/>
          <w:szCs w:val="20"/>
        </w:rPr>
        <w:drawing>
          <wp:inline distT="0" distB="0" distL="0" distR="0">
            <wp:extent cx="5759450" cy="5116024"/>
            <wp:effectExtent l="19050" t="0" r="0" b="0"/>
            <wp:docPr id="51"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cstate="print"/>
                    <a:srcRect/>
                    <a:stretch>
                      <a:fillRect/>
                    </a:stretch>
                  </pic:blipFill>
                  <pic:spPr bwMode="auto">
                    <a:xfrm>
                      <a:off x="0" y="0"/>
                      <a:ext cx="5759450" cy="5116024"/>
                    </a:xfrm>
                    <a:prstGeom prst="rect">
                      <a:avLst/>
                    </a:prstGeom>
                    <a:noFill/>
                    <a:ln w="9525">
                      <a:noFill/>
                      <a:miter lim="800000"/>
                      <a:headEnd/>
                      <a:tailEnd/>
                    </a:ln>
                  </pic:spPr>
                </pic:pic>
              </a:graphicData>
            </a:graphic>
          </wp:inline>
        </w:drawing>
      </w:r>
    </w:p>
    <w:p w:rsidR="00C43B75" w:rsidRDefault="00C43B75" w:rsidP="00C43B75">
      <w:pPr>
        <w:pStyle w:val="Legenda"/>
        <w:rPr>
          <w:b w:val="0"/>
          <w:bCs w:val="0"/>
          <w:i/>
          <w:iCs/>
          <w:color w:val="auto"/>
          <w:sz w:val="20"/>
          <w:szCs w:val="20"/>
        </w:rPr>
      </w:pPr>
      <w:bookmarkStart w:id="517" w:name="_Toc324786947"/>
      <w:bookmarkStart w:id="518" w:name="_Toc324854713"/>
      <w:bookmarkStart w:id="519" w:name="_Toc324854777"/>
      <w:bookmarkStart w:id="520" w:name="_Toc326055364"/>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46</w:t>
      </w:r>
      <w:r w:rsidR="008F7228" w:rsidRPr="00C43B75">
        <w:rPr>
          <w:color w:val="auto"/>
          <w:sz w:val="20"/>
          <w:szCs w:val="20"/>
        </w:rPr>
        <w:fldChar w:fldCharType="end"/>
      </w:r>
      <w:r w:rsidR="00C53D11">
        <w:t xml:space="preserve"> </w:t>
      </w:r>
      <w:r w:rsidR="007338BD" w:rsidRPr="006D71C7">
        <w:rPr>
          <w:b w:val="0"/>
          <w:i/>
          <w:color w:val="auto"/>
          <w:sz w:val="20"/>
          <w:szCs w:val="20"/>
        </w:rPr>
        <w:t>Realizacja projektów w podziale na powiaty</w:t>
      </w:r>
      <w:bookmarkEnd w:id="517"/>
      <w:bookmarkEnd w:id="518"/>
      <w:bookmarkEnd w:id="519"/>
      <w:bookmarkEnd w:id="520"/>
      <w:r w:rsidR="00C53D11">
        <w:rPr>
          <w:b w:val="0"/>
          <w:i/>
          <w:color w:val="auto"/>
          <w:sz w:val="20"/>
          <w:szCs w:val="20"/>
        </w:rPr>
        <w:t xml:space="preserve"> </w:t>
      </w:r>
    </w:p>
    <w:p w:rsidR="007B6365" w:rsidRPr="006D71C7" w:rsidRDefault="00AD7866" w:rsidP="006D71C7">
      <w:pPr>
        <w:spacing w:after="120" w:line="240" w:lineRule="auto"/>
        <w:jc w:val="both"/>
        <w:rPr>
          <w:b/>
          <w:bCs/>
          <w:i/>
          <w:iCs/>
          <w:szCs w:val="24"/>
        </w:rPr>
      </w:pPr>
      <w:r w:rsidRPr="006D71C7">
        <w:rPr>
          <w:b/>
          <w:bCs/>
          <w:i/>
          <w:iCs/>
          <w:szCs w:val="24"/>
        </w:rPr>
        <w:t>Analiza wskaźnikowa</w:t>
      </w:r>
    </w:p>
    <w:p w:rsidR="007B6365" w:rsidRPr="006D71C7" w:rsidRDefault="007B6365" w:rsidP="006D71C7">
      <w:pPr>
        <w:spacing w:after="120"/>
        <w:jc w:val="both"/>
        <w:rPr>
          <w:b/>
          <w:bCs/>
          <w:i/>
          <w:iCs/>
          <w:szCs w:val="24"/>
        </w:rPr>
      </w:pPr>
      <w:r w:rsidRPr="006D71C7">
        <w:rPr>
          <w:bCs/>
          <w:iCs/>
          <w:szCs w:val="24"/>
        </w:rPr>
        <w:t>W</w:t>
      </w:r>
      <w:r w:rsidRPr="006D71C7">
        <w:t xml:space="preserve"> priorytecie VI jeden z ogólnej liczby trzech wskaźników produktu posiada realizację na poziomie zerowym. Dla wskaźnika produktu </w:t>
      </w:r>
      <w:r w:rsidRPr="006D71C7">
        <w:rPr>
          <w:i/>
        </w:rPr>
        <w:t>Liczba projektów zapewniających zrównoważony rozwój oraz poprawiających atrakcyjność miast</w:t>
      </w:r>
      <w:r w:rsidRPr="006D71C7">
        <w:t xml:space="preserve"> osiągnięto realizację na poziomie 12 sztuk, co oznacza osiągnięcie 9% wartości docelowej wskaźnika dla 2015 roku.</w:t>
      </w:r>
      <w:r w:rsidRPr="006D71C7">
        <w:rPr>
          <w:b/>
          <w:bCs/>
          <w:i/>
          <w:iCs/>
          <w:szCs w:val="24"/>
        </w:rPr>
        <w:t xml:space="preserve"> </w:t>
      </w:r>
      <w:r w:rsidRPr="006D71C7">
        <w:t xml:space="preserve">W przypadku wskaźników rezultatu jeden spośród wszystkich siedmiu wskaźników rezultatu posiada realizację na poziomie zerowym. Wskaźnik </w:t>
      </w:r>
      <w:r w:rsidRPr="006D71C7">
        <w:rPr>
          <w:i/>
        </w:rPr>
        <w:t>Liczba imprez organizowanych z wykorzystaniem infrastruktury objętej wsparciem w ramach priorytetu</w:t>
      </w:r>
      <w:r w:rsidRPr="006D71C7">
        <w:t xml:space="preserve"> osiągnął najwyższą w stosunku do zakładanej wartości docelowej dla 2015 roku realizację stanowiącą 206% wartości docelowej.</w:t>
      </w:r>
    </w:p>
    <w:p w:rsidR="007B6365" w:rsidRPr="006D71C7" w:rsidRDefault="007B6365" w:rsidP="006D71C7">
      <w:pPr>
        <w:jc w:val="both"/>
      </w:pPr>
      <w:r w:rsidRPr="006D71C7">
        <w:t xml:space="preserve">Niski poziom osiągnięcia wskaźników produktu priorytetu VI to jest wskaźników </w:t>
      </w:r>
      <w:r w:rsidRPr="006D71C7">
        <w:rPr>
          <w:i/>
        </w:rPr>
        <w:t>Liczba projektów zapewniających zrównoważony rozwój oraz poprawiających atrakcyjność miast, Liczba projektów dot. infrastruktury społeczeństwa informacyjnego</w:t>
      </w:r>
      <w:r w:rsidRPr="006D71C7">
        <w:t xml:space="preserve"> i </w:t>
      </w:r>
      <w:r w:rsidRPr="006D71C7">
        <w:rPr>
          <w:i/>
        </w:rPr>
        <w:t>Liczba projektów promujących biznes, przedsiębiorczość i nowe technologie</w:t>
      </w:r>
      <w:r w:rsidRPr="006D71C7">
        <w:t xml:space="preserve"> wynika z wciąż zbyt wczesnej fazy wdrażania </w:t>
      </w:r>
      <w:r w:rsidRPr="006D71C7">
        <w:rPr>
          <w:i/>
        </w:rPr>
        <w:t>działania 6.2</w:t>
      </w:r>
      <w:r w:rsidRPr="006D71C7">
        <w:t xml:space="preserve"> i jego poddziałań</w:t>
      </w:r>
      <w:r w:rsidR="00612CC4" w:rsidRPr="006D71C7">
        <w:t xml:space="preserve">. </w:t>
      </w:r>
      <w:r w:rsidRPr="006D71C7">
        <w:t xml:space="preserve">Z drugiej strony do zwiększenia realizacji powyższych wskaźników </w:t>
      </w:r>
      <w:r w:rsidR="00D57B8C" w:rsidRPr="006D71C7">
        <w:t xml:space="preserve">docelowo </w:t>
      </w:r>
      <w:r w:rsidRPr="006D71C7">
        <w:t xml:space="preserve">przyczyni </w:t>
      </w:r>
      <w:r w:rsidR="00612CC4" w:rsidRPr="006D71C7">
        <w:t xml:space="preserve">się </w:t>
      </w:r>
      <w:r w:rsidR="00D57B8C" w:rsidRPr="006D71C7">
        <w:t xml:space="preserve">w kolejnych okresach sprawozdawczych </w:t>
      </w:r>
      <w:r w:rsidR="00612CC4" w:rsidRPr="006D71C7">
        <w:t xml:space="preserve">postęp we wdrażaniu </w:t>
      </w:r>
      <w:r w:rsidR="00612CC4" w:rsidRPr="006D71C7">
        <w:rPr>
          <w:i/>
        </w:rPr>
        <w:t>d</w:t>
      </w:r>
      <w:r w:rsidRPr="006D71C7">
        <w:rPr>
          <w:i/>
        </w:rPr>
        <w:t>ziałania 6.1,</w:t>
      </w:r>
      <w:r w:rsidRPr="006D71C7">
        <w:t xml:space="preserve"> </w:t>
      </w:r>
      <w:r w:rsidR="00612CC4" w:rsidRPr="006D71C7">
        <w:t>w ramach którego</w:t>
      </w:r>
      <w:r w:rsidRPr="006D71C7">
        <w:t xml:space="preserve"> </w:t>
      </w:r>
      <w:r w:rsidR="00612CC4" w:rsidRPr="006D71C7">
        <w:t xml:space="preserve">realizowane są projekty kluczowe, wartościowo bardzo kosztowne, których realizacja jest długoterminowa. </w:t>
      </w:r>
    </w:p>
    <w:p w:rsidR="007B6365" w:rsidRPr="006D71C7" w:rsidRDefault="007B6365" w:rsidP="006D71C7">
      <w:pPr>
        <w:jc w:val="both"/>
      </w:pPr>
      <w:r w:rsidRPr="006D71C7">
        <w:t>Również w</w:t>
      </w:r>
      <w:r w:rsidR="00372B6A" w:rsidRPr="006D71C7">
        <w:t>e</w:t>
      </w:r>
      <w:r w:rsidRPr="006D71C7">
        <w:t xml:space="preserve"> wczesnej</w:t>
      </w:r>
      <w:r w:rsidR="00612CC4" w:rsidRPr="006D71C7">
        <w:t xml:space="preserve"> fazie realizacji znajduje się p</w:t>
      </w:r>
      <w:r w:rsidRPr="006D71C7">
        <w:t>oddziałanie 6.2.3 poświęcone wdrażaniu w województwie śląskim Inicjatywy JESSICA</w:t>
      </w:r>
      <w:r w:rsidR="00612CC4" w:rsidRPr="006D71C7">
        <w:t>. W lipcu 2010 roku podpisano z </w:t>
      </w:r>
      <w:r w:rsidRPr="006D71C7">
        <w:t>Europejskim Bankiem Inwestycyjnym umowę w sprawie powołania Funduszu Powierniczego w ramach inicjatywy, w październiku 2011 roku wyłoniono instytucję pełniącą rolę Funduszu Rozwoju Obszarów Miejskich. W grudniu 2011 r. FROM rozpoczął nabór wniosków o pożyczkę</w:t>
      </w:r>
      <w:r w:rsidR="00FD2285" w:rsidRPr="006D71C7">
        <w:t>.</w:t>
      </w:r>
      <w:r w:rsidRPr="006D71C7">
        <w:t xml:space="preserve"> </w:t>
      </w:r>
      <w:r w:rsidR="00FD2285" w:rsidRPr="006D71C7">
        <w:t>W</w:t>
      </w:r>
      <w:r w:rsidR="00D97AE2" w:rsidRPr="006D71C7">
        <w:t> </w:t>
      </w:r>
      <w:r w:rsidRPr="006D71C7">
        <w:t>związku z czym do końca okresu sprawozdawczego nie wybrano jeszcze żadnego projektu</w:t>
      </w:r>
      <w:r w:rsidR="00FD2285" w:rsidRPr="006D71C7">
        <w:t>,</w:t>
      </w:r>
      <w:r w:rsidRPr="006D71C7">
        <w:t xml:space="preserve"> co przekłada </w:t>
      </w:r>
      <w:r w:rsidR="00612CC4" w:rsidRPr="006D71C7">
        <w:t xml:space="preserve">się na brak postępu rzeczowego </w:t>
      </w:r>
      <w:r w:rsidR="00612CC4" w:rsidRPr="006D71C7">
        <w:rPr>
          <w:i/>
        </w:rPr>
        <w:t>p</w:t>
      </w:r>
      <w:r w:rsidRPr="006D71C7">
        <w:rPr>
          <w:i/>
        </w:rPr>
        <w:t>oddziałania 6.2.3.</w:t>
      </w:r>
    </w:p>
    <w:p w:rsidR="007B6365" w:rsidRPr="006D71C7" w:rsidRDefault="007B6365" w:rsidP="006D71C7">
      <w:pPr>
        <w:jc w:val="both"/>
      </w:pPr>
      <w:r w:rsidRPr="006D71C7">
        <w:t xml:space="preserve">Postęp wskaźnika </w:t>
      </w:r>
      <w:r w:rsidRPr="006D71C7">
        <w:rPr>
          <w:i/>
        </w:rPr>
        <w:t xml:space="preserve">Powierzchnia terenów zrewitalizowanych w wyniku realizacji projektów </w:t>
      </w:r>
      <w:r w:rsidRPr="006D71C7">
        <w:t>stanowi odpowiedź na wskazaną w analizie SWOT słabą stronę „degradacja starych dzielnic przemysłowych i centrów miast”. W chwili obecnej spodziewany poziom szacownej realizacji wskaźnika sięga 121,56 hektara.</w:t>
      </w:r>
    </w:p>
    <w:p w:rsidR="007B6365" w:rsidRPr="006D71C7" w:rsidRDefault="00612CC4" w:rsidP="006D71C7">
      <w:pPr>
        <w:spacing w:after="0"/>
        <w:jc w:val="both"/>
      </w:pPr>
      <w:r w:rsidRPr="006D71C7">
        <w:t>W ramach p</w:t>
      </w:r>
      <w:r w:rsidR="007B6365" w:rsidRPr="006D71C7">
        <w:t xml:space="preserve">riorytetu realizowane są wskaźniki Komisji Europejskiej tzw. </w:t>
      </w:r>
      <w:r w:rsidR="007B6365" w:rsidRPr="006D71C7">
        <w:rPr>
          <w:i/>
        </w:rPr>
        <w:t>Core Indicators</w:t>
      </w:r>
      <w:r w:rsidR="007B6365" w:rsidRPr="006D71C7">
        <w:t>,</w:t>
      </w:r>
      <w:r w:rsidR="00372B6A" w:rsidRPr="006D71C7">
        <w:t xml:space="preserve"> tj.:</w:t>
      </w:r>
    </w:p>
    <w:p w:rsidR="007B6365" w:rsidRPr="00341D42" w:rsidRDefault="007B6365" w:rsidP="00BA2FE7">
      <w:pPr>
        <w:widowControl w:val="0"/>
        <w:numPr>
          <w:ilvl w:val="0"/>
          <w:numId w:val="97"/>
        </w:numPr>
        <w:suppressAutoHyphens/>
        <w:spacing w:after="0"/>
        <w:jc w:val="both"/>
        <w:rPr>
          <w:rFonts w:eastAsia="Arial" w:cs="Arial"/>
          <w:i/>
        </w:rPr>
      </w:pPr>
      <w:r w:rsidRPr="00341D42">
        <w:rPr>
          <w:rFonts w:eastAsia="Arial" w:cs="Arial"/>
          <w:i/>
        </w:rPr>
        <w:t>Liczba projektów z zakresu społeczeństwa informacyjnego</w:t>
      </w:r>
    </w:p>
    <w:p w:rsidR="00341D42" w:rsidRPr="00341D42" w:rsidRDefault="00341D42" w:rsidP="00BA2FE7">
      <w:pPr>
        <w:pStyle w:val="Akapitzlist"/>
        <w:numPr>
          <w:ilvl w:val="0"/>
          <w:numId w:val="97"/>
        </w:numPr>
        <w:spacing w:after="0"/>
        <w:jc w:val="both"/>
        <w:rPr>
          <w:i/>
        </w:rPr>
      </w:pPr>
      <w:r w:rsidRPr="00341D42">
        <w:rPr>
          <w:i/>
        </w:rPr>
        <w:t>Liczba projektów zapewniających zrównoważony rozwój oraz poprawiających atrakcyjność miast</w:t>
      </w:r>
    </w:p>
    <w:p w:rsidR="00341D42" w:rsidRPr="00341D42" w:rsidRDefault="00341D42" w:rsidP="00BA2FE7">
      <w:pPr>
        <w:pStyle w:val="Akapitzlist"/>
        <w:numPr>
          <w:ilvl w:val="0"/>
          <w:numId w:val="97"/>
        </w:numPr>
        <w:spacing w:after="0"/>
        <w:jc w:val="both"/>
        <w:rPr>
          <w:i/>
        </w:rPr>
      </w:pPr>
      <w:r w:rsidRPr="00341D42">
        <w:rPr>
          <w:i/>
        </w:rPr>
        <w:t>Liczba projektów promujących biznes, przedsiębiorczość i nowe technologie</w:t>
      </w:r>
    </w:p>
    <w:p w:rsidR="007B6365" w:rsidRPr="00341D42" w:rsidRDefault="007B6365" w:rsidP="00BA2FE7">
      <w:pPr>
        <w:widowControl w:val="0"/>
        <w:numPr>
          <w:ilvl w:val="0"/>
          <w:numId w:val="97"/>
        </w:numPr>
        <w:suppressAutoHyphens/>
        <w:spacing w:after="0"/>
        <w:jc w:val="both"/>
        <w:rPr>
          <w:i/>
        </w:rPr>
      </w:pPr>
      <w:r w:rsidRPr="00341D42">
        <w:rPr>
          <w:i/>
        </w:rPr>
        <w:t>Utworzone miejsca pracy</w:t>
      </w:r>
    </w:p>
    <w:p w:rsidR="00245F70" w:rsidRPr="00341D42" w:rsidRDefault="007B6365" w:rsidP="00341D42">
      <w:pPr>
        <w:widowControl w:val="0"/>
        <w:suppressAutoHyphens/>
        <w:spacing w:after="0"/>
        <w:ind w:left="720"/>
        <w:jc w:val="both"/>
        <w:rPr>
          <w:i/>
        </w:rPr>
      </w:pPr>
      <w:r w:rsidRPr="00341D42">
        <w:rPr>
          <w:i/>
        </w:rPr>
        <w:t>w tym: kobiety</w:t>
      </w:r>
    </w:p>
    <w:p w:rsidR="00245F70" w:rsidRPr="00341D42" w:rsidRDefault="007B6365" w:rsidP="00341D42">
      <w:pPr>
        <w:widowControl w:val="0"/>
        <w:suppressAutoHyphens/>
        <w:spacing w:after="0"/>
        <w:ind w:left="720"/>
        <w:jc w:val="both"/>
        <w:rPr>
          <w:i/>
        </w:rPr>
      </w:pPr>
      <w:r w:rsidRPr="00341D42">
        <w:rPr>
          <w:i/>
        </w:rPr>
        <w:t>w tym: mężczyźni</w:t>
      </w:r>
    </w:p>
    <w:p w:rsidR="00341D42" w:rsidRPr="006D71C7" w:rsidRDefault="00341D42" w:rsidP="006D71C7">
      <w:pPr>
        <w:widowControl w:val="0"/>
        <w:suppressAutoHyphens/>
        <w:spacing w:after="0"/>
        <w:ind w:left="720"/>
        <w:jc w:val="both"/>
        <w:rPr>
          <w:i/>
        </w:rPr>
      </w:pPr>
    </w:p>
    <w:p w:rsidR="00EF087F" w:rsidRPr="006D71C7" w:rsidRDefault="00EF087F" w:rsidP="006D71C7">
      <w:pPr>
        <w:jc w:val="both"/>
      </w:pPr>
      <w:r w:rsidRPr="006D71C7">
        <w:t xml:space="preserve">W wyniku przeglądu śródokresowego w priorytecie VI usunięto podwskaźniki dzielące wskaźniki </w:t>
      </w:r>
      <w:r w:rsidRPr="006D71C7">
        <w:rPr>
          <w:i/>
        </w:rPr>
        <w:t>Powierzchnia terenów zrewitalizowanych</w:t>
      </w:r>
      <w:r w:rsidRPr="006D71C7">
        <w:t xml:space="preserve"> i </w:t>
      </w:r>
      <w:r w:rsidRPr="006D71C7">
        <w:rPr>
          <w:i/>
        </w:rPr>
        <w:t>Liczba utworzonych przedsiębiorstw</w:t>
      </w:r>
      <w:r w:rsidRPr="006D71C7">
        <w:t xml:space="preserve"> na miasta i miejscowości do i powyżej 50 tysięcy mieszkańców. Podział wskaźników na małe/duże miasta stwarzał dodatkową trudność z oszacowaniem kolejnych wartości docelowych w kontekście przewidywanej wielkości projektów w obu poddziałaniach. Usunięcie podwskaźników zniwelowało również ryzyko nie osiągnięcia którejś z wartości docelowych, w związku ze zmniejszeniem ich ogólnej liczby. Obniżono również wartości docelowe wskaźnika </w:t>
      </w:r>
      <w:r w:rsidRPr="006D71C7">
        <w:rPr>
          <w:i/>
        </w:rPr>
        <w:t>Liczba projektów promujących biznes, przedsiębiorczość i nowe technologie</w:t>
      </w:r>
      <w:r w:rsidRPr="006D71C7">
        <w:t xml:space="preserve"> do 20 z 50 sztuk w 2013 r. i do 30 z 70 sztuk w 2015 r. Zmniejszenie wartości docelowych wskaźnika podyktowane było faktem, iż w poddziałaniach 6.2.1 i 6.2.2, w których miał on być realizowany pomniejszona została alokacja o 51 mln EUR, które przeznaczone zostały na realizację poddziałania 6.2.3. Województwo Śląskie podjęło decyzję o przystąpieniu do realizacji Inicjatywy JESSICA w 2009 roku, a w momencie zatwierdzania Programu nie było to rozważane. Jak wynika z podpisanej z Europejskim Bankiem Inwestycyjnym umowy o finansowanie Funduszu Powierniczego w ramach Inicjatywy JESSICA w poddziałaniu 6.2.3 nie przewiduje się realizacji przedmiotowego wskaźnika. W związku z powyższym zmniejszenie alokacji na poddziałania stworzyło konieczność zmniejszenia wartości docelowych wskaźnika. </w:t>
      </w:r>
      <w:r w:rsidR="00372B6A" w:rsidRPr="006D71C7">
        <w:t>Ponadto w</w:t>
      </w:r>
      <w:r w:rsidRPr="006D71C7">
        <w:t xml:space="preserve"> priorytecie VI ujednolicono z</w:t>
      </w:r>
      <w:r w:rsidR="00372B6A" w:rsidRPr="006D71C7">
        <w:t> </w:t>
      </w:r>
      <w:r w:rsidRPr="006D71C7">
        <w:t xml:space="preserve">pozostałymi priorytetami nazewnictwo wskaźnika rezultatu dotyczącego zatrudnienia jako wskaźnik </w:t>
      </w:r>
      <w:r w:rsidRPr="006D71C7">
        <w:rPr>
          <w:i/>
        </w:rPr>
        <w:t>Liczba bezpośrednio utworzonych nowych miejsc pracy (EPC)</w:t>
      </w:r>
      <w:r w:rsidRPr="006D71C7">
        <w:t xml:space="preserve"> oraz pomniejszono jego wartości docelowe dla 2013 i 2015 r. odpowiednio z 400 i 520 sztuk do wartości 360 i</w:t>
      </w:r>
      <w:r w:rsidR="00372B6A" w:rsidRPr="006D71C7">
        <w:t> </w:t>
      </w:r>
      <w:r w:rsidRPr="006D71C7">
        <w:t xml:space="preserve">468 sztuk, co podyktowane było wprowadzeniem w </w:t>
      </w:r>
      <w:r w:rsidRPr="006D71C7">
        <w:rPr>
          <w:i/>
        </w:rPr>
        <w:t>Wytycznych w zakresie warunków gromadzenia i przekazywania danych w formie elektronicznej</w:t>
      </w:r>
      <w:r w:rsidRPr="006D71C7">
        <w:t xml:space="preserve"> wymogu sprawozdawania liczby utworzonych miejsc pracy na podstawie ekwiwalentu pełnego czasu pracy (EPC), podczas gdy pierwotne wartości docelowe przewidywały, że miejsca pracy będą obliczane przy zastosowaniu zaokrągleń wartości utworzonych etatów do jednostek całkowitych. Analogicznie obniżono wartości docelowe wskaźnika w podziale na kobiety i mężczyzn z poziomu 200 w 2013 i 260 sztuk w 2015 r. do 180 w 2013 r. i 234 sztuk w 2015r.</w:t>
      </w:r>
    </w:p>
    <w:p w:rsidR="007B6365" w:rsidRPr="006D71C7" w:rsidRDefault="007B6365" w:rsidP="006D71C7">
      <w:pPr>
        <w:autoSpaceDE w:val="0"/>
        <w:autoSpaceDN w:val="0"/>
        <w:adjustRightInd w:val="0"/>
        <w:spacing w:after="0"/>
        <w:jc w:val="both"/>
        <w:rPr>
          <w:szCs w:val="24"/>
        </w:rPr>
      </w:pPr>
      <w:r w:rsidRPr="006D71C7">
        <w:rPr>
          <w:rFonts w:eastAsiaTheme="minorHAnsi"/>
          <w:szCs w:val="24"/>
          <w:lang w:eastAsia="en-US"/>
        </w:rPr>
        <w:t xml:space="preserve">Tabela postępu priorytetu VI znajduje się w załączniku nr IV do niniejszego </w:t>
      </w:r>
      <w:r w:rsidRPr="006D71C7">
        <w:rPr>
          <w:rFonts w:eastAsiaTheme="minorHAnsi"/>
          <w:i/>
          <w:szCs w:val="24"/>
          <w:lang w:eastAsia="en-US"/>
        </w:rPr>
        <w:t>Sprawozdania.</w:t>
      </w:r>
    </w:p>
    <w:p w:rsidR="00AD7866" w:rsidRPr="006D71C7" w:rsidRDefault="00AD7866" w:rsidP="006D71C7">
      <w:pPr>
        <w:jc w:val="both"/>
      </w:pPr>
    </w:p>
    <w:p w:rsidR="00AD7866" w:rsidRPr="006D71C7" w:rsidRDefault="00AD7866" w:rsidP="006D71C7">
      <w:pPr>
        <w:spacing w:after="120"/>
        <w:jc w:val="both"/>
        <w:rPr>
          <w:b/>
          <w:bCs/>
          <w:i/>
          <w:szCs w:val="24"/>
        </w:rPr>
      </w:pPr>
      <w:r w:rsidRPr="006D71C7">
        <w:rPr>
          <w:b/>
          <w:bCs/>
          <w:i/>
          <w:szCs w:val="24"/>
        </w:rPr>
        <w:t xml:space="preserve">Realizacja ewentualnych zaleceń i rekomendacji KE odnoszące się do </w:t>
      </w:r>
      <w:r w:rsidR="00045C7B" w:rsidRPr="006D71C7">
        <w:rPr>
          <w:b/>
          <w:bCs/>
          <w:i/>
          <w:szCs w:val="24"/>
        </w:rPr>
        <w:t>priorytetu</w:t>
      </w:r>
      <w:r w:rsidRPr="006D71C7">
        <w:rPr>
          <w:b/>
          <w:bCs/>
          <w:i/>
          <w:szCs w:val="24"/>
        </w:rPr>
        <w:t>:</w:t>
      </w:r>
    </w:p>
    <w:p w:rsidR="00AD7866" w:rsidRPr="006D71C7" w:rsidRDefault="00AD7866" w:rsidP="006D71C7">
      <w:pPr>
        <w:pStyle w:val="Akapitzlist"/>
        <w:numPr>
          <w:ilvl w:val="0"/>
          <w:numId w:val="6"/>
        </w:numPr>
        <w:spacing w:after="120"/>
        <w:jc w:val="both"/>
        <w:rPr>
          <w:bCs/>
          <w:szCs w:val="24"/>
        </w:rPr>
      </w:pPr>
      <w:r w:rsidRPr="006D71C7">
        <w:rPr>
          <w:spacing w:val="-4"/>
          <w:szCs w:val="24"/>
        </w:rPr>
        <w:t>analiza ko</w:t>
      </w:r>
      <w:r w:rsidR="00045C7B" w:rsidRPr="006D71C7">
        <w:rPr>
          <w:spacing w:val="-4"/>
          <w:szCs w:val="24"/>
        </w:rPr>
        <w:t>ncentruje się wokół celu/celów p</w:t>
      </w:r>
      <w:r w:rsidRPr="006D71C7">
        <w:rPr>
          <w:spacing w:val="-4"/>
          <w:szCs w:val="24"/>
        </w:rPr>
        <w:t>riorytetu VI,</w:t>
      </w:r>
    </w:p>
    <w:p w:rsidR="00AD7866" w:rsidRPr="006D71C7" w:rsidRDefault="00AD7866" w:rsidP="006D71C7">
      <w:pPr>
        <w:pStyle w:val="Akapitzlist"/>
        <w:numPr>
          <w:ilvl w:val="0"/>
          <w:numId w:val="6"/>
        </w:numPr>
        <w:spacing w:after="120"/>
        <w:jc w:val="both"/>
        <w:rPr>
          <w:bCs/>
          <w:szCs w:val="24"/>
        </w:rPr>
      </w:pPr>
      <w:r w:rsidRPr="006D71C7">
        <w:rPr>
          <w:bCs/>
          <w:szCs w:val="24"/>
        </w:rPr>
        <w:t>zaprezentowanie rozkładu projektów w podziale na beneficjentów i obszary.</w:t>
      </w:r>
    </w:p>
    <w:p w:rsidR="00AD7866" w:rsidRPr="006D71C7" w:rsidRDefault="00AD7866" w:rsidP="006D71C7">
      <w:pPr>
        <w:pStyle w:val="Akapitzlist"/>
        <w:spacing w:after="120"/>
        <w:jc w:val="both"/>
        <w:rPr>
          <w:bCs/>
          <w:szCs w:val="24"/>
        </w:rPr>
      </w:pPr>
    </w:p>
    <w:p w:rsidR="00AD7866" w:rsidRPr="006D71C7" w:rsidRDefault="00AD7866" w:rsidP="006D71C7">
      <w:pPr>
        <w:pStyle w:val="Akapitzlist"/>
        <w:spacing w:after="120"/>
        <w:ind w:left="0"/>
        <w:jc w:val="both"/>
        <w:rPr>
          <w:b/>
          <w:bCs/>
          <w:i/>
          <w:szCs w:val="24"/>
        </w:rPr>
      </w:pPr>
      <w:r w:rsidRPr="006D71C7">
        <w:rPr>
          <w:b/>
          <w:bCs/>
          <w:i/>
          <w:szCs w:val="24"/>
        </w:rPr>
        <w:t>Rekomendacje IZ odnośnie do</w:t>
      </w:r>
      <w:r w:rsidR="00045C7B" w:rsidRPr="006D71C7">
        <w:rPr>
          <w:b/>
          <w:bCs/>
          <w:i/>
          <w:szCs w:val="24"/>
        </w:rPr>
        <w:t xml:space="preserve"> dalszego przebiegu realizacji p</w:t>
      </w:r>
      <w:r w:rsidRPr="006D71C7">
        <w:rPr>
          <w:b/>
          <w:bCs/>
          <w:i/>
          <w:szCs w:val="24"/>
        </w:rPr>
        <w:t>riorytetu:</w:t>
      </w:r>
    </w:p>
    <w:p w:rsidR="00AD7866" w:rsidRPr="006D71C7" w:rsidRDefault="00045C7B" w:rsidP="006D71C7">
      <w:pPr>
        <w:spacing w:before="120" w:after="120"/>
        <w:jc w:val="both"/>
        <w:rPr>
          <w:rFonts w:eastAsia="Calibri"/>
          <w:i/>
          <w:szCs w:val="24"/>
        </w:rPr>
      </w:pPr>
      <w:r w:rsidRPr="006D71C7">
        <w:rPr>
          <w:rFonts w:eastAsia="Calibri"/>
          <w:szCs w:val="24"/>
        </w:rPr>
        <w:t>IZ RPO WSL na bieżąco monitoruje postęp wdrażania priorytetu V</w:t>
      </w:r>
      <w:r w:rsidR="00D57EDA" w:rsidRPr="006D71C7">
        <w:rPr>
          <w:rFonts w:eastAsia="Calibri"/>
          <w:szCs w:val="24"/>
        </w:rPr>
        <w:t>I</w:t>
      </w:r>
      <w:r w:rsidRPr="006D71C7">
        <w:rPr>
          <w:rFonts w:eastAsia="Calibri"/>
          <w:szCs w:val="24"/>
        </w:rPr>
        <w:t xml:space="preserve"> zarówno w zakresie postępu finansowego jak i rzeczowego. Biorąc pod uwagę projekty wybrane do dofinansowania, IZ RPO WSL uznaje że przekazane wsparcie w pełni realizuje cele, jakie zostały założone na etapie programowania uwzględniając wyniki diagnozy społeczno-gospodarczej ujętej w </w:t>
      </w:r>
      <w:r w:rsidRPr="006D71C7">
        <w:rPr>
          <w:rFonts w:eastAsia="Calibri"/>
          <w:i/>
          <w:szCs w:val="24"/>
        </w:rPr>
        <w:t>Programie.</w:t>
      </w:r>
      <w:r w:rsidR="00AF1772" w:rsidRPr="006D71C7">
        <w:rPr>
          <w:rFonts w:eastAsia="Calibri"/>
          <w:szCs w:val="24"/>
        </w:rPr>
        <w:t xml:space="preserve"> W kolejnym okresie sprawozdawczym IZ RPO WSL</w:t>
      </w:r>
      <w:r w:rsidR="00AF1772" w:rsidRPr="006D71C7">
        <w:rPr>
          <w:rFonts w:eastAsia="Calibri"/>
          <w:i/>
          <w:szCs w:val="24"/>
        </w:rPr>
        <w:t xml:space="preserve"> </w:t>
      </w:r>
      <w:r w:rsidR="00AF1772" w:rsidRPr="006D71C7">
        <w:rPr>
          <w:rFonts w:eastAsia="Calibri"/>
          <w:szCs w:val="24"/>
        </w:rPr>
        <w:t>na bieżąco będzie monitorować postęp rzeczowy i finansowy priorytetu w celu sprawnego i efektywnego wdrażania, na bieżąco będzie kontaktować się z beneficjentami.</w:t>
      </w:r>
    </w:p>
    <w:p w:rsidR="00045C7B" w:rsidRPr="006D71C7" w:rsidRDefault="00045C7B" w:rsidP="006D71C7">
      <w:pPr>
        <w:pStyle w:val="Default"/>
        <w:spacing w:line="276" w:lineRule="auto"/>
        <w:jc w:val="both"/>
        <w:rPr>
          <w:b/>
          <w:i/>
          <w:color w:val="auto"/>
        </w:rPr>
      </w:pPr>
      <w:r w:rsidRPr="006D71C7">
        <w:rPr>
          <w:b/>
          <w:i/>
          <w:color w:val="auto"/>
        </w:rPr>
        <w:t>Analiza jakościowa</w:t>
      </w:r>
    </w:p>
    <w:p w:rsidR="005D2D53" w:rsidRPr="006D71C7" w:rsidRDefault="005D2D53" w:rsidP="006D71C7">
      <w:pPr>
        <w:pStyle w:val="default0"/>
        <w:spacing w:before="0" w:beforeAutospacing="0" w:after="0" w:afterAutospacing="0" w:line="276" w:lineRule="auto"/>
        <w:jc w:val="both"/>
        <w:rPr>
          <w:bCs/>
        </w:rPr>
      </w:pPr>
      <w:bookmarkStart w:id="521" w:name="_Toc292789305"/>
      <w:bookmarkStart w:id="522" w:name="_Toc292793603"/>
      <w:r w:rsidRPr="006D71C7">
        <w:t xml:space="preserve">Stopniowe zmiany zachodzące w strukturze gospodarki regionu, odchodzenie od modelu gospodarki opartej na przemyśle ciężkim w kierunku gospodarki opartej na przemyśle i usługach, spowodowało w przeciągu ostatnich lat degradację obszarów o przemysłowym charakterze. </w:t>
      </w:r>
      <w:r w:rsidRPr="006D71C7">
        <w:rPr>
          <w:sz w:val="23"/>
          <w:szCs w:val="23"/>
        </w:rPr>
        <w:t xml:space="preserve">Zamykanie dużych zakładów przemysłowych spowodowało powstanie rozległych, zanieczyszczonych i zdegradowanych terenów poprzemysłowych </w:t>
      </w:r>
      <w:r w:rsidR="00FD2285" w:rsidRPr="006D71C7">
        <w:rPr>
          <w:sz w:val="23"/>
          <w:szCs w:val="23"/>
        </w:rPr>
        <w:t xml:space="preserve">oraz </w:t>
      </w:r>
      <w:r w:rsidRPr="006D71C7">
        <w:rPr>
          <w:sz w:val="23"/>
          <w:szCs w:val="23"/>
        </w:rPr>
        <w:t>zdegradowan</w:t>
      </w:r>
      <w:r w:rsidR="00FD2285" w:rsidRPr="006D71C7">
        <w:rPr>
          <w:sz w:val="23"/>
          <w:szCs w:val="23"/>
        </w:rPr>
        <w:t>ych</w:t>
      </w:r>
      <w:r w:rsidRPr="006D71C7">
        <w:rPr>
          <w:sz w:val="23"/>
          <w:szCs w:val="23"/>
        </w:rPr>
        <w:t xml:space="preserve"> przestrzeni publiczn</w:t>
      </w:r>
      <w:r w:rsidR="00FD2285" w:rsidRPr="006D71C7">
        <w:rPr>
          <w:sz w:val="23"/>
          <w:szCs w:val="23"/>
        </w:rPr>
        <w:t>ych</w:t>
      </w:r>
      <w:r w:rsidRPr="006D71C7">
        <w:rPr>
          <w:sz w:val="23"/>
          <w:szCs w:val="23"/>
        </w:rPr>
        <w:t>. Większość z nich jest obecnie zaśmiecona zalegającymi odpadami przemysłowymi lub stanowi nielegalne lokalne „śmietniska” powodujące coraz głębszą degradację gleby, a także zanieczyszczenia wód podziemnych i powierzchniowych. Rewitalizacji wymagają także inne elementy tkanki miejskiej, w złym stanie jest tkanka mieszkaniowa oraz infrastruktura działalności gospodarczej, infrastruktura edukacyjna, kulturalna, społeczna, rekreacyjna, czy turystyczna.</w:t>
      </w:r>
      <w:r w:rsidRPr="006D71C7">
        <w:t xml:space="preserve"> Powierzchnia nieużytków oraz terenów zdewastowanych i zdegradowanych w województwie śląskim stanowi ogółem 4 602 ha. Znaczący procent stanowią tereny poprzemysłowe powstałe na skutek eksploatacji węgla kamiennego oraz kopalnictwa piasku, w szczególności występujące w centralnej części województwa. </w:t>
      </w:r>
      <w:r w:rsidRPr="006D71C7">
        <w:rPr>
          <w:sz w:val="23"/>
          <w:szCs w:val="23"/>
        </w:rPr>
        <w:t xml:space="preserve">Dlatego celem szczegółowym </w:t>
      </w:r>
      <w:r w:rsidR="00D57EDA" w:rsidRPr="006D71C7">
        <w:rPr>
          <w:sz w:val="23"/>
          <w:szCs w:val="23"/>
        </w:rPr>
        <w:t>priorytetu</w:t>
      </w:r>
      <w:r w:rsidRPr="006D71C7">
        <w:rPr>
          <w:sz w:val="23"/>
          <w:szCs w:val="23"/>
        </w:rPr>
        <w:t xml:space="preserve"> jest</w:t>
      </w:r>
      <w:r w:rsidRPr="006D71C7">
        <w:t xml:space="preserve"> wzrost konkurencyjności przestrzeni miejskiej województwa.</w:t>
      </w:r>
      <w:r w:rsidRPr="006D71C7">
        <w:rPr>
          <w:bCs/>
        </w:rPr>
        <w:t xml:space="preserve"> W ramach przedmiotowego priorytetu preferowane są przedsięwzięcia uwzględniające przystosowania obiektów użyteczności publicznej do potrzeb osób niepełnosprawnych. W ramach projektów rewitalizacyjnych realizujących cel </w:t>
      </w:r>
      <w:r w:rsidR="009428B6" w:rsidRPr="006D71C7">
        <w:rPr>
          <w:bCs/>
        </w:rPr>
        <w:t>p</w:t>
      </w:r>
      <w:r w:rsidRPr="006D71C7">
        <w:rPr>
          <w:bCs/>
        </w:rPr>
        <w:t>riorytetu związany z wielofunkcyjnym wykorzystaniem terenów zdegradowanych wsparcie udzielane jest jedynie projektom realizowanym na obszarze wsparcia zidentyfikowanym w Lokalnym Programie/Planie Rewitalizacji (LPR).</w:t>
      </w:r>
    </w:p>
    <w:p w:rsidR="005D2D53" w:rsidRPr="006D71C7" w:rsidRDefault="005D2D53" w:rsidP="006D71C7">
      <w:pPr>
        <w:pStyle w:val="default0"/>
        <w:spacing w:before="0" w:beforeAutospacing="0" w:after="0" w:afterAutospacing="0" w:line="276" w:lineRule="auto"/>
        <w:ind w:left="360"/>
        <w:jc w:val="both"/>
        <w:rPr>
          <w:rFonts w:ascii="Arial" w:hAnsi="Arial" w:cs="Arial"/>
          <w:bCs/>
          <w:sz w:val="20"/>
          <w:szCs w:val="20"/>
        </w:rPr>
      </w:pPr>
    </w:p>
    <w:p w:rsidR="005D2D53" w:rsidRPr="006D71C7" w:rsidRDefault="005D2D53" w:rsidP="006D71C7">
      <w:pPr>
        <w:pStyle w:val="NormalnyWeb"/>
        <w:jc w:val="both"/>
        <w:rPr>
          <w:rFonts w:ascii="Arial" w:hAnsi="Arial" w:cs="Arial"/>
          <w:sz w:val="20"/>
          <w:szCs w:val="20"/>
        </w:rPr>
      </w:pPr>
      <w:r w:rsidRPr="006D71C7">
        <w:t xml:space="preserve">Dzięki </w:t>
      </w:r>
      <w:r w:rsidR="003D6481" w:rsidRPr="006D71C7">
        <w:t xml:space="preserve">zrealizowanym inwestycjom w ramach </w:t>
      </w:r>
      <w:r w:rsidRPr="006D71C7">
        <w:t>RPO WSL 25 881 osób korzysta z</w:t>
      </w:r>
      <w:r w:rsidR="003D6481" w:rsidRPr="006D71C7">
        <w:t> </w:t>
      </w:r>
      <w:r w:rsidRPr="006D71C7">
        <w:t xml:space="preserve">infrastruktury objętej wsparciem. Przykładem przeprowadzonej rewitalizacji jest projekt: </w:t>
      </w:r>
      <w:r w:rsidRPr="006D71C7">
        <w:rPr>
          <w:b/>
          <w:i/>
        </w:rPr>
        <w:t>Rewitalizacja poprzemysłowej infrastruktury wraz z otoczeniem na cele gospodarcze, rekreacyjno-turystyczne i społeczne w Węgierskiej Górce.</w:t>
      </w:r>
      <w:r w:rsidRPr="006D71C7">
        <w:t xml:space="preserve"> W ramach projektu zrewitalizowano poprzemysłową infrastrukturę znajdującą się na terenie gminy Węgierska Górka, która była pozostałością po dawnej Odlewni Żeliwa. Pracami objęto budynek dawnej łaźni zakł</w:t>
      </w:r>
      <w:r w:rsidR="00D57EDA" w:rsidRPr="006D71C7">
        <w:t>adowej – tzw. „okrąglak" wraz z </w:t>
      </w:r>
      <w:r w:rsidRPr="006D71C7">
        <w:t xml:space="preserve">przyległym do </w:t>
      </w:r>
      <w:r w:rsidR="000147E5">
        <w:t>niego terenem, zlokalizowanym u </w:t>
      </w:r>
      <w:r w:rsidRPr="006D71C7">
        <w:t xml:space="preserve">zbiegu ulic Kościuszki i Przemysłowej. </w:t>
      </w:r>
      <w:r w:rsidRPr="006D71C7">
        <w:rPr>
          <w:bCs/>
        </w:rPr>
        <w:t>Obszar po</w:t>
      </w:r>
      <w:r w:rsidR="000147E5">
        <w:rPr>
          <w:bCs/>
        </w:rPr>
        <w:t>przemysłowy przekształcił się w </w:t>
      </w:r>
      <w:r w:rsidRPr="006D71C7">
        <w:rPr>
          <w:bCs/>
        </w:rPr>
        <w:t>usługowy</w:t>
      </w:r>
      <w:r w:rsidRPr="006D71C7">
        <w:t xml:space="preserve"> (w tym fizjoterapeutyczny) </w:t>
      </w:r>
      <w:r w:rsidRPr="006D71C7">
        <w:rPr>
          <w:bCs/>
        </w:rPr>
        <w:t>z funkcjami turystycznymi oraz rekreacyjnymi</w:t>
      </w:r>
      <w:r w:rsidRPr="006D71C7">
        <w:t>. Dzięki tej inwestycji został udostępniony i połączony o</w:t>
      </w:r>
      <w:r w:rsidR="000147E5">
        <w:t>bszar ciągami komunikacyjnymi i </w:t>
      </w:r>
      <w:r w:rsidRPr="006D71C7">
        <w:t xml:space="preserve">pieszo-rowerowymi oraz miejscem rekreacyjnym dla dzieci i młodzieży. </w:t>
      </w:r>
    </w:p>
    <w:p w:rsidR="005D2D53" w:rsidRPr="006D71C7" w:rsidRDefault="005D2D53" w:rsidP="006D71C7">
      <w:pPr>
        <w:pStyle w:val="NormalnyWeb"/>
        <w:jc w:val="both"/>
        <w:rPr>
          <w:rFonts w:ascii="Arial" w:hAnsi="Arial" w:cs="Arial"/>
          <w:sz w:val="20"/>
          <w:szCs w:val="20"/>
        </w:rPr>
      </w:pPr>
      <w:r w:rsidRPr="006D71C7">
        <w:t xml:space="preserve">Jednym z obszarów wsparcia w ramach priorytetu VI jest budowa i remont obiektów infrastruktury około akademickiej. Na uwagę zasługuje projekt kluczowy: </w:t>
      </w:r>
      <w:r w:rsidRPr="006D71C7">
        <w:rPr>
          <w:b/>
          <w:bCs/>
          <w:i/>
          <w:iCs/>
        </w:rPr>
        <w:t>Centrum Informacji Naukowej i Biblioteka Akademicka</w:t>
      </w:r>
      <w:r w:rsidRPr="006D71C7">
        <w:t xml:space="preserve">, który realizowany jest przez Uniwersytet Śląski i Uniwersytet Ekonomiczny w Katowicach. </w:t>
      </w:r>
      <w:r w:rsidR="00FD2285" w:rsidRPr="006D71C7">
        <w:t>Będące na finiszu p</w:t>
      </w:r>
      <w:r w:rsidRPr="006D71C7">
        <w:t xml:space="preserve">rzedsięwzięcie  </w:t>
      </w:r>
      <w:r w:rsidR="00FD2285" w:rsidRPr="006D71C7">
        <w:t xml:space="preserve">zaprocentowało w postaci </w:t>
      </w:r>
      <w:r w:rsidRPr="006D71C7">
        <w:t>wybudowani</w:t>
      </w:r>
      <w:r w:rsidR="00FD2285" w:rsidRPr="006D71C7">
        <w:t>a</w:t>
      </w:r>
      <w:r w:rsidRPr="006D71C7">
        <w:t xml:space="preserve"> oraz uruchomieni</w:t>
      </w:r>
      <w:r w:rsidR="00FD2285" w:rsidRPr="006D71C7">
        <w:t>a</w:t>
      </w:r>
      <w:r w:rsidRPr="006D71C7">
        <w:t xml:space="preserve"> no</w:t>
      </w:r>
      <w:r w:rsidR="00D57EDA" w:rsidRPr="006D71C7">
        <w:t>woczesnej biblioteki naukowej o </w:t>
      </w:r>
      <w:r w:rsidRPr="006D71C7">
        <w:t xml:space="preserve">powierzchni całkowitej 13 260 m kw. i użytkowej </w:t>
      </w:r>
      <w:r w:rsidR="00D57EDA" w:rsidRPr="006D71C7">
        <w:t xml:space="preserve">12 273 m kw. </w:t>
      </w:r>
      <w:r w:rsidR="00FD2285" w:rsidRPr="006D71C7">
        <w:t xml:space="preserve">Jest </w:t>
      </w:r>
      <w:r w:rsidR="00D57EDA" w:rsidRPr="006D71C7">
        <w:t>to jedyna w </w:t>
      </w:r>
      <w:r w:rsidRPr="006D71C7">
        <w:t>regionie biblioteka „hybrydowa”, która udostępniać będzie równolegle materiały drukowane i</w:t>
      </w:r>
      <w:r w:rsidR="009428B6" w:rsidRPr="006D71C7">
        <w:t> </w:t>
      </w:r>
      <w:r w:rsidRPr="006D71C7">
        <w:t>elektroniczne, na miejscu oraz w trybie zdalnym przez Internet. Dzięki zrealizowanej inwestycji blisko 340 000 książek będzie się znajdowało w strefie wolnego dostępu. Jednocześnie wybudowany obiekt będzie regionalnym ośrodkiem naukowym, otwartym na</w:t>
      </w:r>
      <w:r w:rsidR="009428B6" w:rsidRPr="006D71C7">
        <w:t> </w:t>
      </w:r>
      <w:r w:rsidRPr="006D71C7">
        <w:t>różnorodność oczekiwań w zakresie nauki, kultury, edukacji.</w:t>
      </w:r>
    </w:p>
    <w:p w:rsidR="005D2D53" w:rsidRPr="006D71C7" w:rsidRDefault="005D2D53" w:rsidP="006D71C7">
      <w:pPr>
        <w:pStyle w:val="NormalnyWeb"/>
        <w:jc w:val="both"/>
        <w:rPr>
          <w:rFonts w:ascii="Arial" w:hAnsi="Arial" w:cs="Arial"/>
          <w:sz w:val="20"/>
          <w:szCs w:val="20"/>
        </w:rPr>
      </w:pPr>
      <w:r w:rsidRPr="006D71C7">
        <w:t>Problem drobnej przestępczości jest bardzo trudny do rozwiązania z uwagi na ograniczone zasoby kadrowe służb odpowiedzialnych za bezpieczeństwo w mieście. Monitoring jest jednym z elementów, które znacząco ułatwiają pracę organom ścigania, pełni również rolę prewencyjną. Dlatego kolejnym obszarem wsparcia w ramach priorytetu VI jest tworzenie i</w:t>
      </w:r>
      <w:r w:rsidR="009428B6" w:rsidRPr="006D71C7">
        <w:t> </w:t>
      </w:r>
      <w:r w:rsidRPr="006D71C7">
        <w:t xml:space="preserve">rozbudowa systemów monitoringu w celu podniesienia bezpieczeństwa przestrzeni publicznych. Dzięki wsparciu z RPO WSL systemem monitoringu wizyjnego objęto 28 945 osób. Dobrym przykładem takiego projektu jest: </w:t>
      </w:r>
      <w:r w:rsidRPr="006D71C7">
        <w:rPr>
          <w:b/>
          <w:i/>
        </w:rPr>
        <w:t>Budowa systemu monitoringu wizyjnego w</w:t>
      </w:r>
      <w:r w:rsidR="009428B6" w:rsidRPr="006D71C7">
        <w:rPr>
          <w:b/>
          <w:i/>
        </w:rPr>
        <w:t> </w:t>
      </w:r>
      <w:r w:rsidRPr="006D71C7">
        <w:rPr>
          <w:b/>
          <w:i/>
        </w:rPr>
        <w:t>dzielnicach Miasta Rybnika - II etap.</w:t>
      </w:r>
      <w:r w:rsidRPr="006D71C7">
        <w:t xml:space="preserve"> W ramach projektu zakupiono 17 kamer monitorujących oraz wykonano kanalizację teletechniczną niezbędną do funkcjonowania monitoringu. Doposażono również centrum monitoringu w urządzenia umożliwiające podgląd i rejestrację danych z nowych kamer systemu, tzn. multipleksery, monitory, okablowanie. Dzięki projektowi poprawił się poziom bezpieczeństwa w rejonie najbardziej zagrożonych przestępczością.</w:t>
      </w:r>
    </w:p>
    <w:p w:rsidR="005D2D53" w:rsidRPr="006D71C7" w:rsidRDefault="00FD2285" w:rsidP="006D71C7">
      <w:pPr>
        <w:spacing w:after="120"/>
        <w:jc w:val="both"/>
        <w:outlineLvl w:val="1"/>
        <w:rPr>
          <w:szCs w:val="24"/>
        </w:rPr>
      </w:pPr>
      <w:bookmarkStart w:id="523" w:name="_Toc324853926"/>
      <w:bookmarkStart w:id="524" w:name="_Toc327259278"/>
      <w:bookmarkStart w:id="525" w:name="_Toc324786868"/>
      <w:r w:rsidRPr="006D71C7">
        <w:t>D</w:t>
      </w:r>
      <w:r w:rsidR="005D2D53" w:rsidRPr="006D71C7">
        <w:t xml:space="preserve">ziałania realizowane w ramach z RPO WSL są komplementarne z projektem </w:t>
      </w:r>
      <w:r w:rsidR="005D2D53" w:rsidRPr="006D71C7">
        <w:rPr>
          <w:b/>
          <w:i/>
        </w:rPr>
        <w:t>Revita</w:t>
      </w:r>
      <w:r w:rsidRPr="006D71C7">
        <w:rPr>
          <w:b/>
          <w:i/>
        </w:rPr>
        <w:t xml:space="preserve"> </w:t>
      </w:r>
      <w:r w:rsidR="00DC1059" w:rsidRPr="006D71C7">
        <w:rPr>
          <w:b/>
          <w:i/>
        </w:rPr>
        <w:t>–</w:t>
      </w:r>
      <w:r w:rsidR="005D2D53" w:rsidRPr="006D71C7">
        <w:rPr>
          <w:b/>
          <w:i/>
        </w:rPr>
        <w:t xml:space="preserve"> Silesia</w:t>
      </w:r>
      <w:r w:rsidR="00DC1059" w:rsidRPr="006D71C7">
        <w:rPr>
          <w:b/>
          <w:i/>
        </w:rPr>
        <w:t>, którego</w:t>
      </w:r>
      <w:r w:rsidR="005D2D53" w:rsidRPr="006D71C7">
        <w:t xml:space="preserve"> </w:t>
      </w:r>
      <w:r w:rsidR="00DC1059" w:rsidRPr="006D71C7">
        <w:t>g</w:t>
      </w:r>
      <w:r w:rsidR="005D2D53" w:rsidRPr="006D71C7">
        <w:t>łównym celem</w:t>
      </w:r>
      <w:r w:rsidR="00DC1059" w:rsidRPr="006D71C7">
        <w:t xml:space="preserve"> było </w:t>
      </w:r>
      <w:r w:rsidR="005D2D53" w:rsidRPr="006D71C7">
        <w:t>wzmocnienie powiązań sfery nauki i biznesu w</w:t>
      </w:r>
      <w:r w:rsidR="009428B6" w:rsidRPr="006D71C7">
        <w:t> </w:t>
      </w:r>
      <w:r w:rsidR="005D2D53" w:rsidRPr="006D71C7">
        <w:t>zakresie rewitalizacji terenów poprzemysłowych.</w:t>
      </w:r>
      <w:r w:rsidR="00DC1059" w:rsidRPr="006D71C7">
        <w:t xml:space="preserve"> Przedsięwzięcie realizowane było przez Urząd Marszałkowski Województwa Śląskiego w Katowicach wraz ze Śląskim Zamkiem Sztuki i Przedsiębiorczości w Cieszynie.</w:t>
      </w:r>
      <w:r w:rsidR="00D97AE2" w:rsidRPr="006D71C7">
        <w:t xml:space="preserve"> Adresatami</w:t>
      </w:r>
      <w:r w:rsidR="005D2D53" w:rsidRPr="006D71C7">
        <w:t xml:space="preserve"> projektu </w:t>
      </w:r>
      <w:r w:rsidR="00DC1059" w:rsidRPr="006D71C7">
        <w:t xml:space="preserve">były </w:t>
      </w:r>
      <w:r w:rsidR="00D97AE2" w:rsidRPr="006D71C7">
        <w:t xml:space="preserve">przedsiębiorstwa, które </w:t>
      </w:r>
      <w:r w:rsidR="00D52475" w:rsidRPr="006D71C7">
        <w:t>planowały nawiązanie</w:t>
      </w:r>
      <w:r w:rsidR="005D2D53" w:rsidRPr="006D71C7">
        <w:t xml:space="preserve"> współpracy z naukowcam</w:t>
      </w:r>
      <w:r w:rsidR="00D97AE2" w:rsidRPr="006D71C7">
        <w:t>i, oraz naukowcy, którzy szukali</w:t>
      </w:r>
      <w:r w:rsidR="005D2D53" w:rsidRPr="006D71C7">
        <w:t xml:space="preserve"> partnera gospodarczego do wspólnych projektów. W ramach projektu przeprowadz</w:t>
      </w:r>
      <w:r w:rsidR="00DC1059" w:rsidRPr="006D71C7">
        <w:t>one</w:t>
      </w:r>
      <w:r w:rsidR="005D2D53" w:rsidRPr="006D71C7">
        <w:t xml:space="preserve"> </w:t>
      </w:r>
      <w:r w:rsidRPr="006D71C7">
        <w:t xml:space="preserve">zostały </w:t>
      </w:r>
      <w:r w:rsidR="005D2D53" w:rsidRPr="006D71C7">
        <w:t>ekspertyzy, konferencje, spotkania warsztatowe oraz spotkania informacyjno</w:t>
      </w:r>
      <w:r w:rsidRPr="006D71C7">
        <w:t xml:space="preserve"> </w:t>
      </w:r>
      <w:r w:rsidR="005D2D53" w:rsidRPr="006D71C7">
        <w:t>- doradcze.</w:t>
      </w:r>
      <w:bookmarkEnd w:id="523"/>
      <w:bookmarkEnd w:id="524"/>
      <w:r w:rsidR="005D2D53" w:rsidRPr="006D71C7">
        <w:t>   </w:t>
      </w:r>
      <w:bookmarkEnd w:id="525"/>
    </w:p>
    <w:p w:rsidR="00236A5B" w:rsidRPr="006D71C7" w:rsidRDefault="00236A5B" w:rsidP="00BA2FE7">
      <w:pPr>
        <w:pStyle w:val="Nagwek1"/>
        <w:numPr>
          <w:ilvl w:val="2"/>
          <w:numId w:val="63"/>
        </w:numPr>
        <w:tabs>
          <w:tab w:val="left" w:pos="1418"/>
        </w:tabs>
        <w:spacing w:before="240" w:after="120"/>
        <w:ind w:left="1134" w:hanging="283"/>
        <w:jc w:val="both"/>
        <w:rPr>
          <w:bCs w:val="0"/>
          <w:szCs w:val="24"/>
        </w:rPr>
      </w:pPr>
      <w:bookmarkStart w:id="526" w:name="_Toc324853927"/>
      <w:bookmarkStart w:id="527" w:name="_Toc327259279"/>
      <w:r w:rsidRPr="006D71C7">
        <w:t>Opis</w:t>
      </w:r>
      <w:r w:rsidRPr="006D71C7">
        <w:rPr>
          <w:bCs w:val="0"/>
          <w:szCs w:val="24"/>
        </w:rPr>
        <w:t xml:space="preserve"> istotnych problemów we wdrażaniu wraz z podjętymi środkami zaradczymi</w:t>
      </w:r>
      <w:bookmarkEnd w:id="521"/>
      <w:bookmarkEnd w:id="522"/>
      <w:bookmarkEnd w:id="526"/>
      <w:bookmarkEnd w:id="527"/>
    </w:p>
    <w:p w:rsidR="003B74E2" w:rsidRPr="006D71C7" w:rsidRDefault="00236A5B" w:rsidP="006D71C7">
      <w:pPr>
        <w:jc w:val="both"/>
      </w:pPr>
      <w:r w:rsidRPr="006D71C7">
        <w:t>W okresie sprawozdawczym nie wystąpiły żadne proble</w:t>
      </w:r>
      <w:r w:rsidR="00D57EDA" w:rsidRPr="006D71C7">
        <w:t>my z wdrażaniem przedmiotowego p</w:t>
      </w:r>
      <w:r w:rsidRPr="006D71C7">
        <w:t>riorytetu.</w:t>
      </w:r>
    </w:p>
    <w:p w:rsidR="00F86616" w:rsidRPr="006D71C7" w:rsidRDefault="00033790" w:rsidP="00BA2FE7">
      <w:pPr>
        <w:pStyle w:val="Nagwek1"/>
        <w:numPr>
          <w:ilvl w:val="1"/>
          <w:numId w:val="63"/>
        </w:numPr>
        <w:pBdr>
          <w:top w:val="single" w:sz="24" w:space="1" w:color="EE8C69" w:themeColor="accent1" w:themeTint="99"/>
          <w:left w:val="single" w:sz="24" w:space="4" w:color="EE8C69" w:themeColor="accent1" w:themeTint="99"/>
          <w:bottom w:val="single" w:sz="24" w:space="1" w:color="EE8C69" w:themeColor="accent1" w:themeTint="99"/>
          <w:right w:val="single" w:sz="24" w:space="4" w:color="EE8C69" w:themeColor="accent1" w:themeTint="99"/>
        </w:pBdr>
        <w:tabs>
          <w:tab w:val="left" w:pos="1418"/>
        </w:tabs>
        <w:spacing w:before="240" w:after="120"/>
        <w:jc w:val="both"/>
        <w:rPr>
          <w:bCs w:val="0"/>
          <w:szCs w:val="24"/>
        </w:rPr>
      </w:pPr>
      <w:bookmarkStart w:id="528" w:name="_Toc292789306"/>
      <w:bookmarkStart w:id="529" w:name="_Toc292793604"/>
      <w:bookmarkStart w:id="530" w:name="_Toc327259280"/>
      <w:r w:rsidRPr="006D71C7">
        <w:rPr>
          <w:bCs w:val="0"/>
          <w:szCs w:val="24"/>
        </w:rPr>
        <w:t>PRIORYTET</w:t>
      </w:r>
      <w:r w:rsidR="00E22D59" w:rsidRPr="006D71C7">
        <w:rPr>
          <w:bCs w:val="0"/>
          <w:szCs w:val="24"/>
        </w:rPr>
        <w:t xml:space="preserve"> VII – T</w:t>
      </w:r>
      <w:bookmarkEnd w:id="528"/>
      <w:bookmarkEnd w:id="529"/>
      <w:r w:rsidRPr="006D71C7">
        <w:rPr>
          <w:bCs w:val="0"/>
          <w:szCs w:val="24"/>
        </w:rPr>
        <w:t>RANSPORT</w:t>
      </w:r>
      <w:bookmarkEnd w:id="530"/>
    </w:p>
    <w:p w:rsidR="004A2760" w:rsidRPr="006D71C7" w:rsidRDefault="004A2760" w:rsidP="00BA2FE7">
      <w:pPr>
        <w:pStyle w:val="Nagwek1"/>
        <w:numPr>
          <w:ilvl w:val="2"/>
          <w:numId w:val="63"/>
        </w:numPr>
        <w:tabs>
          <w:tab w:val="left" w:pos="1418"/>
        </w:tabs>
        <w:spacing w:before="240" w:after="120"/>
        <w:ind w:left="1134" w:hanging="283"/>
        <w:jc w:val="both"/>
      </w:pPr>
      <w:bookmarkStart w:id="531" w:name="_Toc292793605"/>
      <w:bookmarkStart w:id="532" w:name="_Toc324853929"/>
      <w:bookmarkStart w:id="533" w:name="_Toc327259281"/>
      <w:r w:rsidRPr="006D71C7">
        <w:t>Osiągnięcie celów i analiza postępów</w:t>
      </w:r>
      <w:bookmarkEnd w:id="531"/>
      <w:bookmarkEnd w:id="532"/>
      <w:bookmarkEnd w:id="533"/>
    </w:p>
    <w:p w:rsidR="00F86616" w:rsidRPr="006D71C7" w:rsidRDefault="00F86616" w:rsidP="00BA2FE7">
      <w:pPr>
        <w:pStyle w:val="Nagwek1"/>
        <w:numPr>
          <w:ilvl w:val="3"/>
          <w:numId w:val="63"/>
        </w:numPr>
        <w:tabs>
          <w:tab w:val="left" w:pos="1418"/>
        </w:tabs>
        <w:spacing w:before="240" w:after="120"/>
        <w:jc w:val="both"/>
      </w:pPr>
      <w:bookmarkStart w:id="534" w:name="_Toc324853930"/>
      <w:bookmarkStart w:id="535" w:name="_Toc327259282"/>
      <w:r w:rsidRPr="006D71C7">
        <w:t>Informacje na temat fizycznych i finansowych postępów priorytetu</w:t>
      </w:r>
      <w:bookmarkEnd w:id="534"/>
      <w:bookmarkEnd w:id="535"/>
    </w:p>
    <w:p w:rsidR="00033790" w:rsidRPr="006D71C7" w:rsidRDefault="00033790" w:rsidP="006D71C7">
      <w:pPr>
        <w:pStyle w:val="Nagwek2"/>
        <w:numPr>
          <w:ilvl w:val="0"/>
          <w:numId w:val="0"/>
        </w:numPr>
        <w:spacing w:before="0" w:beforeAutospacing="0" w:after="120" w:afterAutospacing="0" w:line="276" w:lineRule="auto"/>
        <w:jc w:val="both"/>
        <w:rPr>
          <w:b w:val="0"/>
          <w:sz w:val="24"/>
          <w:szCs w:val="24"/>
        </w:rPr>
      </w:pPr>
      <w:bookmarkStart w:id="536" w:name="_Toc324786873"/>
      <w:bookmarkStart w:id="537" w:name="_Toc324853931"/>
      <w:bookmarkStart w:id="538" w:name="_Toc327259283"/>
      <w:r w:rsidRPr="006D71C7">
        <w:rPr>
          <w:b w:val="0"/>
          <w:sz w:val="24"/>
          <w:szCs w:val="24"/>
        </w:rPr>
        <w:t>W załącznik</w:t>
      </w:r>
      <w:r w:rsidR="00CA4B98"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dla priorytetu VII, dla kolejnych lat w ujęciu kumulatywnym. Przedstawione informacje prezentowane według stanu na koniec 2011 roku oparte</w:t>
      </w:r>
      <w:r w:rsidR="00372B6A" w:rsidRPr="006D71C7">
        <w:rPr>
          <w:b w:val="0"/>
          <w:sz w:val="24"/>
          <w:szCs w:val="24"/>
        </w:rPr>
        <w:t xml:space="preserve"> zostały</w:t>
      </w:r>
      <w:r w:rsidRPr="006D71C7">
        <w:rPr>
          <w:b w:val="0"/>
          <w:sz w:val="24"/>
          <w:szCs w:val="24"/>
        </w:rPr>
        <w:t xml:space="preserve"> na danych dotyczących operacji zakończonych. Określone zostały wartości docelowe dla 2010, 2013 i 2015 roku oraz zaprezentowano szacowaną wartość na podstawie podpisanych umów o dofinansowanie. Przedstawiono także wskaźniki przedmiotowego priorytetu w podziale na działania i poddziałania.</w:t>
      </w:r>
      <w:bookmarkEnd w:id="536"/>
      <w:bookmarkEnd w:id="537"/>
      <w:bookmarkEnd w:id="538"/>
    </w:p>
    <w:p w:rsidR="00245F70" w:rsidRPr="006D71C7" w:rsidRDefault="00A21701" w:rsidP="00BA2FE7">
      <w:pPr>
        <w:pStyle w:val="Nagwek1"/>
        <w:numPr>
          <w:ilvl w:val="3"/>
          <w:numId w:val="63"/>
        </w:numPr>
        <w:tabs>
          <w:tab w:val="left" w:pos="1418"/>
        </w:tabs>
        <w:spacing w:before="240" w:after="120"/>
        <w:jc w:val="both"/>
        <w:rPr>
          <w:i/>
        </w:rPr>
      </w:pPr>
      <w:bookmarkStart w:id="539" w:name="_Toc324853932"/>
      <w:bookmarkStart w:id="540" w:name="_Toc327259284"/>
      <w:r w:rsidRPr="006D71C7">
        <w:rPr>
          <w:i/>
        </w:rPr>
        <w:t>Analiza jakościowa (poziom priorytetu)</w:t>
      </w:r>
      <w:bookmarkEnd w:id="539"/>
      <w:bookmarkEnd w:id="540"/>
    </w:p>
    <w:p w:rsidR="000304D8" w:rsidRPr="006D71C7" w:rsidRDefault="007338BD" w:rsidP="006D71C7">
      <w:pPr>
        <w:jc w:val="both"/>
        <w:rPr>
          <w:b/>
          <w:i/>
        </w:rPr>
      </w:pPr>
      <w:r w:rsidRPr="006D71C7">
        <w:rPr>
          <w:b/>
          <w:i/>
        </w:rPr>
        <w:t>Informacje ogólne</w:t>
      </w:r>
    </w:p>
    <w:p w:rsidR="00F86616" w:rsidRPr="006D71C7" w:rsidRDefault="00F86616" w:rsidP="006D71C7">
      <w:pPr>
        <w:spacing w:before="240"/>
        <w:jc w:val="both"/>
        <w:rPr>
          <w:szCs w:val="24"/>
        </w:rPr>
      </w:pPr>
      <w:r w:rsidRPr="006D71C7">
        <w:rPr>
          <w:szCs w:val="24"/>
        </w:rPr>
        <w:t xml:space="preserve">Celem głównym Priorytetu jest </w:t>
      </w:r>
      <w:r w:rsidRPr="006D71C7">
        <w:rPr>
          <w:i/>
          <w:iCs/>
          <w:szCs w:val="24"/>
        </w:rPr>
        <w:t>ukształtowanie efektywnego i zintegrowanego systemu transportowego</w:t>
      </w:r>
      <w:r w:rsidRPr="006D71C7">
        <w:rPr>
          <w:szCs w:val="24"/>
        </w:rPr>
        <w:t xml:space="preserve">. W ramach priorytetu wspierane </w:t>
      </w:r>
      <w:r w:rsidR="00CA4B98" w:rsidRPr="006D71C7">
        <w:rPr>
          <w:szCs w:val="24"/>
        </w:rPr>
        <w:t xml:space="preserve">są </w:t>
      </w:r>
      <w:r w:rsidRPr="006D71C7">
        <w:rPr>
          <w:szCs w:val="24"/>
        </w:rPr>
        <w:t xml:space="preserve">działania w zakresie modernizacji i rozbudowy sieci drogowej </w:t>
      </w:r>
      <w:r w:rsidR="00CA4B98" w:rsidRPr="006D71C7">
        <w:rPr>
          <w:szCs w:val="24"/>
        </w:rPr>
        <w:t>oraz</w:t>
      </w:r>
      <w:r w:rsidRPr="006D71C7">
        <w:rPr>
          <w:szCs w:val="24"/>
        </w:rPr>
        <w:t xml:space="preserve"> transportu publicznego. Szczególne znaczenie ma połączenie kluczowej sieci drogowej województwa z drogami znajdującymi się w sieci TEN-T, drogami międzynarodowymi i krajowymi.</w:t>
      </w:r>
    </w:p>
    <w:p w:rsidR="00F86616" w:rsidRPr="006D71C7" w:rsidRDefault="00F86616" w:rsidP="006D71C7">
      <w:pPr>
        <w:spacing w:after="0"/>
        <w:jc w:val="both"/>
        <w:rPr>
          <w:szCs w:val="24"/>
        </w:rPr>
      </w:pPr>
      <w:r w:rsidRPr="006D71C7">
        <w:rPr>
          <w:szCs w:val="24"/>
        </w:rPr>
        <w:t>Realizacji priorytetu służyć mają dwa działania:</w:t>
      </w:r>
    </w:p>
    <w:p w:rsidR="00F86616" w:rsidRPr="006D71C7" w:rsidRDefault="00F86616" w:rsidP="00BA2FE7">
      <w:pPr>
        <w:pStyle w:val="Akapitzlist"/>
        <w:numPr>
          <w:ilvl w:val="0"/>
          <w:numId w:val="10"/>
        </w:numPr>
        <w:spacing w:after="0"/>
        <w:jc w:val="both"/>
        <w:rPr>
          <w:i/>
          <w:szCs w:val="24"/>
        </w:rPr>
      </w:pPr>
      <w:r w:rsidRPr="006D71C7">
        <w:rPr>
          <w:i/>
          <w:szCs w:val="24"/>
        </w:rPr>
        <w:t>7.1 Modernizacja i rozbudowa sieci drogowej</w:t>
      </w:r>
      <w:r w:rsidR="00033790" w:rsidRPr="006D71C7">
        <w:rPr>
          <w:i/>
          <w:szCs w:val="24"/>
        </w:rPr>
        <w:t>,</w:t>
      </w:r>
    </w:p>
    <w:p w:rsidR="00F86616" w:rsidRPr="006D71C7" w:rsidRDefault="00F86616" w:rsidP="00BA2FE7">
      <w:pPr>
        <w:pStyle w:val="Akapitzlist"/>
        <w:numPr>
          <w:ilvl w:val="0"/>
          <w:numId w:val="10"/>
        </w:numPr>
        <w:spacing w:after="0"/>
        <w:jc w:val="both"/>
        <w:rPr>
          <w:i/>
          <w:szCs w:val="24"/>
        </w:rPr>
      </w:pPr>
      <w:r w:rsidRPr="006D71C7">
        <w:rPr>
          <w:i/>
          <w:szCs w:val="24"/>
        </w:rPr>
        <w:t xml:space="preserve">7.2 Transport publiczny </w:t>
      </w:r>
    </w:p>
    <w:p w:rsidR="00033790" w:rsidRPr="006D71C7" w:rsidRDefault="00F86616" w:rsidP="006D71C7">
      <w:pPr>
        <w:spacing w:before="240" w:after="120"/>
        <w:jc w:val="both"/>
        <w:rPr>
          <w:b/>
          <w:szCs w:val="24"/>
        </w:rPr>
      </w:pPr>
      <w:r w:rsidRPr="006D71C7">
        <w:rPr>
          <w:szCs w:val="24"/>
        </w:rPr>
        <w:t xml:space="preserve">Na realizację Priorytetu VII alokowano </w:t>
      </w:r>
      <w:r w:rsidR="00033790" w:rsidRPr="006D71C7">
        <w:rPr>
          <w:szCs w:val="24"/>
        </w:rPr>
        <w:t>460 254 825</w:t>
      </w:r>
      <w:r w:rsidR="00033790" w:rsidRPr="006D71C7">
        <w:rPr>
          <w:b/>
          <w:szCs w:val="24"/>
        </w:rPr>
        <w:t xml:space="preserve"> </w:t>
      </w:r>
      <w:r w:rsidRPr="006D71C7">
        <w:rPr>
          <w:szCs w:val="24"/>
        </w:rPr>
        <w:t>EUR poch</w:t>
      </w:r>
      <w:r w:rsidR="00033790" w:rsidRPr="006D71C7">
        <w:rPr>
          <w:szCs w:val="24"/>
        </w:rPr>
        <w:t>odzących z EFRR, co stanowi 26,3</w:t>
      </w:r>
      <w:r w:rsidRPr="006D71C7">
        <w:rPr>
          <w:szCs w:val="24"/>
        </w:rPr>
        <w:t xml:space="preserve">% wartości </w:t>
      </w:r>
      <w:r w:rsidRPr="006D71C7">
        <w:rPr>
          <w:i/>
          <w:szCs w:val="24"/>
        </w:rPr>
        <w:t>Programu.</w:t>
      </w:r>
      <w:r w:rsidRPr="006D71C7">
        <w:rPr>
          <w:szCs w:val="24"/>
        </w:rPr>
        <w:t xml:space="preserve"> </w:t>
      </w:r>
      <w:r w:rsidR="00033790" w:rsidRPr="006D71C7">
        <w:t xml:space="preserve">Alokacja przedmiotowego priorytetu w 2011 roku została zwiększona o dodatkowe środki w ramach </w:t>
      </w:r>
      <w:r w:rsidR="00033790" w:rsidRPr="006D71C7">
        <w:rPr>
          <w:rStyle w:val="Pogrubienie"/>
          <w:b w:val="0"/>
        </w:rPr>
        <w:t>Krajowej Rezerwy Wykonania</w:t>
      </w:r>
      <w:r w:rsidR="00033790" w:rsidRPr="006D71C7">
        <w:rPr>
          <w:rStyle w:val="Pogrubienie"/>
        </w:rPr>
        <w:t xml:space="preserve"> </w:t>
      </w:r>
      <w:r w:rsidR="00033790" w:rsidRPr="006D71C7">
        <w:t xml:space="preserve">oraz instrumentu </w:t>
      </w:r>
      <w:r w:rsidR="00033790" w:rsidRPr="006D71C7">
        <w:rPr>
          <w:rStyle w:val="Pogrubienie"/>
          <w:b w:val="0"/>
        </w:rPr>
        <w:t>Dostosowanie Techniczne</w:t>
      </w:r>
      <w:r w:rsidR="00033790" w:rsidRPr="006D71C7">
        <w:rPr>
          <w:rStyle w:val="Pogrubienie"/>
        </w:rPr>
        <w:t xml:space="preserve">. </w:t>
      </w:r>
      <w:r w:rsidR="00033790" w:rsidRPr="006D71C7">
        <w:rPr>
          <w:rStyle w:val="Pogrubienie"/>
          <w:b w:val="0"/>
        </w:rPr>
        <w:t xml:space="preserve">Szczegółowe informacje zostały przedstawione w pkt. 2.8 niniejszego </w:t>
      </w:r>
      <w:r w:rsidR="00033790" w:rsidRPr="006D71C7">
        <w:rPr>
          <w:rStyle w:val="Pogrubienie"/>
          <w:b w:val="0"/>
          <w:i/>
        </w:rPr>
        <w:t>Sprawozdania.</w:t>
      </w:r>
    </w:p>
    <w:p w:rsidR="00033790" w:rsidRPr="006D71C7" w:rsidRDefault="00033790" w:rsidP="006D71C7">
      <w:pPr>
        <w:widowControl w:val="0"/>
        <w:autoSpaceDE w:val="0"/>
        <w:autoSpaceDN w:val="0"/>
        <w:adjustRightInd w:val="0"/>
        <w:spacing w:after="120"/>
        <w:ind w:right="-23"/>
        <w:jc w:val="both"/>
        <w:rPr>
          <w:szCs w:val="24"/>
        </w:rPr>
      </w:pPr>
      <w:r w:rsidRPr="006D71C7">
        <w:rPr>
          <w:szCs w:val="24"/>
        </w:rPr>
        <w:t xml:space="preserve">Opis wkładu priorytetu w promowanie równości szans kobiet i mężczyzn znajduje się w pkt. 2.2.1 </w:t>
      </w:r>
      <w:r w:rsidRPr="006D71C7">
        <w:rPr>
          <w:i/>
          <w:szCs w:val="24"/>
        </w:rPr>
        <w:t>Sprawozdania.</w:t>
      </w:r>
    </w:p>
    <w:p w:rsidR="00033790" w:rsidRPr="006D71C7" w:rsidRDefault="00033790" w:rsidP="006D71C7">
      <w:pPr>
        <w:widowControl w:val="0"/>
        <w:autoSpaceDE w:val="0"/>
        <w:autoSpaceDN w:val="0"/>
        <w:adjustRightInd w:val="0"/>
        <w:spacing w:after="120"/>
        <w:ind w:right="-23"/>
        <w:jc w:val="both"/>
        <w:rPr>
          <w:szCs w:val="24"/>
        </w:rPr>
      </w:pPr>
      <w:r w:rsidRPr="006D71C7">
        <w:rPr>
          <w:szCs w:val="24"/>
        </w:rPr>
        <w:t>W ramach priorytetu nie przewidziano finansowania krzyżowego</w:t>
      </w:r>
      <w:r w:rsidRPr="006D71C7">
        <w:rPr>
          <w:i/>
          <w:szCs w:val="24"/>
        </w:rPr>
        <w:t>.</w:t>
      </w:r>
    </w:p>
    <w:p w:rsidR="00B055BA" w:rsidRPr="006D71C7" w:rsidRDefault="00033790" w:rsidP="006D71C7">
      <w:pPr>
        <w:pStyle w:val="Akapitzlist"/>
        <w:spacing w:after="0"/>
        <w:ind w:left="0"/>
        <w:jc w:val="both"/>
        <w:rPr>
          <w:szCs w:val="24"/>
        </w:rPr>
      </w:pPr>
      <w:r w:rsidRPr="006D71C7">
        <w:rPr>
          <w:szCs w:val="24"/>
        </w:rPr>
        <w:t>Do końca okresu sprawozdawczego nie zostało przeprowadzone żadne badanie ewaluacyjne</w:t>
      </w:r>
      <w:r w:rsidR="00B055BA" w:rsidRPr="006D71C7">
        <w:rPr>
          <w:szCs w:val="24"/>
        </w:rPr>
        <w:t xml:space="preserve"> w ramach priorytetu VII</w:t>
      </w:r>
      <w:r w:rsidRPr="006D71C7">
        <w:rPr>
          <w:szCs w:val="24"/>
        </w:rPr>
        <w:t>.</w:t>
      </w:r>
      <w:r w:rsidR="009428B6" w:rsidRPr="006D71C7">
        <w:rPr>
          <w:szCs w:val="24"/>
        </w:rPr>
        <w:t xml:space="preserve"> </w:t>
      </w:r>
      <w:r w:rsidR="00B055BA" w:rsidRPr="006D71C7">
        <w:rPr>
          <w:szCs w:val="24"/>
        </w:rPr>
        <w:t>Jednak</w:t>
      </w:r>
      <w:r w:rsidR="00C81A59" w:rsidRPr="006D71C7">
        <w:rPr>
          <w:b/>
          <w:szCs w:val="24"/>
        </w:rPr>
        <w:t xml:space="preserve"> </w:t>
      </w:r>
      <w:r w:rsidR="00C81A59" w:rsidRPr="006D71C7">
        <w:rPr>
          <w:szCs w:val="24"/>
        </w:rPr>
        <w:t xml:space="preserve">wykonane zostało badanie dot. transportu w ramach projektu systemowego pt. </w:t>
      </w:r>
      <w:r w:rsidR="00C81A59" w:rsidRPr="006D71C7">
        <w:rPr>
          <w:i/>
          <w:szCs w:val="24"/>
        </w:rPr>
        <w:t>Badania i analizy na potrzeby Regionalnego Centrum Analiz Strategicznych realizowanego w ramach poddziałania 8.1.4. Przewidywanie zmiany gospodarczej PO KL</w:t>
      </w:r>
      <w:r w:rsidR="00C81A59" w:rsidRPr="006D71C7">
        <w:rPr>
          <w:szCs w:val="24"/>
        </w:rPr>
        <w:t xml:space="preserve"> - </w:t>
      </w:r>
      <w:r w:rsidR="00B055BA" w:rsidRPr="006D71C7">
        <w:rPr>
          <w:i/>
          <w:szCs w:val="24"/>
        </w:rPr>
        <w:t xml:space="preserve">Analiza możliwości zastosowania zintegrowanych rozwiązań w systemie transportu miejskiego w województwie śląskim. </w:t>
      </w:r>
      <w:r w:rsidR="00B055BA" w:rsidRPr="006D71C7">
        <w:rPr>
          <w:szCs w:val="24"/>
        </w:rPr>
        <w:t>Głównym celem badania było wskazanie zintegrowanych rozwiązań w zakresie rozwoju systemu transportowego, możliwych do zastosowania w województwie śląskim, przyczyniających się do zwiększenia przepustowości komunikacyjnej miast regionu.</w:t>
      </w:r>
    </w:p>
    <w:p w:rsidR="00B055BA" w:rsidRPr="006D71C7" w:rsidRDefault="00B055BA" w:rsidP="006D71C7">
      <w:pPr>
        <w:spacing w:after="0"/>
        <w:jc w:val="both"/>
        <w:rPr>
          <w:szCs w:val="24"/>
        </w:rPr>
      </w:pPr>
      <w:r w:rsidRPr="006D71C7">
        <w:rPr>
          <w:szCs w:val="24"/>
        </w:rPr>
        <w:t>Cel główny realizowany był</w:t>
      </w:r>
      <w:r w:rsidR="00C81A59" w:rsidRPr="006D71C7">
        <w:rPr>
          <w:szCs w:val="24"/>
        </w:rPr>
        <w:t xml:space="preserve"> przez trzy cele szczegółowe:</w:t>
      </w:r>
    </w:p>
    <w:p w:rsidR="00B055BA" w:rsidRPr="006D71C7" w:rsidRDefault="00C81A59" w:rsidP="00BA2FE7">
      <w:pPr>
        <w:pStyle w:val="Akapitzlist"/>
        <w:numPr>
          <w:ilvl w:val="0"/>
          <w:numId w:val="103"/>
        </w:numPr>
        <w:spacing w:after="0"/>
        <w:ind w:left="567"/>
        <w:jc w:val="both"/>
        <w:rPr>
          <w:szCs w:val="24"/>
        </w:rPr>
      </w:pPr>
      <w:r w:rsidRPr="006D71C7">
        <w:rPr>
          <w:szCs w:val="24"/>
        </w:rPr>
        <w:t>Analizę możliwości zastosowania inteligentnych systemów transportowych w regionie</w:t>
      </w:r>
      <w:r w:rsidR="00D52475" w:rsidRPr="006D71C7">
        <w:rPr>
          <w:szCs w:val="24"/>
        </w:rPr>
        <w:t>.</w:t>
      </w:r>
    </w:p>
    <w:p w:rsidR="00B055BA" w:rsidRPr="006D71C7" w:rsidRDefault="00B055BA" w:rsidP="00BA2FE7">
      <w:pPr>
        <w:pStyle w:val="Akapitzlist"/>
        <w:numPr>
          <w:ilvl w:val="0"/>
          <w:numId w:val="103"/>
        </w:numPr>
        <w:spacing w:after="0"/>
        <w:ind w:left="567"/>
        <w:jc w:val="both"/>
        <w:rPr>
          <w:szCs w:val="24"/>
        </w:rPr>
      </w:pPr>
      <w:r w:rsidRPr="006D71C7">
        <w:rPr>
          <w:szCs w:val="24"/>
        </w:rPr>
        <w:t>Wskazanie rozwiązań zwiększających bezpieczeństwo ruchu drogowego w województwie.</w:t>
      </w:r>
    </w:p>
    <w:p w:rsidR="00B055BA" w:rsidRPr="006D71C7" w:rsidRDefault="00B055BA" w:rsidP="00BA2FE7">
      <w:pPr>
        <w:pStyle w:val="Akapitzlist"/>
        <w:numPr>
          <w:ilvl w:val="0"/>
          <w:numId w:val="103"/>
        </w:numPr>
        <w:spacing w:after="120"/>
        <w:ind w:left="567" w:hanging="357"/>
        <w:jc w:val="both"/>
        <w:rPr>
          <w:szCs w:val="24"/>
        </w:rPr>
      </w:pPr>
      <w:r w:rsidRPr="006D71C7">
        <w:rPr>
          <w:szCs w:val="24"/>
        </w:rPr>
        <w:t>Wskazanie pożądanych działań w zakresie transportu zbiorowego w regionie</w:t>
      </w:r>
      <w:r w:rsidR="00D52475" w:rsidRPr="006D71C7">
        <w:rPr>
          <w:szCs w:val="24"/>
        </w:rPr>
        <w:t>.</w:t>
      </w:r>
    </w:p>
    <w:p w:rsidR="00245F70" w:rsidRPr="006D71C7" w:rsidRDefault="00B055BA" w:rsidP="006D71C7">
      <w:pPr>
        <w:spacing w:after="0"/>
        <w:jc w:val="both"/>
        <w:rPr>
          <w:szCs w:val="24"/>
        </w:rPr>
      </w:pPr>
      <w:r w:rsidRPr="006D71C7">
        <w:rPr>
          <w:szCs w:val="24"/>
        </w:rPr>
        <w:t>Ostatecznym efektem badania jest zestaw rekomendacji wskazujący działania, zwiększające poziom bezpieczeństwa na drogach regionu oraz pożądane kierunki rozwoju transportu publicznego na terenie województwa śląskiego. Okres realizacji badania: sierpień – grudzień 2011r.</w:t>
      </w:r>
    </w:p>
    <w:p w:rsidR="00245F70" w:rsidRPr="006D71C7" w:rsidRDefault="00245F70" w:rsidP="006D71C7">
      <w:pPr>
        <w:spacing w:after="0"/>
        <w:jc w:val="both"/>
        <w:rPr>
          <w:szCs w:val="24"/>
        </w:rPr>
      </w:pPr>
    </w:p>
    <w:p w:rsidR="00033790" w:rsidRPr="006D71C7" w:rsidRDefault="00033790" w:rsidP="006D71C7">
      <w:pPr>
        <w:spacing w:after="120"/>
        <w:jc w:val="both"/>
        <w:rPr>
          <w:b/>
          <w:i/>
        </w:rPr>
      </w:pPr>
      <w:r w:rsidRPr="006D71C7">
        <w:rPr>
          <w:b/>
          <w:i/>
        </w:rPr>
        <w:t>Postęp wdrażania priorytetu VII</w:t>
      </w:r>
    </w:p>
    <w:p w:rsidR="00033790" w:rsidRPr="006D71C7" w:rsidRDefault="00033790" w:rsidP="006D71C7">
      <w:pPr>
        <w:spacing w:after="0"/>
        <w:jc w:val="both"/>
      </w:pPr>
      <w:r w:rsidRPr="006D71C7">
        <w:t>Analizując poniższy wykres można zauważyć, że pod koniec 2011 r. największy wzrost w porównaniu z poprzednim okresem sprawozdawczym występował w płatnościach (55%) oraz w deklaracjach zatwierdzonych przez IC, których poziom wynosił 51%.</w:t>
      </w:r>
    </w:p>
    <w:p w:rsidR="005C3CED" w:rsidRPr="006D71C7" w:rsidRDefault="005C3CED" w:rsidP="006D71C7">
      <w:pPr>
        <w:spacing w:after="0"/>
        <w:jc w:val="both"/>
        <w:rPr>
          <w:szCs w:val="24"/>
        </w:rPr>
      </w:pPr>
    </w:p>
    <w:p w:rsidR="00033790" w:rsidRPr="006D71C7" w:rsidRDefault="00033790" w:rsidP="006D71C7">
      <w:pPr>
        <w:spacing w:after="0"/>
        <w:ind w:left="-426"/>
        <w:jc w:val="both"/>
        <w:rPr>
          <w:szCs w:val="24"/>
        </w:rPr>
      </w:pPr>
      <w:r w:rsidRPr="006D71C7">
        <w:rPr>
          <w:noProof/>
          <w:szCs w:val="24"/>
        </w:rPr>
        <w:drawing>
          <wp:inline distT="0" distB="0" distL="0" distR="0">
            <wp:extent cx="6086253" cy="2628457"/>
            <wp:effectExtent l="38100" t="19050" r="9747" b="443"/>
            <wp:docPr id="2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C43B75" w:rsidRDefault="00C43B75" w:rsidP="00C43B75">
      <w:pPr>
        <w:pStyle w:val="Legenda"/>
        <w:rPr>
          <w:b w:val="0"/>
          <w:i/>
          <w:color w:val="auto"/>
          <w:sz w:val="20"/>
          <w:szCs w:val="20"/>
        </w:rPr>
      </w:pPr>
      <w:bookmarkStart w:id="541" w:name="_Toc324853737"/>
      <w:bookmarkStart w:id="542" w:name="_Toc326055365"/>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47</w:t>
      </w:r>
      <w:r w:rsidR="008F7228" w:rsidRPr="00C43B75">
        <w:rPr>
          <w:color w:val="auto"/>
          <w:sz w:val="20"/>
          <w:szCs w:val="20"/>
        </w:rPr>
        <w:fldChar w:fldCharType="end"/>
      </w:r>
      <w:r w:rsidR="00C53D11">
        <w:t xml:space="preserve"> </w:t>
      </w:r>
      <w:r w:rsidR="00033790" w:rsidRPr="006D71C7">
        <w:rPr>
          <w:b w:val="0"/>
          <w:i/>
          <w:color w:val="auto"/>
          <w:sz w:val="20"/>
          <w:szCs w:val="20"/>
        </w:rPr>
        <w:t xml:space="preserve">Realizacja </w:t>
      </w:r>
      <w:r w:rsidR="009428B6" w:rsidRPr="006D71C7">
        <w:rPr>
          <w:b w:val="0"/>
          <w:i/>
          <w:color w:val="auto"/>
          <w:sz w:val="20"/>
          <w:szCs w:val="20"/>
        </w:rPr>
        <w:t>p</w:t>
      </w:r>
      <w:r w:rsidR="00033790" w:rsidRPr="006D71C7">
        <w:rPr>
          <w:b w:val="0"/>
          <w:i/>
          <w:color w:val="auto"/>
          <w:sz w:val="20"/>
          <w:szCs w:val="20"/>
        </w:rPr>
        <w:t>riorytetu VII od uruchomienia Programu</w:t>
      </w:r>
      <w:bookmarkEnd w:id="541"/>
      <w:bookmarkEnd w:id="542"/>
      <w:r w:rsidR="00C53D11">
        <w:rPr>
          <w:b w:val="0"/>
          <w:i/>
          <w:color w:val="auto"/>
          <w:sz w:val="20"/>
          <w:szCs w:val="20"/>
        </w:rPr>
        <w:t xml:space="preserve"> </w:t>
      </w:r>
    </w:p>
    <w:p w:rsidR="00033790" w:rsidRPr="006D71C7" w:rsidRDefault="00033790" w:rsidP="006D71C7">
      <w:pPr>
        <w:pStyle w:val="Legenda"/>
        <w:spacing w:line="276" w:lineRule="auto"/>
        <w:jc w:val="both"/>
        <w:rPr>
          <w:b w:val="0"/>
          <w:color w:val="auto"/>
          <w:sz w:val="24"/>
          <w:szCs w:val="24"/>
        </w:rPr>
      </w:pPr>
      <w:r w:rsidRPr="006D71C7">
        <w:rPr>
          <w:b w:val="0"/>
          <w:color w:val="auto"/>
          <w:sz w:val="24"/>
          <w:szCs w:val="24"/>
        </w:rPr>
        <w:t>Poniżej w tabeli przedstawiono postęp realizacji priorytetu VII w podziale na działania. Stopień wykorzystania alokacji w poszczególnych działaniach jest zróżnicowany.</w:t>
      </w:r>
      <w:r w:rsidR="00C175EA" w:rsidRPr="006D71C7">
        <w:rPr>
          <w:b w:val="0"/>
          <w:color w:val="auto"/>
          <w:sz w:val="24"/>
          <w:szCs w:val="24"/>
        </w:rPr>
        <w:t xml:space="preserve"> </w:t>
      </w:r>
      <w:r w:rsidRPr="006D71C7">
        <w:rPr>
          <w:b w:val="0"/>
          <w:color w:val="auto"/>
          <w:sz w:val="24"/>
          <w:szCs w:val="24"/>
        </w:rPr>
        <w:t xml:space="preserve">Niższy poziom </w:t>
      </w:r>
      <w:r w:rsidR="005C3CED" w:rsidRPr="006D71C7">
        <w:rPr>
          <w:b w:val="0"/>
          <w:color w:val="auto"/>
          <w:sz w:val="24"/>
          <w:szCs w:val="24"/>
        </w:rPr>
        <w:t xml:space="preserve">zakontraktowanych </w:t>
      </w:r>
      <w:r w:rsidRPr="006D71C7">
        <w:rPr>
          <w:b w:val="0"/>
          <w:color w:val="auto"/>
          <w:sz w:val="24"/>
          <w:szCs w:val="24"/>
        </w:rPr>
        <w:t xml:space="preserve">środków w </w:t>
      </w:r>
      <w:r w:rsidRPr="006D71C7">
        <w:rPr>
          <w:b w:val="0"/>
          <w:i/>
          <w:color w:val="auto"/>
          <w:sz w:val="24"/>
          <w:szCs w:val="24"/>
        </w:rPr>
        <w:t>działaniu 7.1.</w:t>
      </w:r>
      <w:r w:rsidRPr="006D71C7">
        <w:rPr>
          <w:b w:val="0"/>
          <w:color w:val="auto"/>
          <w:sz w:val="24"/>
          <w:szCs w:val="24"/>
        </w:rPr>
        <w:t xml:space="preserve"> spowodowany jest  tym, że </w:t>
      </w:r>
      <w:r w:rsidR="005C3CED" w:rsidRPr="006D71C7">
        <w:rPr>
          <w:b w:val="0"/>
          <w:color w:val="auto"/>
          <w:sz w:val="24"/>
          <w:szCs w:val="24"/>
        </w:rPr>
        <w:t>nie została podpisana umowa o dofinansowanie na kwotę ok. 70 mln EUR z jednym projektem kluczowym</w:t>
      </w:r>
      <w:r w:rsidR="005C3CED" w:rsidRPr="006D71C7">
        <w:rPr>
          <w:i/>
          <w:color w:val="auto"/>
        </w:rPr>
        <w:t xml:space="preserve"> </w:t>
      </w:r>
      <w:r w:rsidR="005C3CED" w:rsidRPr="006D71C7">
        <w:rPr>
          <w:b w:val="0"/>
          <w:i/>
          <w:color w:val="auto"/>
          <w:sz w:val="24"/>
          <w:szCs w:val="24"/>
        </w:rPr>
        <w:t xml:space="preserve">Kontynuacja budowy Drogowej Trasy Średnicowej „Zachód” – odcinek Zabrze – Gliwice, </w:t>
      </w:r>
      <w:r w:rsidR="005C3CED" w:rsidRPr="006D71C7">
        <w:rPr>
          <w:b w:val="0"/>
          <w:color w:val="auto"/>
          <w:sz w:val="24"/>
          <w:szCs w:val="24"/>
        </w:rPr>
        <w:t>który został wysłany do</w:t>
      </w:r>
      <w:r w:rsidR="005C3CED" w:rsidRPr="006D71C7">
        <w:rPr>
          <w:b w:val="0"/>
          <w:i/>
          <w:color w:val="auto"/>
          <w:sz w:val="24"/>
          <w:szCs w:val="24"/>
        </w:rPr>
        <w:t xml:space="preserve"> </w:t>
      </w:r>
      <w:r w:rsidR="005C3CED" w:rsidRPr="006D71C7">
        <w:rPr>
          <w:b w:val="0"/>
          <w:color w:val="auto"/>
          <w:sz w:val="24"/>
          <w:szCs w:val="24"/>
        </w:rPr>
        <w:t xml:space="preserve">KE i czeka na decyzję. Ponadto w okresie sprawozdawczym </w:t>
      </w:r>
      <w:r w:rsidR="00FB72A6" w:rsidRPr="006D71C7">
        <w:rPr>
          <w:b w:val="0"/>
          <w:color w:val="auto"/>
          <w:sz w:val="24"/>
          <w:szCs w:val="24"/>
        </w:rPr>
        <w:t xml:space="preserve">w ramach </w:t>
      </w:r>
      <w:r w:rsidR="00FB72A6" w:rsidRPr="006D71C7">
        <w:rPr>
          <w:b w:val="0"/>
          <w:i/>
          <w:color w:val="auto"/>
          <w:sz w:val="24"/>
          <w:szCs w:val="24"/>
        </w:rPr>
        <w:t>działania 7.1</w:t>
      </w:r>
      <w:r w:rsidR="00FB72A6" w:rsidRPr="006D71C7">
        <w:rPr>
          <w:b w:val="0"/>
          <w:color w:val="auto"/>
          <w:sz w:val="24"/>
          <w:szCs w:val="24"/>
        </w:rPr>
        <w:t xml:space="preserve"> </w:t>
      </w:r>
      <w:r w:rsidR="005C3CED" w:rsidRPr="006D71C7">
        <w:rPr>
          <w:b w:val="0"/>
          <w:color w:val="auto"/>
          <w:sz w:val="24"/>
          <w:szCs w:val="24"/>
        </w:rPr>
        <w:t>w związku z otrzymaniem dodatkowych środków został ogłoszony nabór, który zakończy się na początku kolejnego okresu sprawozdawczego. W związku z</w:t>
      </w:r>
      <w:r w:rsidR="00FB72A6" w:rsidRPr="006D71C7">
        <w:rPr>
          <w:b w:val="0"/>
          <w:color w:val="auto"/>
          <w:sz w:val="24"/>
          <w:szCs w:val="24"/>
        </w:rPr>
        <w:t> </w:t>
      </w:r>
      <w:r w:rsidR="005C3CED" w:rsidRPr="006D71C7">
        <w:rPr>
          <w:b w:val="0"/>
          <w:color w:val="auto"/>
          <w:sz w:val="24"/>
          <w:szCs w:val="24"/>
        </w:rPr>
        <w:t xml:space="preserve">powyższym poziom wszystkich zmiennych w </w:t>
      </w:r>
      <w:r w:rsidR="00FB72A6" w:rsidRPr="006D71C7">
        <w:rPr>
          <w:b w:val="0"/>
          <w:color w:val="auto"/>
          <w:sz w:val="24"/>
          <w:szCs w:val="24"/>
        </w:rPr>
        <w:t xml:space="preserve">ramach </w:t>
      </w:r>
      <w:r w:rsidR="00FB72A6" w:rsidRPr="006D71C7">
        <w:rPr>
          <w:b w:val="0"/>
          <w:i/>
          <w:color w:val="auto"/>
          <w:sz w:val="24"/>
          <w:szCs w:val="24"/>
        </w:rPr>
        <w:t>ww. działania</w:t>
      </w:r>
      <w:r w:rsidR="005C3CED" w:rsidRPr="006D71C7">
        <w:rPr>
          <w:b w:val="0"/>
          <w:color w:val="auto"/>
          <w:sz w:val="24"/>
          <w:szCs w:val="24"/>
        </w:rPr>
        <w:t xml:space="preserve"> w kolejnym okresie sprawozdawczym będzie znacznie wyższy.</w:t>
      </w:r>
    </w:p>
    <w:p w:rsidR="001915C3" w:rsidRPr="006D71C7" w:rsidRDefault="007338BD" w:rsidP="006D71C7">
      <w:pPr>
        <w:pStyle w:val="Legenda"/>
        <w:jc w:val="both"/>
        <w:rPr>
          <w:b w:val="0"/>
          <w:i/>
          <w:color w:val="auto"/>
          <w:sz w:val="20"/>
          <w:szCs w:val="20"/>
        </w:rPr>
      </w:pPr>
      <w:bookmarkStart w:id="543" w:name="_Toc324853738"/>
      <w:bookmarkStart w:id="544" w:name="_Toc326046382"/>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30</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Postęp realizacji priorytetu VII w podziale na działania</w:t>
      </w:r>
      <w:bookmarkEnd w:id="543"/>
      <w:bookmarkEnd w:id="544"/>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4B29B" w:themeFill="accent1" w:themeFillTint="66"/>
        <w:tblLayout w:type="fixed"/>
        <w:tblLook w:val="04A0" w:firstRow="1" w:lastRow="0" w:firstColumn="1" w:lastColumn="0" w:noHBand="0" w:noVBand="1"/>
      </w:tblPr>
      <w:tblGrid>
        <w:gridCol w:w="1149"/>
        <w:gridCol w:w="1144"/>
        <w:gridCol w:w="1643"/>
        <w:gridCol w:w="992"/>
        <w:gridCol w:w="1204"/>
        <w:gridCol w:w="922"/>
        <w:gridCol w:w="1182"/>
        <w:gridCol w:w="1052"/>
      </w:tblGrid>
      <w:tr w:rsidR="00033790" w:rsidRPr="006D71C7" w:rsidTr="00C175EA">
        <w:tc>
          <w:tcPr>
            <w:tcW w:w="1149" w:type="dxa"/>
            <w:vMerge w:val="restart"/>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C43B75" w:rsidRPr="00C43B75" w:rsidRDefault="00C43B75" w:rsidP="00C43B75">
            <w:pPr>
              <w:jc w:val="center"/>
              <w:rPr>
                <w:b/>
                <w:bCs/>
                <w:sz w:val="20"/>
                <w:szCs w:val="20"/>
              </w:rPr>
            </w:pPr>
            <w:r w:rsidRPr="00C43B75">
              <w:rPr>
                <w:b/>
                <w:bCs/>
                <w:sz w:val="20"/>
                <w:szCs w:val="20"/>
              </w:rPr>
              <w:t>Działanie</w:t>
            </w:r>
          </w:p>
        </w:tc>
        <w:tc>
          <w:tcPr>
            <w:tcW w:w="1144" w:type="dxa"/>
            <w:vMerge w:val="restart"/>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C43B75" w:rsidRPr="00C43B75" w:rsidRDefault="00C43B75" w:rsidP="00C43B75">
            <w:pPr>
              <w:jc w:val="center"/>
              <w:rPr>
                <w:b/>
                <w:bCs/>
                <w:sz w:val="20"/>
                <w:szCs w:val="20"/>
              </w:rPr>
            </w:pPr>
            <w:r w:rsidRPr="00C43B75">
              <w:rPr>
                <w:b/>
                <w:bCs/>
                <w:sz w:val="20"/>
                <w:szCs w:val="20"/>
              </w:rPr>
              <w:t>Alokacja w mln EUR</w:t>
            </w:r>
          </w:p>
        </w:tc>
        <w:tc>
          <w:tcPr>
            <w:tcW w:w="2635"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C43B75" w:rsidRPr="00C43B75" w:rsidRDefault="00C43B75" w:rsidP="00C43B75">
            <w:pPr>
              <w:jc w:val="center"/>
              <w:rPr>
                <w:b/>
                <w:bCs/>
                <w:sz w:val="20"/>
                <w:szCs w:val="20"/>
              </w:rPr>
            </w:pPr>
            <w:r w:rsidRPr="00C43B75">
              <w:rPr>
                <w:b/>
                <w:bCs/>
                <w:sz w:val="20"/>
                <w:szCs w:val="20"/>
              </w:rPr>
              <w:t>Zatwierdzone wnioski o dofinansowanie</w:t>
            </w:r>
          </w:p>
        </w:tc>
        <w:tc>
          <w:tcPr>
            <w:tcW w:w="2126"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C43B75" w:rsidRPr="00C43B75" w:rsidRDefault="00C43B75" w:rsidP="00C43B75">
            <w:pPr>
              <w:jc w:val="center"/>
              <w:rPr>
                <w:b/>
                <w:bCs/>
                <w:sz w:val="20"/>
                <w:szCs w:val="20"/>
              </w:rPr>
            </w:pPr>
            <w:r w:rsidRPr="00C43B75">
              <w:rPr>
                <w:b/>
                <w:bCs/>
                <w:sz w:val="20"/>
                <w:szCs w:val="20"/>
              </w:rPr>
              <w:t>Podpisane umowy</w:t>
            </w:r>
          </w:p>
        </w:tc>
        <w:tc>
          <w:tcPr>
            <w:tcW w:w="2234"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C43B75" w:rsidRPr="00C43B75" w:rsidRDefault="00C43B75" w:rsidP="00C43B75">
            <w:pPr>
              <w:jc w:val="center"/>
              <w:rPr>
                <w:b/>
                <w:bCs/>
                <w:sz w:val="20"/>
                <w:szCs w:val="20"/>
              </w:rPr>
            </w:pPr>
            <w:r w:rsidRPr="00C43B75">
              <w:rPr>
                <w:b/>
                <w:bCs/>
                <w:sz w:val="20"/>
                <w:szCs w:val="20"/>
              </w:rPr>
              <w:t>Płatności</w:t>
            </w:r>
          </w:p>
        </w:tc>
      </w:tr>
      <w:tr w:rsidR="00033790" w:rsidRPr="006D71C7" w:rsidTr="00C175EA">
        <w:tc>
          <w:tcPr>
            <w:tcW w:w="1149" w:type="dxa"/>
            <w:vMerge/>
            <w:tcBorders>
              <w:top w:val="single" w:sz="8" w:space="0" w:color="FFFFFF"/>
              <w:left w:val="single" w:sz="8" w:space="0" w:color="FFFFFF"/>
              <w:bottom w:val="nil"/>
              <w:right w:val="single" w:sz="24" w:space="0" w:color="FFFFFF"/>
            </w:tcBorders>
            <w:shd w:val="clear" w:color="auto" w:fill="F4B29B" w:themeFill="accent1" w:themeFillTint="66"/>
            <w:vAlign w:val="center"/>
          </w:tcPr>
          <w:p w:rsidR="00C43B75" w:rsidRPr="00C43B75" w:rsidRDefault="00C43B75" w:rsidP="00C43B75">
            <w:pPr>
              <w:jc w:val="center"/>
              <w:rPr>
                <w:b/>
                <w:bCs/>
                <w:sz w:val="20"/>
                <w:szCs w:val="20"/>
              </w:rPr>
            </w:pPr>
          </w:p>
        </w:tc>
        <w:tc>
          <w:tcPr>
            <w:tcW w:w="1144" w:type="dxa"/>
            <w:vMerge/>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C43B75" w:rsidRPr="00C43B75" w:rsidRDefault="00C43B75" w:rsidP="00C43B75">
            <w:pPr>
              <w:jc w:val="center"/>
              <w:rPr>
                <w:b/>
                <w:sz w:val="20"/>
                <w:szCs w:val="20"/>
              </w:rPr>
            </w:pPr>
          </w:p>
        </w:tc>
        <w:tc>
          <w:tcPr>
            <w:tcW w:w="1643"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C43B75" w:rsidRPr="00C43B75" w:rsidRDefault="00C43B75" w:rsidP="00C43B75">
            <w:pPr>
              <w:jc w:val="center"/>
              <w:rPr>
                <w:b/>
                <w:sz w:val="20"/>
                <w:szCs w:val="20"/>
              </w:rPr>
            </w:pPr>
            <w:r w:rsidRPr="00C43B75">
              <w:rPr>
                <w:b/>
                <w:sz w:val="20"/>
                <w:szCs w:val="20"/>
              </w:rPr>
              <w:t>mln EUR</w:t>
            </w:r>
          </w:p>
        </w:tc>
        <w:tc>
          <w:tcPr>
            <w:tcW w:w="99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C43B75" w:rsidRPr="00C43B75" w:rsidRDefault="00C43B75" w:rsidP="00C43B75">
            <w:pPr>
              <w:jc w:val="center"/>
              <w:rPr>
                <w:b/>
                <w:sz w:val="20"/>
                <w:szCs w:val="20"/>
              </w:rPr>
            </w:pPr>
            <w:r w:rsidRPr="00C43B75">
              <w:rPr>
                <w:b/>
                <w:sz w:val="20"/>
                <w:szCs w:val="20"/>
              </w:rPr>
              <w:t>%</w:t>
            </w:r>
          </w:p>
        </w:tc>
        <w:tc>
          <w:tcPr>
            <w:tcW w:w="1204"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C43B75" w:rsidRPr="00C43B75" w:rsidRDefault="00C43B75" w:rsidP="00C43B75">
            <w:pPr>
              <w:jc w:val="center"/>
              <w:rPr>
                <w:b/>
                <w:sz w:val="20"/>
                <w:szCs w:val="20"/>
              </w:rPr>
            </w:pPr>
            <w:r w:rsidRPr="00C43B75">
              <w:rPr>
                <w:b/>
                <w:sz w:val="20"/>
                <w:szCs w:val="20"/>
              </w:rPr>
              <w:t>mln EUR</w:t>
            </w:r>
          </w:p>
        </w:tc>
        <w:tc>
          <w:tcPr>
            <w:tcW w:w="92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C43B75" w:rsidRPr="00C43B75" w:rsidRDefault="00C43B75" w:rsidP="00C43B75">
            <w:pPr>
              <w:jc w:val="center"/>
              <w:rPr>
                <w:b/>
                <w:sz w:val="20"/>
                <w:szCs w:val="20"/>
              </w:rPr>
            </w:pPr>
            <w:r w:rsidRPr="00C43B75">
              <w:rPr>
                <w:b/>
                <w:sz w:val="20"/>
                <w:szCs w:val="20"/>
              </w:rPr>
              <w:t>%</w:t>
            </w:r>
          </w:p>
        </w:tc>
        <w:tc>
          <w:tcPr>
            <w:tcW w:w="118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C43B75" w:rsidRPr="00C43B75" w:rsidRDefault="00C43B75" w:rsidP="00C43B75">
            <w:pPr>
              <w:jc w:val="center"/>
              <w:rPr>
                <w:b/>
                <w:sz w:val="20"/>
                <w:szCs w:val="20"/>
              </w:rPr>
            </w:pPr>
            <w:r w:rsidRPr="00C43B75">
              <w:rPr>
                <w:b/>
                <w:sz w:val="20"/>
                <w:szCs w:val="20"/>
              </w:rPr>
              <w:t>mln EUR</w:t>
            </w:r>
          </w:p>
        </w:tc>
        <w:tc>
          <w:tcPr>
            <w:tcW w:w="105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C43B75" w:rsidRPr="00C43B75" w:rsidRDefault="00C43B75" w:rsidP="00C43B75">
            <w:pPr>
              <w:jc w:val="center"/>
              <w:rPr>
                <w:b/>
                <w:sz w:val="20"/>
                <w:szCs w:val="20"/>
              </w:rPr>
            </w:pPr>
            <w:r w:rsidRPr="00C43B75">
              <w:rPr>
                <w:b/>
                <w:sz w:val="20"/>
                <w:szCs w:val="20"/>
              </w:rPr>
              <w:t>%</w:t>
            </w:r>
          </w:p>
        </w:tc>
      </w:tr>
      <w:tr w:rsidR="00033790" w:rsidRPr="006D71C7" w:rsidTr="00C175EA">
        <w:tc>
          <w:tcPr>
            <w:tcW w:w="1149" w:type="dxa"/>
            <w:tcBorders>
              <w:left w:val="single" w:sz="8" w:space="0" w:color="FFFFFF"/>
              <w:bottom w:val="nil"/>
              <w:right w:val="single" w:sz="24" w:space="0" w:color="FFFFFF"/>
            </w:tcBorders>
            <w:shd w:val="clear" w:color="auto" w:fill="F4B29B" w:themeFill="accent1" w:themeFillTint="66"/>
            <w:vAlign w:val="center"/>
          </w:tcPr>
          <w:p w:rsidR="00C43B75" w:rsidRPr="00C43B75" w:rsidRDefault="00C43B75" w:rsidP="00C43B75">
            <w:pPr>
              <w:jc w:val="center"/>
              <w:rPr>
                <w:b/>
                <w:bCs/>
                <w:sz w:val="20"/>
                <w:szCs w:val="20"/>
              </w:rPr>
            </w:pPr>
            <w:r w:rsidRPr="00C43B75">
              <w:rPr>
                <w:b/>
                <w:bCs/>
                <w:sz w:val="20"/>
                <w:szCs w:val="20"/>
              </w:rPr>
              <w:t>7.1.</w:t>
            </w:r>
          </w:p>
        </w:tc>
        <w:tc>
          <w:tcPr>
            <w:tcW w:w="1144" w:type="dxa"/>
            <w:tcBorders>
              <w:top w:val="single" w:sz="8" w:space="0" w:color="FFFFFF"/>
              <w:bottom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343,52</w:t>
            </w:r>
          </w:p>
        </w:tc>
        <w:tc>
          <w:tcPr>
            <w:tcW w:w="1643" w:type="dxa"/>
            <w:tcBorders>
              <w:top w:val="single" w:sz="8" w:space="0" w:color="FFFFFF"/>
              <w:bottom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296,66</w:t>
            </w:r>
          </w:p>
        </w:tc>
        <w:tc>
          <w:tcPr>
            <w:tcW w:w="992" w:type="dxa"/>
            <w:tcBorders>
              <w:top w:val="single" w:sz="8" w:space="0" w:color="FFFFFF"/>
              <w:bottom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86%</w:t>
            </w:r>
          </w:p>
        </w:tc>
        <w:tc>
          <w:tcPr>
            <w:tcW w:w="1204" w:type="dxa"/>
            <w:tcBorders>
              <w:top w:val="single" w:sz="8" w:space="0" w:color="FFFFFF"/>
              <w:bottom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198,15</w:t>
            </w:r>
          </w:p>
        </w:tc>
        <w:tc>
          <w:tcPr>
            <w:tcW w:w="922" w:type="dxa"/>
            <w:tcBorders>
              <w:top w:val="single" w:sz="8" w:space="0" w:color="FFFFFF"/>
              <w:bottom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58%</w:t>
            </w:r>
          </w:p>
        </w:tc>
        <w:tc>
          <w:tcPr>
            <w:tcW w:w="1182" w:type="dxa"/>
            <w:tcBorders>
              <w:top w:val="single" w:sz="8" w:space="0" w:color="FFFFFF"/>
              <w:bottom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123,87</w:t>
            </w:r>
          </w:p>
        </w:tc>
        <w:tc>
          <w:tcPr>
            <w:tcW w:w="1052" w:type="dxa"/>
            <w:tcBorders>
              <w:top w:val="single" w:sz="8" w:space="0" w:color="FFFFFF"/>
              <w:bottom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36%</w:t>
            </w:r>
          </w:p>
        </w:tc>
      </w:tr>
      <w:tr w:rsidR="00033790" w:rsidRPr="006D71C7" w:rsidTr="00C175EA">
        <w:tc>
          <w:tcPr>
            <w:tcW w:w="1149" w:type="dxa"/>
            <w:tcBorders>
              <w:top w:val="single" w:sz="8" w:space="0" w:color="FFFFFF"/>
              <w:left w:val="single" w:sz="8" w:space="0" w:color="FFFFFF"/>
              <w:bottom w:val="nil"/>
              <w:right w:val="single" w:sz="24" w:space="0" w:color="FFFFFF"/>
            </w:tcBorders>
            <w:shd w:val="clear" w:color="auto" w:fill="F4B29B" w:themeFill="accent1" w:themeFillTint="66"/>
            <w:vAlign w:val="center"/>
          </w:tcPr>
          <w:p w:rsidR="00C43B75" w:rsidRPr="00C43B75" w:rsidRDefault="00C43B75" w:rsidP="00C43B75">
            <w:pPr>
              <w:jc w:val="center"/>
              <w:rPr>
                <w:b/>
                <w:bCs/>
                <w:sz w:val="20"/>
                <w:szCs w:val="20"/>
              </w:rPr>
            </w:pPr>
            <w:r w:rsidRPr="00C43B75">
              <w:rPr>
                <w:b/>
                <w:bCs/>
                <w:sz w:val="20"/>
                <w:szCs w:val="20"/>
              </w:rPr>
              <w:t>7.2.</w:t>
            </w:r>
          </w:p>
        </w:tc>
        <w:tc>
          <w:tcPr>
            <w:tcW w:w="1144"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116,73</w:t>
            </w:r>
          </w:p>
        </w:tc>
        <w:tc>
          <w:tcPr>
            <w:tcW w:w="1643"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105,48</w:t>
            </w:r>
          </w:p>
        </w:tc>
        <w:tc>
          <w:tcPr>
            <w:tcW w:w="99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90%</w:t>
            </w:r>
          </w:p>
        </w:tc>
        <w:tc>
          <w:tcPr>
            <w:tcW w:w="1204"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98,61</w:t>
            </w:r>
          </w:p>
        </w:tc>
        <w:tc>
          <w:tcPr>
            <w:tcW w:w="92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84%</w:t>
            </w:r>
          </w:p>
        </w:tc>
        <w:tc>
          <w:tcPr>
            <w:tcW w:w="118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61,81</w:t>
            </w:r>
          </w:p>
        </w:tc>
        <w:tc>
          <w:tcPr>
            <w:tcW w:w="105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C43B75" w:rsidRPr="00C43B75" w:rsidRDefault="00C43B75" w:rsidP="00C43B75">
            <w:pPr>
              <w:jc w:val="center"/>
              <w:rPr>
                <w:sz w:val="20"/>
                <w:szCs w:val="20"/>
              </w:rPr>
            </w:pPr>
            <w:r w:rsidRPr="00C43B75">
              <w:rPr>
                <w:sz w:val="20"/>
                <w:szCs w:val="20"/>
              </w:rPr>
              <w:t>53%</w:t>
            </w:r>
          </w:p>
        </w:tc>
      </w:tr>
    </w:tbl>
    <w:p w:rsidR="00372B6A" w:rsidRPr="006D71C7" w:rsidRDefault="00372B6A" w:rsidP="006D71C7">
      <w:pPr>
        <w:shd w:val="clear" w:color="auto" w:fill="FFFFFF"/>
        <w:jc w:val="both"/>
        <w:rPr>
          <w:szCs w:val="24"/>
        </w:rPr>
      </w:pPr>
    </w:p>
    <w:p w:rsidR="00033790" w:rsidRPr="006D71C7" w:rsidRDefault="00033790" w:rsidP="006D71C7">
      <w:pPr>
        <w:spacing w:after="0"/>
        <w:jc w:val="both"/>
        <w:rPr>
          <w:szCs w:val="24"/>
        </w:rPr>
      </w:pPr>
      <w:r w:rsidRPr="006D71C7">
        <w:rPr>
          <w:szCs w:val="24"/>
        </w:rPr>
        <w:t xml:space="preserve">W ramach priorytetu realizowanych jest </w:t>
      </w:r>
      <w:r w:rsidR="005E2E17" w:rsidRPr="006D71C7">
        <w:rPr>
          <w:szCs w:val="24"/>
        </w:rPr>
        <w:t xml:space="preserve">7 </w:t>
      </w:r>
      <w:r w:rsidRPr="006D71C7">
        <w:rPr>
          <w:szCs w:val="24"/>
        </w:rPr>
        <w:t>projektów kluczowych</w:t>
      </w:r>
      <w:r w:rsidR="005E2E17" w:rsidRPr="006D71C7">
        <w:rPr>
          <w:szCs w:val="24"/>
        </w:rPr>
        <w:t xml:space="preserve"> oraz 8 projektów z zakresu usuwania skutków powodzi w województwie śląskim. Niektóre projekty kluczowe realizowane są przez kilka podprojektów</w:t>
      </w:r>
      <w:r w:rsidR="00372B6A" w:rsidRPr="006D71C7">
        <w:rPr>
          <w:szCs w:val="24"/>
        </w:rPr>
        <w:t>.</w:t>
      </w:r>
      <w:r w:rsidR="005E2E17" w:rsidRPr="006D71C7">
        <w:rPr>
          <w:szCs w:val="24"/>
        </w:rPr>
        <w:t xml:space="preserve"> </w:t>
      </w:r>
      <w:r w:rsidR="00372B6A" w:rsidRPr="006D71C7">
        <w:rPr>
          <w:szCs w:val="24"/>
        </w:rPr>
        <w:t>D</w:t>
      </w:r>
      <w:r w:rsidR="005E2E17" w:rsidRPr="006D71C7">
        <w:rPr>
          <w:szCs w:val="24"/>
        </w:rPr>
        <w:t>o końca okresu sprawozdawczego podpisano 18</w:t>
      </w:r>
      <w:r w:rsidR="00372B6A" w:rsidRPr="006D71C7">
        <w:rPr>
          <w:szCs w:val="24"/>
        </w:rPr>
        <w:t> </w:t>
      </w:r>
      <w:r w:rsidR="005E2E17" w:rsidRPr="006D71C7">
        <w:rPr>
          <w:szCs w:val="24"/>
        </w:rPr>
        <w:t>umów o dofinansowanie.</w:t>
      </w:r>
    </w:p>
    <w:p w:rsidR="00033790" w:rsidRPr="006D71C7" w:rsidRDefault="00033790" w:rsidP="00BA2FE7">
      <w:pPr>
        <w:pStyle w:val="Akapitzlist"/>
        <w:widowControl w:val="0"/>
        <w:numPr>
          <w:ilvl w:val="0"/>
          <w:numId w:val="98"/>
        </w:numPr>
        <w:autoSpaceDE w:val="0"/>
        <w:autoSpaceDN w:val="0"/>
        <w:adjustRightInd w:val="0"/>
        <w:spacing w:after="240"/>
        <w:jc w:val="both"/>
        <w:rPr>
          <w:i/>
        </w:rPr>
      </w:pPr>
      <w:r w:rsidRPr="006D71C7">
        <w:rPr>
          <w:i/>
        </w:rPr>
        <w:t>Kontynuacja budowy Drogowej Trasy Średnicowej „Zachód” – odcinek Zabrze – Gliwice.</w:t>
      </w:r>
    </w:p>
    <w:p w:rsidR="00033790" w:rsidRPr="006D71C7" w:rsidRDefault="00033790" w:rsidP="00BA2FE7">
      <w:pPr>
        <w:pStyle w:val="Akapitzlist"/>
        <w:widowControl w:val="0"/>
        <w:numPr>
          <w:ilvl w:val="0"/>
          <w:numId w:val="98"/>
        </w:numPr>
        <w:autoSpaceDE w:val="0"/>
        <w:autoSpaceDN w:val="0"/>
        <w:adjustRightInd w:val="0"/>
        <w:spacing w:after="240"/>
        <w:jc w:val="both"/>
        <w:rPr>
          <w:i/>
        </w:rPr>
      </w:pPr>
      <w:r w:rsidRPr="006D71C7">
        <w:rPr>
          <w:i/>
        </w:rPr>
        <w:t>Usprawnienie ruchu tranzytowego w Subregionie Zachodnim – budowa obwodnic w Rybniku i Żorach wraz z modernizacją DW 935.</w:t>
      </w:r>
    </w:p>
    <w:p w:rsidR="00033790" w:rsidRPr="006D71C7" w:rsidRDefault="00033790" w:rsidP="00BA2FE7">
      <w:pPr>
        <w:pStyle w:val="Akapitzlist"/>
        <w:widowControl w:val="0"/>
        <w:numPr>
          <w:ilvl w:val="0"/>
          <w:numId w:val="98"/>
        </w:numPr>
        <w:autoSpaceDE w:val="0"/>
        <w:autoSpaceDN w:val="0"/>
        <w:adjustRightInd w:val="0"/>
        <w:spacing w:before="120" w:after="360"/>
        <w:jc w:val="both"/>
        <w:rPr>
          <w:i/>
        </w:rPr>
      </w:pPr>
      <w:r w:rsidRPr="006D71C7">
        <w:rPr>
          <w:i/>
        </w:rPr>
        <w:t xml:space="preserve">Budowa Drogi Głównej Południowej na odcinku od DW933 – ul. Pszczyńskiej w Jastrzębiu Zdroju do węzła autostrady A1 w Mszanie </w:t>
      </w:r>
    </w:p>
    <w:p w:rsidR="00033790" w:rsidRPr="006D71C7" w:rsidRDefault="00033790" w:rsidP="00BA2FE7">
      <w:pPr>
        <w:pStyle w:val="Akapitzlist"/>
        <w:widowControl w:val="0"/>
        <w:numPr>
          <w:ilvl w:val="0"/>
          <w:numId w:val="98"/>
        </w:numPr>
        <w:autoSpaceDE w:val="0"/>
        <w:autoSpaceDN w:val="0"/>
        <w:adjustRightInd w:val="0"/>
        <w:spacing w:after="240"/>
        <w:jc w:val="both"/>
        <w:rPr>
          <w:i/>
        </w:rPr>
      </w:pPr>
      <w:r w:rsidRPr="006D71C7">
        <w:rPr>
          <w:i/>
        </w:rPr>
        <w:t>Przebudowa odcinka drogi krajowej nr 52 (ul. Wyzwolenia / Niepodległości) w Bielsku – Białej.</w:t>
      </w:r>
    </w:p>
    <w:p w:rsidR="00453F8A" w:rsidRPr="006D71C7" w:rsidRDefault="00033790" w:rsidP="00BA2FE7">
      <w:pPr>
        <w:pStyle w:val="Akapitzlist"/>
        <w:widowControl w:val="0"/>
        <w:numPr>
          <w:ilvl w:val="0"/>
          <w:numId w:val="98"/>
        </w:numPr>
        <w:autoSpaceDE w:val="0"/>
        <w:autoSpaceDN w:val="0"/>
        <w:adjustRightInd w:val="0"/>
        <w:spacing w:after="0"/>
        <w:jc w:val="both"/>
        <w:rPr>
          <w:i/>
          <w:szCs w:val="24"/>
        </w:rPr>
      </w:pPr>
      <w:r w:rsidRPr="006D71C7">
        <w:rPr>
          <w:i/>
        </w:rPr>
        <w:t>Budowa bytomskiego odcinka Obwodnicy Północnej Aglomeracji Górnośląskiej – etap III.</w:t>
      </w:r>
    </w:p>
    <w:p w:rsidR="00033790" w:rsidRPr="006D71C7" w:rsidRDefault="005E2E17" w:rsidP="00BA2FE7">
      <w:pPr>
        <w:pStyle w:val="Akapitzlist"/>
        <w:widowControl w:val="0"/>
        <w:numPr>
          <w:ilvl w:val="0"/>
          <w:numId w:val="98"/>
        </w:numPr>
        <w:autoSpaceDE w:val="0"/>
        <w:autoSpaceDN w:val="0"/>
        <w:adjustRightInd w:val="0"/>
        <w:spacing w:after="0"/>
        <w:ind w:left="357" w:hanging="357"/>
        <w:jc w:val="both"/>
        <w:rPr>
          <w:i/>
          <w:szCs w:val="24"/>
        </w:rPr>
      </w:pPr>
      <w:r w:rsidRPr="006D71C7">
        <w:rPr>
          <w:i/>
          <w:szCs w:val="24"/>
        </w:rPr>
        <w:t>Osiem projektów</w:t>
      </w:r>
      <w:r w:rsidR="00033790" w:rsidRPr="006D71C7">
        <w:rPr>
          <w:i/>
          <w:szCs w:val="24"/>
        </w:rPr>
        <w:t xml:space="preserve"> z zakresu usuwania skutków</w:t>
      </w:r>
      <w:r w:rsidR="00D57EDA" w:rsidRPr="006D71C7">
        <w:rPr>
          <w:i/>
          <w:szCs w:val="24"/>
        </w:rPr>
        <w:t xml:space="preserve"> powodzi w województwie śląskim (</w:t>
      </w:r>
      <w:r w:rsidR="00D57EDA" w:rsidRPr="006D71C7">
        <w:rPr>
          <w:i/>
          <w:sz w:val="23"/>
          <w:szCs w:val="23"/>
        </w:rPr>
        <w:t>Przebudowa ul. Bielskiej i Bronowskiej w Ligocie (4426S)</w:t>
      </w:r>
      <w:r w:rsidR="00453F8A" w:rsidRPr="006D71C7">
        <w:rPr>
          <w:i/>
          <w:sz w:val="23"/>
          <w:szCs w:val="23"/>
        </w:rPr>
        <w:t xml:space="preserve">, </w:t>
      </w:r>
      <w:r w:rsidR="00D57EDA" w:rsidRPr="006D71C7">
        <w:rPr>
          <w:i/>
          <w:sz w:val="23"/>
          <w:szCs w:val="23"/>
        </w:rPr>
        <w:t>Przebudowa ul. Waryńskiego (4425S</w:t>
      </w:r>
      <w:r w:rsidR="00453F8A" w:rsidRPr="006D71C7">
        <w:rPr>
          <w:i/>
          <w:sz w:val="23"/>
          <w:szCs w:val="23"/>
        </w:rPr>
        <w:t xml:space="preserve">), </w:t>
      </w:r>
      <w:r w:rsidR="00D57EDA" w:rsidRPr="006D71C7">
        <w:rPr>
          <w:i/>
          <w:sz w:val="14"/>
          <w:szCs w:val="14"/>
        </w:rPr>
        <w:t xml:space="preserve"> </w:t>
      </w:r>
      <w:r w:rsidR="00D57EDA" w:rsidRPr="006D71C7">
        <w:rPr>
          <w:i/>
          <w:sz w:val="23"/>
          <w:szCs w:val="23"/>
        </w:rPr>
        <w:t>Przebudowa ul. Czechowickiej i ul. Ligockiej (4428S)</w:t>
      </w:r>
      <w:r w:rsidR="00453F8A" w:rsidRPr="006D71C7">
        <w:rPr>
          <w:i/>
          <w:sz w:val="23"/>
          <w:szCs w:val="23"/>
        </w:rPr>
        <w:t>, Most nad rzeką Iłownica w </w:t>
      </w:r>
      <w:r w:rsidR="00D57EDA" w:rsidRPr="006D71C7">
        <w:rPr>
          <w:i/>
          <w:sz w:val="23"/>
          <w:szCs w:val="23"/>
        </w:rPr>
        <w:t>ciągu ul. Waryńskiego (4425S)</w:t>
      </w:r>
      <w:r w:rsidR="00453F8A" w:rsidRPr="006D71C7">
        <w:rPr>
          <w:i/>
          <w:sz w:val="14"/>
          <w:szCs w:val="14"/>
        </w:rPr>
        <w:t xml:space="preserve">, </w:t>
      </w:r>
      <w:r w:rsidR="00D57EDA" w:rsidRPr="006D71C7">
        <w:rPr>
          <w:i/>
          <w:sz w:val="23"/>
          <w:szCs w:val="23"/>
        </w:rPr>
        <w:t>Modernizacja ciągu dróg powiatowych ul. Patriotów, Bohaterów Westerplatte i Mielęckiego w Bieruniu</w:t>
      </w:r>
      <w:r w:rsidR="00D57EDA" w:rsidRPr="006D71C7">
        <w:rPr>
          <w:i/>
          <w:sz w:val="14"/>
          <w:szCs w:val="14"/>
        </w:rPr>
        <w:t> </w:t>
      </w:r>
      <w:r w:rsidR="00453F8A" w:rsidRPr="006D71C7">
        <w:rPr>
          <w:i/>
          <w:sz w:val="14"/>
          <w:szCs w:val="14"/>
        </w:rPr>
        <w:t>,</w:t>
      </w:r>
      <w:r w:rsidR="00D57EDA" w:rsidRPr="006D71C7">
        <w:rPr>
          <w:i/>
          <w:sz w:val="14"/>
          <w:szCs w:val="14"/>
        </w:rPr>
        <w:t xml:space="preserve">  </w:t>
      </w:r>
      <w:r w:rsidR="00D57EDA" w:rsidRPr="006D71C7">
        <w:rPr>
          <w:i/>
          <w:sz w:val="23"/>
          <w:szCs w:val="23"/>
        </w:rPr>
        <w:t>Moderniza</w:t>
      </w:r>
      <w:r w:rsidR="00453F8A" w:rsidRPr="006D71C7">
        <w:rPr>
          <w:i/>
          <w:sz w:val="23"/>
          <w:szCs w:val="23"/>
        </w:rPr>
        <w:t>cja ul. Świerczynieckiej wraz z </w:t>
      </w:r>
      <w:r w:rsidR="00D57EDA" w:rsidRPr="006D71C7">
        <w:rPr>
          <w:i/>
          <w:sz w:val="23"/>
          <w:szCs w:val="23"/>
        </w:rPr>
        <w:t>ul. Lokalną w Bieruniu</w:t>
      </w:r>
      <w:r w:rsidR="00453F8A" w:rsidRPr="006D71C7">
        <w:rPr>
          <w:i/>
          <w:sz w:val="23"/>
          <w:szCs w:val="23"/>
        </w:rPr>
        <w:t xml:space="preserve">, </w:t>
      </w:r>
      <w:r w:rsidR="00D57EDA" w:rsidRPr="006D71C7">
        <w:rPr>
          <w:i/>
          <w:sz w:val="14"/>
          <w:szCs w:val="14"/>
        </w:rPr>
        <w:t xml:space="preserve"> </w:t>
      </w:r>
      <w:r w:rsidR="00D57EDA" w:rsidRPr="006D71C7">
        <w:rPr>
          <w:i/>
          <w:sz w:val="23"/>
          <w:szCs w:val="23"/>
        </w:rPr>
        <w:t>Odbudowa mostu na rzeką Gostynią</w:t>
      </w:r>
      <w:r w:rsidR="00453F8A" w:rsidRPr="006D71C7">
        <w:rPr>
          <w:i/>
          <w:sz w:val="23"/>
          <w:szCs w:val="23"/>
        </w:rPr>
        <w:t xml:space="preserve"> w ciągu ul. Świerczynieckiej w </w:t>
      </w:r>
      <w:r w:rsidR="00D57EDA" w:rsidRPr="006D71C7">
        <w:rPr>
          <w:i/>
          <w:sz w:val="23"/>
          <w:szCs w:val="23"/>
        </w:rPr>
        <w:t>Bieruniu</w:t>
      </w:r>
      <w:r w:rsidR="00453F8A" w:rsidRPr="006D71C7">
        <w:rPr>
          <w:i/>
          <w:sz w:val="23"/>
          <w:szCs w:val="23"/>
        </w:rPr>
        <w:t xml:space="preserve">, </w:t>
      </w:r>
      <w:r w:rsidR="00D57EDA" w:rsidRPr="006D71C7">
        <w:rPr>
          <w:i/>
          <w:sz w:val="23"/>
          <w:szCs w:val="23"/>
        </w:rPr>
        <w:t xml:space="preserve">Odbudowa mostu na rzece Gostyni w ciągu ul. Krupniczej w Bieruniu </w:t>
      </w:r>
      <w:r w:rsidR="00453F8A" w:rsidRPr="006D71C7">
        <w:rPr>
          <w:i/>
          <w:sz w:val="23"/>
          <w:szCs w:val="23"/>
        </w:rPr>
        <w:t>)</w:t>
      </w:r>
    </w:p>
    <w:p w:rsidR="00033790" w:rsidRPr="006D71C7" w:rsidRDefault="00033790" w:rsidP="00BA2FE7">
      <w:pPr>
        <w:numPr>
          <w:ilvl w:val="0"/>
          <w:numId w:val="98"/>
        </w:numPr>
        <w:spacing w:after="0"/>
        <w:jc w:val="both"/>
        <w:rPr>
          <w:i/>
          <w:szCs w:val="24"/>
        </w:rPr>
      </w:pPr>
      <w:r w:rsidRPr="006D71C7">
        <w:rPr>
          <w:i/>
          <w:szCs w:val="24"/>
        </w:rPr>
        <w:t>Dostawa Elektrycznych Zespołów Trakcyjnych do wykonywania pasażerskich przewozów regionalnych.</w:t>
      </w:r>
    </w:p>
    <w:p w:rsidR="00033790" w:rsidRPr="006D71C7" w:rsidRDefault="00033790" w:rsidP="00BA2FE7">
      <w:pPr>
        <w:widowControl w:val="0"/>
        <w:numPr>
          <w:ilvl w:val="0"/>
          <w:numId w:val="98"/>
        </w:numPr>
        <w:autoSpaceDE w:val="0"/>
        <w:autoSpaceDN w:val="0"/>
        <w:adjustRightInd w:val="0"/>
        <w:spacing w:after="240"/>
        <w:jc w:val="both"/>
        <w:rPr>
          <w:i/>
          <w:szCs w:val="24"/>
        </w:rPr>
      </w:pPr>
      <w:r w:rsidRPr="006D71C7">
        <w:rPr>
          <w:i/>
          <w:szCs w:val="24"/>
        </w:rPr>
        <w:t>Szybka Kolej Regionalna Tychy – Dąbrowa Górnicza – etap I Tychy Miasto – Katowice.</w:t>
      </w:r>
    </w:p>
    <w:p w:rsidR="00033790" w:rsidRPr="006D71C7" w:rsidRDefault="00033790" w:rsidP="006D71C7">
      <w:pPr>
        <w:spacing w:after="120"/>
        <w:jc w:val="both"/>
        <w:rPr>
          <w:szCs w:val="24"/>
        </w:rPr>
      </w:pPr>
      <w:r w:rsidRPr="006D71C7">
        <w:rPr>
          <w:szCs w:val="24"/>
        </w:rPr>
        <w:t>Poniżej na schemacie przedstawiono poziom kontraktacji i płatności ogółem na priorytet oraz w podziale na PRS, IWIPK i konkursy.</w:t>
      </w:r>
    </w:p>
    <w:p w:rsidR="00033790" w:rsidRPr="006D71C7" w:rsidRDefault="00033790" w:rsidP="006D71C7">
      <w:pPr>
        <w:spacing w:after="120"/>
        <w:jc w:val="both"/>
        <w:rPr>
          <w:szCs w:val="24"/>
        </w:rPr>
      </w:pPr>
      <w:r w:rsidRPr="006D71C7">
        <w:rPr>
          <w:noProof/>
          <w:szCs w:val="24"/>
        </w:rPr>
        <w:drawing>
          <wp:inline distT="0" distB="0" distL="0" distR="0">
            <wp:extent cx="5975498" cy="3425899"/>
            <wp:effectExtent l="0" t="19050" r="0" b="22225"/>
            <wp:docPr id="2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C43B75" w:rsidRDefault="001B017A" w:rsidP="00C43B75">
      <w:pPr>
        <w:pStyle w:val="Legenda"/>
        <w:rPr>
          <w:b w:val="0"/>
          <w:i/>
          <w:color w:val="auto"/>
          <w:sz w:val="20"/>
          <w:szCs w:val="20"/>
        </w:rPr>
      </w:pPr>
      <w:bookmarkStart w:id="545" w:name="_Toc324853739"/>
      <w:r w:rsidRPr="006D71C7">
        <w:rPr>
          <w:color w:val="auto"/>
        </w:rPr>
        <w:t xml:space="preserve"> </w:t>
      </w:r>
      <w:bookmarkStart w:id="546" w:name="_Toc326055366"/>
      <w:r w:rsidR="00C43B75" w:rsidRPr="00C43B75">
        <w:rPr>
          <w:color w:val="auto"/>
          <w:sz w:val="20"/>
          <w:szCs w:val="20"/>
        </w:rPr>
        <w:t xml:space="preserve">Rysunek </w:t>
      </w:r>
      <w:r w:rsidR="008F7228" w:rsidRPr="00C43B75">
        <w:rPr>
          <w:color w:val="auto"/>
          <w:sz w:val="20"/>
          <w:szCs w:val="20"/>
        </w:rPr>
        <w:fldChar w:fldCharType="begin"/>
      </w:r>
      <w:r w:rsidR="00C43B75"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48</w:t>
      </w:r>
      <w:r w:rsidR="008F7228" w:rsidRPr="00C43B75">
        <w:rPr>
          <w:color w:val="auto"/>
          <w:sz w:val="20"/>
          <w:szCs w:val="20"/>
        </w:rPr>
        <w:fldChar w:fldCharType="end"/>
      </w:r>
      <w:r w:rsidR="00C53D11">
        <w:t xml:space="preserve"> </w:t>
      </w:r>
      <w:r w:rsidR="00033790" w:rsidRPr="006D71C7">
        <w:rPr>
          <w:b w:val="0"/>
          <w:i/>
          <w:color w:val="auto"/>
          <w:sz w:val="20"/>
          <w:szCs w:val="20"/>
        </w:rPr>
        <w:t xml:space="preserve">Poziom kontraktacji i płatności </w:t>
      </w:r>
      <w:r w:rsidR="009428B6" w:rsidRPr="006D71C7">
        <w:rPr>
          <w:b w:val="0"/>
          <w:i/>
          <w:color w:val="auto"/>
          <w:sz w:val="20"/>
          <w:szCs w:val="20"/>
        </w:rPr>
        <w:t>w podziale na ścieżki wyboru projektów</w:t>
      </w:r>
      <w:bookmarkEnd w:id="545"/>
      <w:bookmarkEnd w:id="546"/>
    </w:p>
    <w:p w:rsidR="00033790" w:rsidRPr="006D71C7" w:rsidRDefault="00033790" w:rsidP="006D71C7">
      <w:pPr>
        <w:spacing w:after="0"/>
        <w:jc w:val="both"/>
      </w:pPr>
      <w:r w:rsidRPr="006D71C7">
        <w:t xml:space="preserve">W okresie sprawozdawczym w ramach priorytetu VII został ogłoszony jeden konkurs.  </w:t>
      </w:r>
    </w:p>
    <w:p w:rsidR="00033790" w:rsidRPr="006D71C7" w:rsidRDefault="00033790" w:rsidP="006D71C7">
      <w:pPr>
        <w:spacing w:after="0"/>
        <w:jc w:val="both"/>
      </w:pPr>
    </w:p>
    <w:p w:rsidR="001915C3" w:rsidRPr="006D71C7" w:rsidRDefault="007338BD" w:rsidP="006D71C7">
      <w:pPr>
        <w:pStyle w:val="Legenda"/>
        <w:jc w:val="both"/>
        <w:rPr>
          <w:b w:val="0"/>
          <w:i/>
          <w:color w:val="auto"/>
          <w:sz w:val="20"/>
          <w:szCs w:val="20"/>
        </w:rPr>
      </w:pPr>
      <w:bookmarkStart w:id="547" w:name="_Toc324853740"/>
      <w:bookmarkStart w:id="548" w:name="_Toc326046383"/>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31</w:t>
      </w:r>
      <w:r w:rsidR="008F7228" w:rsidRPr="006D71C7">
        <w:rPr>
          <w:color w:val="auto"/>
          <w:sz w:val="20"/>
          <w:szCs w:val="20"/>
        </w:rPr>
        <w:fldChar w:fldCharType="end"/>
      </w:r>
      <w:r w:rsidR="001B017A" w:rsidRPr="006D71C7">
        <w:rPr>
          <w:color w:val="auto"/>
        </w:rPr>
        <w:t xml:space="preserve"> </w:t>
      </w:r>
      <w:r w:rsidR="00033790" w:rsidRPr="006D71C7">
        <w:rPr>
          <w:b w:val="0"/>
          <w:i/>
          <w:color w:val="auto"/>
          <w:sz w:val="20"/>
          <w:szCs w:val="20"/>
        </w:rPr>
        <w:t>Zbiorcze zestawienie naborów w ramach priorytetu VII</w:t>
      </w:r>
      <w:bookmarkEnd w:id="547"/>
      <w:bookmarkEnd w:id="548"/>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4B29B" w:themeFill="accent1" w:themeFillTint="66"/>
        <w:tblLayout w:type="fixed"/>
        <w:tblLook w:val="04A0" w:firstRow="1" w:lastRow="0" w:firstColumn="1" w:lastColumn="0" w:noHBand="0" w:noVBand="1"/>
      </w:tblPr>
      <w:tblGrid>
        <w:gridCol w:w="1526"/>
        <w:gridCol w:w="1984"/>
        <w:gridCol w:w="993"/>
        <w:gridCol w:w="1842"/>
        <w:gridCol w:w="1134"/>
      </w:tblGrid>
      <w:tr w:rsidR="00033790" w:rsidRPr="006D71C7" w:rsidTr="00FA1734">
        <w:trPr>
          <w:trHeight w:val="759"/>
          <w:jc w:val="center"/>
        </w:trPr>
        <w:tc>
          <w:tcPr>
            <w:tcW w:w="1526" w:type="dxa"/>
            <w:vMerge w:val="restart"/>
            <w:tcBorders>
              <w:top w:val="single" w:sz="8" w:space="0" w:color="FFFFFF"/>
              <w:left w:val="single" w:sz="8" w:space="0" w:color="FFFFFF"/>
              <w:right w:val="single" w:sz="8" w:space="0" w:color="FFFFFF"/>
            </w:tcBorders>
            <w:shd w:val="clear" w:color="auto" w:fill="F4B29B" w:themeFill="accent1" w:themeFillTint="66"/>
            <w:vAlign w:val="center"/>
          </w:tcPr>
          <w:p w:rsidR="00033790" w:rsidRPr="006D71C7" w:rsidRDefault="00033790" w:rsidP="00765E72">
            <w:pPr>
              <w:jc w:val="center"/>
              <w:rPr>
                <w:b/>
                <w:bCs/>
                <w:sz w:val="22"/>
              </w:rPr>
            </w:pPr>
            <w:r w:rsidRPr="006D71C7">
              <w:rPr>
                <w:b/>
                <w:bCs/>
                <w:sz w:val="22"/>
              </w:rPr>
              <w:t>IZ RPO WSL</w:t>
            </w:r>
          </w:p>
        </w:tc>
        <w:tc>
          <w:tcPr>
            <w:tcW w:w="2977"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033790" w:rsidRPr="006D71C7" w:rsidRDefault="00D62B20" w:rsidP="00765E72">
            <w:pPr>
              <w:jc w:val="center"/>
              <w:rPr>
                <w:b/>
                <w:bCs/>
                <w:sz w:val="22"/>
              </w:rPr>
            </w:pPr>
            <w:r w:rsidRPr="006D71C7">
              <w:rPr>
                <w:b/>
                <w:bCs/>
                <w:sz w:val="22"/>
              </w:rPr>
              <w:t>o</w:t>
            </w:r>
            <w:r w:rsidR="00033790" w:rsidRPr="006D71C7">
              <w:rPr>
                <w:b/>
                <w:bCs/>
                <w:sz w:val="22"/>
              </w:rPr>
              <w:t>d uruchomienia programu</w:t>
            </w:r>
          </w:p>
        </w:tc>
        <w:tc>
          <w:tcPr>
            <w:tcW w:w="2976"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033790" w:rsidRPr="006D71C7" w:rsidRDefault="00FA1734" w:rsidP="00765E72">
            <w:pPr>
              <w:jc w:val="center"/>
              <w:rPr>
                <w:b/>
                <w:bCs/>
                <w:sz w:val="22"/>
              </w:rPr>
            </w:pPr>
            <w:r w:rsidRPr="006D71C7">
              <w:rPr>
                <w:b/>
                <w:bCs/>
                <w:sz w:val="22"/>
              </w:rPr>
              <w:t>w</w:t>
            </w:r>
            <w:r w:rsidR="00033790" w:rsidRPr="006D71C7">
              <w:rPr>
                <w:b/>
                <w:bCs/>
                <w:sz w:val="22"/>
              </w:rPr>
              <w:t xml:space="preserve"> 2011 roku</w:t>
            </w:r>
          </w:p>
        </w:tc>
      </w:tr>
      <w:tr w:rsidR="00033790" w:rsidRPr="006D71C7" w:rsidTr="00FA1734">
        <w:trPr>
          <w:jc w:val="center"/>
        </w:trPr>
        <w:tc>
          <w:tcPr>
            <w:tcW w:w="1526" w:type="dxa"/>
            <w:vMerge/>
            <w:tcBorders>
              <w:left w:val="single" w:sz="8" w:space="0" w:color="FFFFFF"/>
              <w:right w:val="single" w:sz="8" w:space="0" w:color="FFFFFF"/>
            </w:tcBorders>
            <w:shd w:val="clear" w:color="auto" w:fill="F4B29B" w:themeFill="accent1" w:themeFillTint="66"/>
            <w:vAlign w:val="center"/>
          </w:tcPr>
          <w:p w:rsidR="00033790" w:rsidRPr="006D71C7" w:rsidRDefault="00033790" w:rsidP="006D71C7">
            <w:pPr>
              <w:jc w:val="both"/>
              <w:rPr>
                <w:b/>
                <w:bCs/>
                <w:sz w:val="22"/>
              </w:rPr>
            </w:pPr>
          </w:p>
        </w:tc>
        <w:tc>
          <w:tcPr>
            <w:tcW w:w="1984"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033790" w:rsidRPr="006D71C7" w:rsidRDefault="00033790" w:rsidP="00765E72">
            <w:pPr>
              <w:jc w:val="center"/>
              <w:rPr>
                <w:b/>
                <w:sz w:val="22"/>
              </w:rPr>
            </w:pPr>
            <w:r w:rsidRPr="006D71C7">
              <w:rPr>
                <w:b/>
                <w:sz w:val="22"/>
              </w:rPr>
              <w:t xml:space="preserve">Wartość </w:t>
            </w:r>
            <w:r w:rsidRPr="006D71C7">
              <w:rPr>
                <w:b/>
                <w:sz w:val="22"/>
              </w:rPr>
              <w:br/>
              <w:t>(mln EUR)</w:t>
            </w:r>
          </w:p>
        </w:tc>
        <w:tc>
          <w:tcPr>
            <w:tcW w:w="993"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033790" w:rsidRPr="006D71C7" w:rsidRDefault="00033790" w:rsidP="00765E72">
            <w:pPr>
              <w:jc w:val="center"/>
              <w:rPr>
                <w:b/>
                <w:sz w:val="22"/>
              </w:rPr>
            </w:pPr>
            <w:r w:rsidRPr="006D71C7">
              <w:rPr>
                <w:b/>
                <w:sz w:val="22"/>
              </w:rPr>
              <w:t>Liczba</w:t>
            </w:r>
          </w:p>
        </w:tc>
        <w:tc>
          <w:tcPr>
            <w:tcW w:w="184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033790" w:rsidRPr="006D71C7" w:rsidRDefault="00033790" w:rsidP="00765E72">
            <w:pPr>
              <w:jc w:val="center"/>
              <w:rPr>
                <w:b/>
                <w:sz w:val="22"/>
              </w:rPr>
            </w:pPr>
            <w:r w:rsidRPr="006D71C7">
              <w:rPr>
                <w:b/>
                <w:sz w:val="22"/>
              </w:rPr>
              <w:t xml:space="preserve">Wartość </w:t>
            </w:r>
            <w:r w:rsidRPr="006D71C7">
              <w:rPr>
                <w:b/>
                <w:sz w:val="22"/>
              </w:rPr>
              <w:br/>
              <w:t>(mln EUR)</w:t>
            </w:r>
          </w:p>
        </w:tc>
        <w:tc>
          <w:tcPr>
            <w:tcW w:w="1134"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033790" w:rsidRPr="006D71C7" w:rsidRDefault="00033790" w:rsidP="00765E72">
            <w:pPr>
              <w:jc w:val="center"/>
              <w:rPr>
                <w:b/>
                <w:sz w:val="22"/>
              </w:rPr>
            </w:pPr>
            <w:r w:rsidRPr="006D71C7">
              <w:rPr>
                <w:b/>
                <w:sz w:val="22"/>
              </w:rPr>
              <w:t>Liczba</w:t>
            </w:r>
          </w:p>
        </w:tc>
      </w:tr>
      <w:tr w:rsidR="00033790" w:rsidRPr="006D71C7" w:rsidTr="00FA1734">
        <w:trPr>
          <w:jc w:val="center"/>
        </w:trPr>
        <w:tc>
          <w:tcPr>
            <w:tcW w:w="1526" w:type="dxa"/>
            <w:vMerge/>
            <w:tcBorders>
              <w:left w:val="single" w:sz="8" w:space="0" w:color="FFFFFF"/>
              <w:bottom w:val="nil"/>
              <w:right w:val="single" w:sz="8" w:space="0" w:color="FFFFFF"/>
            </w:tcBorders>
            <w:shd w:val="clear" w:color="auto" w:fill="F4B29B" w:themeFill="accent1" w:themeFillTint="66"/>
            <w:vAlign w:val="center"/>
          </w:tcPr>
          <w:p w:rsidR="00033790" w:rsidRPr="006D71C7" w:rsidRDefault="00033790" w:rsidP="006D71C7">
            <w:pPr>
              <w:jc w:val="both"/>
              <w:rPr>
                <w:b/>
                <w:bCs/>
                <w:sz w:val="22"/>
              </w:rPr>
            </w:pPr>
          </w:p>
        </w:tc>
        <w:tc>
          <w:tcPr>
            <w:tcW w:w="1984" w:type="dxa"/>
            <w:tcBorders>
              <w:top w:val="single" w:sz="8" w:space="0" w:color="FFFFFF"/>
              <w:left w:val="single" w:sz="8" w:space="0" w:color="FFFFFF"/>
              <w:bottom w:val="single" w:sz="8" w:space="0" w:color="FFFFFF"/>
            </w:tcBorders>
            <w:shd w:val="clear" w:color="auto" w:fill="F9D8CD" w:themeFill="accent1" w:themeFillTint="33"/>
            <w:vAlign w:val="center"/>
          </w:tcPr>
          <w:p w:rsidR="00033790" w:rsidRPr="006D71C7" w:rsidRDefault="00033790" w:rsidP="00765E72">
            <w:pPr>
              <w:jc w:val="center"/>
              <w:rPr>
                <w:sz w:val="22"/>
              </w:rPr>
            </w:pPr>
            <w:r w:rsidRPr="006D71C7">
              <w:rPr>
                <w:sz w:val="22"/>
              </w:rPr>
              <w:t>191,70</w:t>
            </w:r>
          </w:p>
        </w:tc>
        <w:tc>
          <w:tcPr>
            <w:tcW w:w="993" w:type="dxa"/>
            <w:tcBorders>
              <w:top w:val="single" w:sz="8" w:space="0" w:color="FFFFFF"/>
              <w:bottom w:val="single" w:sz="8" w:space="0" w:color="FFFFFF"/>
            </w:tcBorders>
            <w:shd w:val="clear" w:color="auto" w:fill="F9D8CD" w:themeFill="accent1" w:themeFillTint="33"/>
            <w:vAlign w:val="center"/>
          </w:tcPr>
          <w:p w:rsidR="00033790" w:rsidRPr="006D71C7" w:rsidRDefault="00033790" w:rsidP="00765E72">
            <w:pPr>
              <w:jc w:val="center"/>
              <w:rPr>
                <w:sz w:val="22"/>
              </w:rPr>
            </w:pPr>
            <w:r w:rsidRPr="006D71C7">
              <w:rPr>
                <w:sz w:val="22"/>
              </w:rPr>
              <w:t>6</w:t>
            </w:r>
          </w:p>
        </w:tc>
        <w:tc>
          <w:tcPr>
            <w:tcW w:w="1842" w:type="dxa"/>
            <w:tcBorders>
              <w:top w:val="single" w:sz="8" w:space="0" w:color="FFFFFF"/>
              <w:bottom w:val="single" w:sz="8" w:space="0" w:color="FFFFFF"/>
            </w:tcBorders>
            <w:shd w:val="clear" w:color="auto" w:fill="F9D8CD" w:themeFill="accent1" w:themeFillTint="33"/>
            <w:vAlign w:val="center"/>
          </w:tcPr>
          <w:p w:rsidR="00033790" w:rsidRPr="006D71C7" w:rsidRDefault="00033790" w:rsidP="00765E72">
            <w:pPr>
              <w:jc w:val="center"/>
              <w:rPr>
                <w:sz w:val="22"/>
              </w:rPr>
            </w:pPr>
            <w:r w:rsidRPr="006D71C7">
              <w:rPr>
                <w:sz w:val="22"/>
              </w:rPr>
              <w:t>29,78</w:t>
            </w:r>
          </w:p>
        </w:tc>
        <w:tc>
          <w:tcPr>
            <w:tcW w:w="1134" w:type="dxa"/>
            <w:tcBorders>
              <w:top w:val="single" w:sz="8" w:space="0" w:color="FFFFFF"/>
              <w:bottom w:val="single" w:sz="8" w:space="0" w:color="FFFFFF"/>
            </w:tcBorders>
            <w:shd w:val="clear" w:color="auto" w:fill="F9D8CD" w:themeFill="accent1" w:themeFillTint="33"/>
            <w:vAlign w:val="center"/>
          </w:tcPr>
          <w:p w:rsidR="00033790" w:rsidRPr="006D71C7" w:rsidRDefault="00033790" w:rsidP="00765E72">
            <w:pPr>
              <w:jc w:val="center"/>
              <w:rPr>
                <w:sz w:val="22"/>
              </w:rPr>
            </w:pPr>
            <w:r w:rsidRPr="006D71C7">
              <w:rPr>
                <w:sz w:val="22"/>
              </w:rPr>
              <w:t>1</w:t>
            </w:r>
          </w:p>
        </w:tc>
      </w:tr>
    </w:tbl>
    <w:p w:rsidR="00033790" w:rsidRPr="006D71C7" w:rsidRDefault="00033790" w:rsidP="006D71C7">
      <w:pPr>
        <w:spacing w:after="0"/>
        <w:jc w:val="both"/>
      </w:pPr>
    </w:p>
    <w:p w:rsidR="00033790" w:rsidRPr="006D71C7" w:rsidRDefault="00033790" w:rsidP="006D71C7">
      <w:pPr>
        <w:jc w:val="both"/>
        <w:rPr>
          <w:b/>
          <w:i/>
        </w:rPr>
      </w:pPr>
      <w:r w:rsidRPr="006D71C7">
        <w:rPr>
          <w:b/>
          <w:i/>
        </w:rPr>
        <w:t>Rozkład pr</w:t>
      </w:r>
      <w:r w:rsidR="00FA1734" w:rsidRPr="006D71C7">
        <w:rPr>
          <w:b/>
          <w:i/>
        </w:rPr>
        <w:t>ojektów realizowanych w ramach p</w:t>
      </w:r>
      <w:r w:rsidRPr="006D71C7">
        <w:rPr>
          <w:b/>
          <w:i/>
        </w:rPr>
        <w:t>riorytetu VII</w:t>
      </w:r>
    </w:p>
    <w:p w:rsidR="001404A7" w:rsidRPr="006D71C7" w:rsidRDefault="001404A7" w:rsidP="006D71C7">
      <w:pPr>
        <w:jc w:val="both"/>
      </w:pPr>
      <w:r w:rsidRPr="006D71C7">
        <w:t>Analizując rozkład udzielonego wsparcia według typu beneficjentów, najszersze grono odbiorców stanowią JST, dla których przeznaczono zdecydowaną większość środków w ramach przedmiotowego Priorytetu (92%). Wśród beneficjentów znalazły się także podmioty, w których większość udziałów posiada JST lub związek JST realizujące zadania z zakresu transportu zbiorowego (8%).</w:t>
      </w:r>
    </w:p>
    <w:p w:rsidR="001404A7" w:rsidRPr="006D71C7" w:rsidRDefault="001404A7" w:rsidP="006D71C7">
      <w:pPr>
        <w:jc w:val="both"/>
        <w:rPr>
          <w:b/>
          <w:i/>
        </w:rPr>
      </w:pPr>
      <w:r w:rsidRPr="006D71C7">
        <w:rPr>
          <w:b/>
          <w:i/>
          <w:noProof/>
        </w:rPr>
        <w:drawing>
          <wp:inline distT="0" distB="0" distL="0" distR="0">
            <wp:extent cx="6017054" cy="2702885"/>
            <wp:effectExtent l="38100" t="19050" r="21796" b="2215"/>
            <wp:docPr id="22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43B75" w:rsidRDefault="00C43B75" w:rsidP="00C43B75">
      <w:pPr>
        <w:pStyle w:val="Legenda"/>
        <w:rPr>
          <w:b w:val="0"/>
          <w:i/>
          <w:color w:val="auto"/>
          <w:sz w:val="20"/>
          <w:szCs w:val="20"/>
        </w:rPr>
      </w:pPr>
      <w:bookmarkStart w:id="549" w:name="_Toc324853741"/>
      <w:bookmarkStart w:id="550" w:name="_Toc326055367"/>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49</w:t>
      </w:r>
      <w:r w:rsidR="008F7228" w:rsidRPr="00C43B75">
        <w:rPr>
          <w:color w:val="auto"/>
          <w:sz w:val="20"/>
          <w:szCs w:val="20"/>
        </w:rPr>
        <w:fldChar w:fldCharType="end"/>
      </w:r>
      <w:r w:rsidR="00C53D11">
        <w:t xml:space="preserve"> </w:t>
      </w:r>
      <w:r w:rsidR="00033790" w:rsidRPr="006D71C7">
        <w:rPr>
          <w:b w:val="0"/>
          <w:i/>
          <w:color w:val="auto"/>
          <w:sz w:val="20"/>
          <w:szCs w:val="20"/>
        </w:rPr>
        <w:t xml:space="preserve">Rozkład projektów  realizowanych w ramach </w:t>
      </w:r>
      <w:r w:rsidR="009428B6" w:rsidRPr="006D71C7">
        <w:rPr>
          <w:b w:val="0"/>
          <w:i/>
          <w:color w:val="auto"/>
          <w:sz w:val="20"/>
          <w:szCs w:val="20"/>
        </w:rPr>
        <w:t>p</w:t>
      </w:r>
      <w:r w:rsidR="00033790" w:rsidRPr="006D71C7">
        <w:rPr>
          <w:b w:val="0"/>
          <w:i/>
          <w:color w:val="auto"/>
          <w:sz w:val="20"/>
          <w:szCs w:val="20"/>
        </w:rPr>
        <w:t>riorytetu VII w podziale na beneficjentów</w:t>
      </w:r>
      <w:bookmarkEnd w:id="549"/>
      <w:bookmarkEnd w:id="550"/>
      <w:r w:rsidR="00033790" w:rsidRPr="006D71C7">
        <w:rPr>
          <w:b w:val="0"/>
          <w:i/>
          <w:color w:val="auto"/>
          <w:sz w:val="20"/>
          <w:szCs w:val="20"/>
        </w:rPr>
        <w:t xml:space="preserve"> </w:t>
      </w:r>
    </w:p>
    <w:p w:rsidR="00033790" w:rsidRPr="006D71C7" w:rsidRDefault="00033790" w:rsidP="006D71C7">
      <w:pPr>
        <w:jc w:val="both"/>
      </w:pPr>
      <w:r w:rsidRPr="006D71C7">
        <w:t>Ponad 86% środków skierowanych zostało na realizacje inwestycji na obszarach miejskich, natomiast około 13% na tereny wiejskie.</w:t>
      </w:r>
    </w:p>
    <w:p w:rsidR="00245F70" w:rsidRPr="006D71C7" w:rsidRDefault="007338BD" w:rsidP="006D71C7">
      <w:pPr>
        <w:pStyle w:val="Legenda"/>
        <w:spacing w:line="276" w:lineRule="auto"/>
        <w:jc w:val="both"/>
        <w:rPr>
          <w:b w:val="0"/>
          <w:i/>
          <w:color w:val="auto"/>
          <w:sz w:val="20"/>
          <w:szCs w:val="20"/>
        </w:rPr>
      </w:pPr>
      <w:bookmarkStart w:id="551" w:name="_Toc324853742"/>
      <w:bookmarkStart w:id="552" w:name="_Toc326046384"/>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32</w:t>
      </w:r>
      <w:r w:rsidR="008F7228" w:rsidRPr="006D71C7">
        <w:rPr>
          <w:color w:val="auto"/>
          <w:sz w:val="20"/>
          <w:szCs w:val="20"/>
        </w:rPr>
        <w:fldChar w:fldCharType="end"/>
      </w:r>
      <w:r w:rsidR="001B017A" w:rsidRPr="006D71C7">
        <w:rPr>
          <w:color w:val="auto"/>
        </w:rPr>
        <w:t xml:space="preserve"> </w:t>
      </w:r>
      <w:r w:rsidRPr="006D71C7">
        <w:rPr>
          <w:b w:val="0"/>
          <w:i/>
          <w:color w:val="auto"/>
          <w:sz w:val="20"/>
          <w:szCs w:val="20"/>
        </w:rPr>
        <w:t>Rozkład projektów realizowanych w ramach Priorytetu VII w podziale na obszar (wartość</w:t>
      </w:r>
      <w:r w:rsidR="009428B6" w:rsidRPr="006D71C7">
        <w:rPr>
          <w:b w:val="0"/>
          <w:i/>
          <w:color w:val="auto"/>
          <w:sz w:val="20"/>
          <w:szCs w:val="20"/>
        </w:rPr>
        <w:t xml:space="preserve"> w mln EUR</w:t>
      </w:r>
      <w:r w:rsidRPr="006D71C7">
        <w:rPr>
          <w:b w:val="0"/>
          <w:i/>
          <w:color w:val="auto"/>
          <w:sz w:val="20"/>
          <w:szCs w:val="20"/>
        </w:rPr>
        <w:t xml:space="preserve"> i liczba)</w:t>
      </w:r>
      <w:bookmarkEnd w:id="551"/>
      <w:bookmarkEnd w:id="552"/>
    </w:p>
    <w:tbl>
      <w:tblPr>
        <w:tblStyle w:val="redniasiatka3akcent1"/>
        <w:tblW w:w="0" w:type="auto"/>
        <w:jc w:val="center"/>
        <w:shd w:val="clear" w:color="auto" w:fill="F4B29B" w:themeFill="accent1" w:themeFillTint="66"/>
        <w:tblLook w:val="04A0" w:firstRow="1" w:lastRow="0" w:firstColumn="1" w:lastColumn="0" w:noHBand="0" w:noVBand="1"/>
      </w:tblPr>
      <w:tblGrid>
        <w:gridCol w:w="2303"/>
        <w:gridCol w:w="1774"/>
        <w:gridCol w:w="2552"/>
        <w:gridCol w:w="2583"/>
      </w:tblGrid>
      <w:tr w:rsidR="00033790" w:rsidRPr="00C53D11" w:rsidTr="00C53D11">
        <w:trPr>
          <w:cnfStyle w:val="100000000000" w:firstRow="1" w:lastRow="0" w:firstColumn="0" w:lastColumn="0" w:oddVBand="0" w:evenVBand="0" w:oddHBand="0"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OBSZAR</w:t>
            </w:r>
          </w:p>
        </w:tc>
        <w:tc>
          <w:tcPr>
            <w:tcW w:w="1774" w:type="dxa"/>
            <w:shd w:val="clear" w:color="auto" w:fill="F4B29B" w:themeFill="accent1" w:themeFillTint="66"/>
            <w:vAlign w:val="center"/>
          </w:tcPr>
          <w:p w:rsidR="00C43B75" w:rsidRPr="00C43B75" w:rsidRDefault="00C43B75" w:rsidP="00C43B75">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LICZBA</w:t>
            </w:r>
          </w:p>
        </w:tc>
        <w:tc>
          <w:tcPr>
            <w:tcW w:w="2552" w:type="dxa"/>
            <w:shd w:val="clear" w:color="auto" w:fill="F4B29B" w:themeFill="accent1" w:themeFillTint="66"/>
            <w:vAlign w:val="center"/>
          </w:tcPr>
          <w:p w:rsidR="00C43B75" w:rsidRPr="00C43B75" w:rsidRDefault="00C43B75" w:rsidP="00C43B75">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WARTOŚĆ OGÓLEM</w:t>
            </w:r>
          </w:p>
        </w:tc>
        <w:tc>
          <w:tcPr>
            <w:tcW w:w="2583" w:type="dxa"/>
            <w:shd w:val="clear" w:color="auto" w:fill="F4B29B" w:themeFill="accent1" w:themeFillTint="66"/>
            <w:vAlign w:val="center"/>
          </w:tcPr>
          <w:p w:rsidR="00C43B75" w:rsidRPr="00C43B75" w:rsidRDefault="00C43B75" w:rsidP="00C43B75">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DOFINANSOWANIE UE</w:t>
            </w:r>
          </w:p>
        </w:tc>
      </w:tr>
      <w:tr w:rsidR="00033790" w:rsidRPr="00C53D11" w:rsidTr="00C53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MIEJSKI</w:t>
            </w:r>
          </w:p>
        </w:tc>
        <w:tc>
          <w:tcPr>
            <w:tcW w:w="1774" w:type="dxa"/>
            <w:tcBorders>
              <w:top w:val="single" w:sz="24" w:space="0" w:color="FFFFFF" w:themeColor="background1"/>
            </w:tcBorders>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89</w:t>
            </w:r>
          </w:p>
        </w:tc>
        <w:tc>
          <w:tcPr>
            <w:tcW w:w="2552" w:type="dxa"/>
            <w:tcBorders>
              <w:top w:val="single" w:sz="24" w:space="0" w:color="FFFFFF" w:themeColor="background1"/>
            </w:tcBorders>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400,28</w:t>
            </w:r>
          </w:p>
        </w:tc>
        <w:tc>
          <w:tcPr>
            <w:tcW w:w="2583" w:type="dxa"/>
            <w:tcBorders>
              <w:top w:val="single" w:sz="24" w:space="0" w:color="FFFFFF" w:themeColor="background1"/>
            </w:tcBorders>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257,15</w:t>
            </w:r>
          </w:p>
        </w:tc>
      </w:tr>
      <w:tr w:rsidR="00033790" w:rsidRPr="00C53D11" w:rsidTr="00C53D11">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WIEJSKI</w:t>
            </w:r>
          </w:p>
        </w:tc>
        <w:tc>
          <w:tcPr>
            <w:tcW w:w="1774"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43B75">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43B75">
              <w:rPr>
                <w:b/>
                <w:sz w:val="20"/>
                <w:szCs w:val="20"/>
              </w:rPr>
              <w:t>69</w:t>
            </w:r>
          </w:p>
        </w:tc>
        <w:tc>
          <w:tcPr>
            <w:tcW w:w="2552"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43B75">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43B75">
              <w:rPr>
                <w:b/>
                <w:sz w:val="20"/>
                <w:szCs w:val="20"/>
              </w:rPr>
              <w:t>55,80</w:t>
            </w:r>
          </w:p>
        </w:tc>
        <w:tc>
          <w:tcPr>
            <w:tcW w:w="2583"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43B75">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43B75">
              <w:rPr>
                <w:b/>
                <w:sz w:val="20"/>
                <w:szCs w:val="20"/>
              </w:rPr>
              <w:t>38,00</w:t>
            </w:r>
          </w:p>
        </w:tc>
      </w:tr>
      <w:tr w:rsidR="00033790" w:rsidRPr="00C53D11" w:rsidTr="00C53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GÓRSKI</w:t>
            </w:r>
          </w:p>
        </w:tc>
        <w:tc>
          <w:tcPr>
            <w:tcW w:w="1774" w:type="dxa"/>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4</w:t>
            </w:r>
          </w:p>
        </w:tc>
        <w:tc>
          <w:tcPr>
            <w:tcW w:w="2552" w:type="dxa"/>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2,11</w:t>
            </w:r>
          </w:p>
        </w:tc>
        <w:tc>
          <w:tcPr>
            <w:tcW w:w="2583" w:type="dxa"/>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1,60</w:t>
            </w:r>
          </w:p>
        </w:tc>
      </w:tr>
    </w:tbl>
    <w:p w:rsidR="00033790" w:rsidRPr="006D71C7" w:rsidRDefault="00033790" w:rsidP="006D71C7">
      <w:pPr>
        <w:jc w:val="both"/>
      </w:pPr>
    </w:p>
    <w:p w:rsidR="00033790" w:rsidRPr="006D71C7" w:rsidRDefault="00033790" w:rsidP="006D71C7">
      <w:pPr>
        <w:jc w:val="both"/>
        <w:rPr>
          <w:szCs w:val="24"/>
        </w:rPr>
      </w:pPr>
      <w:r w:rsidRPr="006D71C7">
        <w:rPr>
          <w:szCs w:val="24"/>
        </w:rPr>
        <w:t>W ramach priorytetu realizowane są projekty, których wartość dofinansowania kształtuje się w przedziale od 48 908,22 EUR do 83 878 213,30 EUR. Średnia wartość dofinansowania dla projektu wynosi 1 831 825,24 EUR, a średnia wartość całkowita projektu to 2 828 247,59 EUR.</w:t>
      </w:r>
    </w:p>
    <w:p w:rsidR="00FD5C22" w:rsidRPr="006D71C7" w:rsidRDefault="00FD5C22" w:rsidP="006D71C7">
      <w:pPr>
        <w:autoSpaceDE w:val="0"/>
        <w:autoSpaceDN w:val="0"/>
        <w:adjustRightInd w:val="0"/>
        <w:spacing w:after="0"/>
        <w:jc w:val="both"/>
        <w:rPr>
          <w:rFonts w:eastAsia="Calibri"/>
          <w:szCs w:val="24"/>
        </w:rPr>
      </w:pPr>
      <w:r w:rsidRPr="006D71C7">
        <w:rPr>
          <w:rFonts w:eastAsia="Calibri"/>
          <w:szCs w:val="24"/>
        </w:rPr>
        <w:t>Działania na rzecz polepszenia infrastruktury drogowej, zwiększenie bezpieczeństwa użytkowników dróg oraz mobilności mieszkańców regionu, realizowane są przez beneficjentów z większości powiatów</w:t>
      </w:r>
      <w:r w:rsidR="00FF4412" w:rsidRPr="006D71C7">
        <w:rPr>
          <w:rFonts w:eastAsia="Calibri"/>
          <w:szCs w:val="24"/>
        </w:rPr>
        <w:t>, głównie na południu i północy regionu</w:t>
      </w:r>
      <w:r w:rsidRPr="006D71C7">
        <w:rPr>
          <w:rFonts w:eastAsia="Calibri"/>
          <w:szCs w:val="24"/>
        </w:rPr>
        <w:t>. Najwięcej projektów (16) realizowanych jest w powiecie bielski</w:t>
      </w:r>
      <w:r w:rsidR="005D13A4" w:rsidRPr="006D71C7">
        <w:rPr>
          <w:rFonts w:eastAsia="Calibri"/>
          <w:szCs w:val="24"/>
        </w:rPr>
        <w:t>m</w:t>
      </w:r>
      <w:r w:rsidRPr="006D71C7">
        <w:rPr>
          <w:rFonts w:eastAsia="Calibri"/>
          <w:szCs w:val="24"/>
        </w:rPr>
        <w:t>, w południowej części województwa.</w:t>
      </w:r>
      <w:r w:rsidR="00FF4412" w:rsidRPr="006D71C7">
        <w:rPr>
          <w:rFonts w:eastAsia="Calibri"/>
          <w:szCs w:val="24"/>
        </w:rPr>
        <w:t xml:space="preserve"> Natomiast pod względem kwotowym faworytem jest Miasto Bielsko – Biała, stolica subregionu południowego.</w:t>
      </w:r>
    </w:p>
    <w:p w:rsidR="00FF4412" w:rsidRPr="006D71C7" w:rsidRDefault="00FF4412" w:rsidP="006D71C7">
      <w:pPr>
        <w:autoSpaceDE w:val="0"/>
        <w:autoSpaceDN w:val="0"/>
        <w:adjustRightInd w:val="0"/>
        <w:spacing w:after="0"/>
        <w:jc w:val="both"/>
        <w:rPr>
          <w:rFonts w:eastAsia="Calibri"/>
          <w:szCs w:val="24"/>
        </w:rPr>
      </w:pPr>
    </w:p>
    <w:p w:rsidR="00FD5C22" w:rsidRPr="006D71C7" w:rsidRDefault="00463A8F" w:rsidP="006D71C7">
      <w:pPr>
        <w:jc w:val="both"/>
        <w:rPr>
          <w:szCs w:val="24"/>
        </w:rPr>
      </w:pPr>
      <w:r w:rsidRPr="006D71C7">
        <w:rPr>
          <w:noProof/>
          <w:szCs w:val="24"/>
        </w:rPr>
        <w:drawing>
          <wp:inline distT="0" distB="0" distL="0" distR="0">
            <wp:extent cx="5759450" cy="5303703"/>
            <wp:effectExtent l="19050" t="0" r="0" b="0"/>
            <wp:docPr id="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srcRect/>
                    <a:stretch>
                      <a:fillRect/>
                    </a:stretch>
                  </pic:blipFill>
                  <pic:spPr bwMode="auto">
                    <a:xfrm>
                      <a:off x="0" y="0"/>
                      <a:ext cx="5759450" cy="5303703"/>
                    </a:xfrm>
                    <a:prstGeom prst="rect">
                      <a:avLst/>
                    </a:prstGeom>
                    <a:noFill/>
                    <a:ln w="9525">
                      <a:noFill/>
                      <a:miter lim="800000"/>
                      <a:headEnd/>
                      <a:tailEnd/>
                    </a:ln>
                  </pic:spPr>
                </pic:pic>
              </a:graphicData>
            </a:graphic>
          </wp:inline>
        </w:drawing>
      </w:r>
    </w:p>
    <w:p w:rsidR="00C43B75" w:rsidRDefault="00C43B75" w:rsidP="00C43B75">
      <w:pPr>
        <w:pStyle w:val="Legenda"/>
        <w:rPr>
          <w:i/>
          <w:color w:val="auto"/>
          <w:sz w:val="20"/>
          <w:szCs w:val="20"/>
        </w:rPr>
      </w:pPr>
      <w:bookmarkStart w:id="553" w:name="_Toc324786948"/>
      <w:bookmarkStart w:id="554" w:name="_Toc324854714"/>
      <w:bookmarkStart w:id="555" w:name="_Toc324854778"/>
      <w:bookmarkStart w:id="556" w:name="_Toc326055368"/>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50</w:t>
      </w:r>
      <w:r w:rsidR="008F7228" w:rsidRPr="00C43B75">
        <w:rPr>
          <w:color w:val="auto"/>
          <w:sz w:val="20"/>
          <w:szCs w:val="20"/>
        </w:rPr>
        <w:fldChar w:fldCharType="end"/>
      </w:r>
      <w:r w:rsidR="00C53D11">
        <w:t xml:space="preserve"> </w:t>
      </w:r>
      <w:r w:rsidR="007338BD" w:rsidRPr="006D71C7">
        <w:rPr>
          <w:b w:val="0"/>
          <w:i/>
          <w:color w:val="auto"/>
          <w:sz w:val="20"/>
          <w:szCs w:val="20"/>
        </w:rPr>
        <w:t>Rozkład projektów w podziale na powiaty</w:t>
      </w:r>
      <w:bookmarkEnd w:id="553"/>
      <w:bookmarkEnd w:id="554"/>
      <w:bookmarkEnd w:id="555"/>
      <w:bookmarkEnd w:id="556"/>
      <w:r w:rsidR="00C53D11">
        <w:rPr>
          <w:b w:val="0"/>
          <w:i/>
          <w:color w:val="auto"/>
          <w:sz w:val="20"/>
          <w:szCs w:val="20"/>
        </w:rPr>
        <w:t xml:space="preserve"> </w:t>
      </w:r>
    </w:p>
    <w:p w:rsidR="00033790" w:rsidRPr="006D71C7" w:rsidRDefault="00033790" w:rsidP="006D71C7">
      <w:pPr>
        <w:spacing w:after="120" w:line="240" w:lineRule="auto"/>
        <w:jc w:val="both"/>
        <w:rPr>
          <w:b/>
          <w:bCs/>
          <w:i/>
          <w:iCs/>
          <w:szCs w:val="24"/>
        </w:rPr>
      </w:pPr>
      <w:r w:rsidRPr="006D71C7">
        <w:rPr>
          <w:b/>
          <w:bCs/>
          <w:i/>
          <w:iCs/>
          <w:szCs w:val="24"/>
        </w:rPr>
        <w:t>Analiza wskaźnikowa</w:t>
      </w:r>
    </w:p>
    <w:p w:rsidR="004225BF" w:rsidRPr="006D71C7" w:rsidRDefault="004225BF" w:rsidP="006D71C7">
      <w:pPr>
        <w:spacing w:after="0"/>
        <w:jc w:val="both"/>
      </w:pPr>
      <w:r w:rsidRPr="006D71C7">
        <w:t xml:space="preserve">W priorytecie VII 4 z ogólnej liczby 16 wskaźników produktu posiada realizację na poziomie zerowym. Największą realizację, odnosząc się do wartości docelowych dla roku 2015 wśród wskaźników produktu, odnotowano dla wskaźnika </w:t>
      </w:r>
      <w:r w:rsidRPr="006D71C7">
        <w:rPr>
          <w:i/>
        </w:rPr>
        <w:t>Liczba zakupionego taboru komunikacji miejskiej</w:t>
      </w:r>
      <w:r w:rsidRPr="006D71C7">
        <w:t xml:space="preserve">, dla którego wartość docelową zrealizowano w 152%. Wśród wskaźników rezultatu 2 z 3 wskaźników posiada realizację na zerowym poziomie. Wskaźnik, który odnotował postęp w realizacji to </w:t>
      </w:r>
      <w:r w:rsidRPr="006D71C7">
        <w:rPr>
          <w:i/>
        </w:rPr>
        <w:t>Oszczędność czasu na nowyc</w:t>
      </w:r>
      <w:r w:rsidR="000147E5">
        <w:rPr>
          <w:i/>
        </w:rPr>
        <w:t>h i zrekonstruowanych drogach w </w:t>
      </w:r>
      <w:r w:rsidRPr="006D71C7">
        <w:rPr>
          <w:i/>
        </w:rPr>
        <w:t>przewozach pasażerskich i towarowych</w:t>
      </w:r>
      <w:r w:rsidRPr="006D71C7">
        <w:t xml:space="preserve">, który osiągnął 14,96% wartości docelowej dla 2015 r. </w:t>
      </w:r>
    </w:p>
    <w:p w:rsidR="004225BF" w:rsidRPr="006D71C7" w:rsidRDefault="004225BF" w:rsidP="006D71C7">
      <w:pPr>
        <w:spacing w:after="0"/>
        <w:jc w:val="both"/>
      </w:pPr>
      <w:r w:rsidRPr="006D71C7">
        <w:t xml:space="preserve">Wskaźniki </w:t>
      </w:r>
      <w:r w:rsidRPr="006D71C7">
        <w:rPr>
          <w:i/>
        </w:rPr>
        <w:t>Długość nowych dróg</w:t>
      </w:r>
      <w:r w:rsidRPr="006D71C7">
        <w:t xml:space="preserve"> oraz </w:t>
      </w:r>
      <w:r w:rsidRPr="006D71C7">
        <w:rPr>
          <w:i/>
        </w:rPr>
        <w:t>Długość zmodernizowanych dróg</w:t>
      </w:r>
      <w:r w:rsidRPr="006D71C7">
        <w:t xml:space="preserve"> dodatkowo posiadają podwskaźniki dot. dróg regionalnych i dróg lokalnych na obszarach wiejskich. W okresie sprawozdawczym należy szczególnie zauważyć wzrost realizacji wskaźnika </w:t>
      </w:r>
      <w:r w:rsidRPr="006D71C7">
        <w:rPr>
          <w:i/>
        </w:rPr>
        <w:t>Długość zmodernizowanych dróg</w:t>
      </w:r>
      <w:r w:rsidRPr="006D71C7">
        <w:t xml:space="preserve">, który osiągnął poziom 149,16 km to jest 62,15% jego wartości docelowej, co oznacza wzrost poziomu realizacji o niespełna 50%. Podwskaźnki dot. dróg regionalnych i lokalnych składające się na ogólną długość zrekonstruowanych dróg wskazują natomiast, że w przeważającej mierze projekty modernizacji dróg dotyczyły dróg lokalnych. </w:t>
      </w:r>
      <w:r w:rsidR="005D13A4" w:rsidRPr="006D71C7">
        <w:t>P</w:t>
      </w:r>
      <w:r w:rsidRPr="006D71C7">
        <w:t xml:space="preserve">odwskaźnik </w:t>
      </w:r>
      <w:r w:rsidRPr="006D71C7">
        <w:rPr>
          <w:i/>
        </w:rPr>
        <w:t>Długość zrekonstruowanych dróg, w tym drogi regionalne</w:t>
      </w:r>
      <w:r w:rsidRPr="006D71C7">
        <w:t xml:space="preserve"> realizowany jest znacznie wolniej </w:t>
      </w:r>
      <w:r w:rsidR="005D13A4" w:rsidRPr="006D71C7">
        <w:t xml:space="preserve">i </w:t>
      </w:r>
      <w:r w:rsidRPr="006D71C7">
        <w:t xml:space="preserve">znaczącego wzrostu nie przewiduje również szacowana realizacja. Podwskaźnik ten realizowany jest wyłącznie w </w:t>
      </w:r>
      <w:r w:rsidRPr="006D71C7">
        <w:rPr>
          <w:i/>
        </w:rPr>
        <w:t>poddziałaniu 7.1.1 Modernizacja i rozbudowa kluczowych elementów sieci drogowej</w:t>
      </w:r>
      <w:r w:rsidRPr="006D71C7">
        <w:t>, w którym zainteresowa</w:t>
      </w:r>
      <w:r w:rsidR="000147E5">
        <w:t>nie beneficjentów skupiło się w </w:t>
      </w:r>
      <w:r w:rsidRPr="006D71C7">
        <w:t>większej mierze na budowie nowych dróg. Ob</w:t>
      </w:r>
      <w:r w:rsidR="00B87FDE" w:rsidRPr="006D71C7">
        <w:t>razuje to </w:t>
      </w:r>
      <w:r w:rsidRPr="006D71C7">
        <w:t xml:space="preserve">szacowana realizacja analogicznego do wyżej wymienionego podwskaźnika </w:t>
      </w:r>
      <w:r w:rsidRPr="006D71C7">
        <w:rPr>
          <w:i/>
        </w:rPr>
        <w:t>Długość nowych dróg, w tym drogi regionalne</w:t>
      </w:r>
      <w:r w:rsidRPr="006D71C7">
        <w:t>, która wyniosła 58% końcowej wartości docelowej.</w:t>
      </w:r>
    </w:p>
    <w:p w:rsidR="004225BF" w:rsidRPr="006D71C7" w:rsidRDefault="004225BF" w:rsidP="006D71C7">
      <w:pPr>
        <w:jc w:val="both"/>
      </w:pPr>
      <w:r w:rsidRPr="006D71C7">
        <w:t xml:space="preserve">Zakładane w podpisanych umowach o dofinansowanie wartości dla podwskaźnika </w:t>
      </w:r>
      <w:r w:rsidRPr="006D71C7">
        <w:rPr>
          <w:i/>
        </w:rPr>
        <w:t>Długość nowych dróg, w tym drogi lokalne</w:t>
      </w:r>
      <w:r w:rsidRPr="006D71C7">
        <w:t xml:space="preserve"> wskazują natomiast na realizację na poziomie 52% wartości docelowej dla 2015 r.</w:t>
      </w:r>
      <w:r w:rsidR="00B87FDE" w:rsidRPr="006D71C7">
        <w:t xml:space="preserve"> </w:t>
      </w:r>
      <w:r w:rsidRPr="006D71C7">
        <w:t>Realizacja wskaźników dotyczących taboru komunikacji miejskiej (</w:t>
      </w:r>
      <w:r w:rsidRPr="006D71C7">
        <w:rPr>
          <w:i/>
        </w:rPr>
        <w:t>Liczba zakupionego taboru komunikacji miejskiej</w:t>
      </w:r>
      <w:r w:rsidRPr="006D71C7">
        <w:t xml:space="preserve"> i </w:t>
      </w:r>
      <w:r w:rsidRPr="006D71C7">
        <w:rPr>
          <w:i/>
        </w:rPr>
        <w:t>Liczba miejsc w zakupionym taborze komunikacji miejskiej</w:t>
      </w:r>
      <w:r w:rsidRPr="006D71C7">
        <w:t>) już w okresie sprawozdawczym osiągnęła poziom przekraczający końcową wartość docelową. W przypadku tych dwóch wskaźników postęp rzeczowej realizacji jest tym bardziej wart odnotowan</w:t>
      </w:r>
      <w:r w:rsidR="00652A78" w:rsidRPr="006D71C7">
        <w:t>ia, że do tej pory wskaźniki te </w:t>
      </w:r>
      <w:r w:rsidRPr="006D71C7">
        <w:t>utrzymywały zerowy poziom realizacji.</w:t>
      </w:r>
      <w:r w:rsidR="00B87FDE" w:rsidRPr="006D71C7">
        <w:t xml:space="preserve"> </w:t>
      </w:r>
      <w:r w:rsidRPr="006D71C7">
        <w:t>Szacowana realizacja wskaźników dotyczących taboru komunikacji kolejowej każe spodziewać się przekroczenia ich wartości docelowych dla 2015 r. już w 2012 roku.</w:t>
      </w:r>
      <w:r w:rsidR="00B87FDE" w:rsidRPr="006D71C7">
        <w:t xml:space="preserve"> </w:t>
      </w:r>
      <w:r w:rsidRPr="006D71C7">
        <w:t xml:space="preserve">Niezrealizowany zostanie natomiast wskaźnik </w:t>
      </w:r>
      <w:r w:rsidRPr="006D71C7">
        <w:rPr>
          <w:i/>
        </w:rPr>
        <w:t>Długość zrekonstruowanych linii kolejowych</w:t>
      </w:r>
      <w:r w:rsidRPr="006D71C7">
        <w:t>, w stosunku, do którego jedyny beneficjent mający realizować wskaźnik dokonał modyfikacji projektu</w:t>
      </w:r>
      <w:r w:rsidR="00B87FDE" w:rsidRPr="006D71C7">
        <w:t>, która obejmowała rezygnację z </w:t>
      </w:r>
      <w:r w:rsidRPr="006D71C7">
        <w:t xml:space="preserve">przeprowadzenia w ramach projektu rekonstrukcji przedmiotowej linii kolejowej. Niezrealizowanie powyższego projektu w zakresie w jakim planowano przełożyło się również na brak możliwości zrealizowania powiązanego wskaźnika rezultatu </w:t>
      </w:r>
      <w:r w:rsidR="00B87FDE" w:rsidRPr="006D71C7">
        <w:rPr>
          <w:rFonts w:eastAsia="Calibri" w:cs="Calibri"/>
          <w:i/>
        </w:rPr>
        <w:t>Oszczędność czasu na </w:t>
      </w:r>
      <w:r w:rsidRPr="006D71C7">
        <w:rPr>
          <w:rFonts w:eastAsia="Calibri" w:cs="Calibri"/>
          <w:i/>
        </w:rPr>
        <w:t xml:space="preserve">nowych i zrekonstruowanych liniach kolejowych w przewozach pasażerskich </w:t>
      </w:r>
      <w:r w:rsidR="00B87FDE" w:rsidRPr="006D71C7">
        <w:rPr>
          <w:rFonts w:eastAsia="Calibri" w:cs="Calibri"/>
          <w:i/>
        </w:rPr>
        <w:t>i </w:t>
      </w:r>
      <w:r w:rsidRPr="006D71C7">
        <w:rPr>
          <w:rFonts w:eastAsia="Calibri" w:cs="Calibri"/>
          <w:i/>
        </w:rPr>
        <w:t>towarowych</w:t>
      </w:r>
      <w:r w:rsidRPr="006D71C7">
        <w:rPr>
          <w:rFonts w:eastAsia="Calibri" w:cs="Calibri"/>
        </w:rPr>
        <w:t>.</w:t>
      </w:r>
      <w:r w:rsidR="00B87FDE" w:rsidRPr="006D71C7">
        <w:t xml:space="preserve"> </w:t>
      </w:r>
      <w:r w:rsidRPr="006D71C7">
        <w:rPr>
          <w:rFonts w:eastAsia="Calibri" w:cs="Calibri"/>
        </w:rPr>
        <w:t xml:space="preserve">W przypadku pozostałych wskaźników rezultatu to szacowna realizacja wskaźnika </w:t>
      </w:r>
      <w:r w:rsidRPr="006D71C7">
        <w:rPr>
          <w:rFonts w:eastAsia="Calibri" w:cs="Calibri"/>
          <w:i/>
        </w:rPr>
        <w:t>Oszczędność czasu na nowych i zrekonstruowanych drog</w:t>
      </w:r>
      <w:r w:rsidR="00B87FDE" w:rsidRPr="006D71C7">
        <w:rPr>
          <w:rFonts w:eastAsia="Calibri" w:cs="Calibri"/>
          <w:i/>
        </w:rPr>
        <w:t>ach w przewozach pasażerskich i </w:t>
      </w:r>
      <w:r w:rsidRPr="006D71C7">
        <w:rPr>
          <w:rFonts w:eastAsia="Calibri" w:cs="Calibri"/>
          <w:i/>
        </w:rPr>
        <w:t>towarowych</w:t>
      </w:r>
      <w:r w:rsidRPr="006D71C7">
        <w:rPr>
          <w:rFonts w:eastAsia="Calibri" w:cs="Calibri"/>
        </w:rPr>
        <w:t xml:space="preserve"> w chwili obecnej wynosi 53% końcowej </w:t>
      </w:r>
      <w:r w:rsidR="00B87FDE" w:rsidRPr="006D71C7">
        <w:rPr>
          <w:rFonts w:eastAsia="Calibri" w:cs="Calibri"/>
        </w:rPr>
        <w:t>wartości docelowej. W </w:t>
      </w:r>
      <w:r w:rsidRPr="006D71C7">
        <w:rPr>
          <w:rFonts w:eastAsia="Calibri" w:cs="Calibri"/>
        </w:rPr>
        <w:t>związku z</w:t>
      </w:r>
      <w:r w:rsidR="00B87FDE" w:rsidRPr="006D71C7">
        <w:rPr>
          <w:rFonts w:eastAsia="Calibri" w:cs="Calibri"/>
        </w:rPr>
        <w:t> </w:t>
      </w:r>
      <w:r w:rsidRPr="006D71C7">
        <w:rPr>
          <w:rFonts w:eastAsia="Calibri" w:cs="Calibri"/>
        </w:rPr>
        <w:t>przeznaczeniem środków pochodzących z Krajowej Rezerwy Wykonania oraz Dostosowania Technicznego na konkursy z poddziałania 7.1.1 Modernizacja i rozbudowa kluczowych elementów sieci drogowej można spodziewać się dalszego wzrostu wartości wskaźnika wynikającej z szacowanej realizacji.</w:t>
      </w:r>
      <w:r w:rsidR="00B87FDE" w:rsidRPr="006D71C7">
        <w:rPr>
          <w:rFonts w:eastAsia="Calibri" w:cs="Calibri"/>
        </w:rPr>
        <w:t xml:space="preserve"> </w:t>
      </w:r>
      <w:r w:rsidRPr="006D71C7">
        <w:rPr>
          <w:rFonts w:eastAsia="Calibri" w:cs="Calibri"/>
        </w:rPr>
        <w:t xml:space="preserve">Wskaźnik </w:t>
      </w:r>
      <w:r w:rsidRPr="006D71C7">
        <w:rPr>
          <w:rFonts w:eastAsia="Calibri" w:cs="Calibri"/>
          <w:i/>
        </w:rPr>
        <w:t>Dodatkowe przewozy pasażerów komunikacji miejskiej z wykorzystaniem taboru objętego wsparciem</w:t>
      </w:r>
      <w:r w:rsidRPr="006D71C7">
        <w:rPr>
          <w:rFonts w:eastAsia="Calibri" w:cs="Calibri"/>
        </w:rPr>
        <w:t xml:space="preserve"> odznacza się szacowaną realizacją, która znacząco przekracza wartość docelową wskaźnika dla roku 2015.</w:t>
      </w:r>
    </w:p>
    <w:p w:rsidR="004225BF" w:rsidRDefault="004225BF" w:rsidP="006D71C7">
      <w:pPr>
        <w:jc w:val="both"/>
      </w:pPr>
      <w:r w:rsidRPr="006D71C7">
        <w:t>Realizacja wskaźnikó</w:t>
      </w:r>
      <w:r w:rsidR="00B87FDE" w:rsidRPr="006D71C7">
        <w:t>w p</w:t>
      </w:r>
      <w:r w:rsidRPr="006D71C7">
        <w:t xml:space="preserve">riorytetu VII stanowi odpowiedź na wskazaną w analizie SWOT grupę problemową </w:t>
      </w:r>
      <w:r w:rsidRPr="006D71C7">
        <w:rPr>
          <w:i/>
        </w:rPr>
        <w:t>Infrastruktura transportowa</w:t>
      </w:r>
      <w:r w:rsidRPr="006D71C7">
        <w:t>, gdzie między innymi jako słabą stronę wymieniono zły stan techniczny infrastruktury komunikacyjnej, a zagrożeniem wskazano wzrost natężenia ruchu pojazdów przy braku wydajnego systemu komunikacji. Działani</w:t>
      </w:r>
      <w:r w:rsidR="00B87FDE" w:rsidRPr="006D71C7">
        <w:t>a obrazowane przez wskaźniki w p</w:t>
      </w:r>
      <w:r w:rsidRPr="006D71C7">
        <w:t>riorytecie</w:t>
      </w:r>
      <w:r w:rsidR="005D13A4" w:rsidRPr="006D71C7">
        <w:t>,</w:t>
      </w:r>
      <w:r w:rsidRPr="006D71C7">
        <w:t xml:space="preserve"> takie jak rekonstrukcja dróg, czy też zakup nowego taboru komunikacji zbiorowej</w:t>
      </w:r>
      <w:r w:rsidR="005D13A4" w:rsidRPr="006D71C7">
        <w:t>,</w:t>
      </w:r>
      <w:r w:rsidRPr="006D71C7">
        <w:t xml:space="preserve"> zważywszy na pra</w:t>
      </w:r>
      <w:r w:rsidR="00B87FDE" w:rsidRPr="006D71C7">
        <w:t>widłowo dokonujący się postęp w </w:t>
      </w:r>
      <w:r w:rsidRPr="006D71C7">
        <w:t>ich realizacji</w:t>
      </w:r>
      <w:r w:rsidR="005D13A4" w:rsidRPr="006D71C7">
        <w:t>,</w:t>
      </w:r>
      <w:r w:rsidRPr="006D71C7">
        <w:t xml:space="preserve"> należy uznać za środki skutecznie przyczyniające się do likwidacji ww. problemów.</w:t>
      </w:r>
    </w:p>
    <w:p w:rsidR="00C43B75" w:rsidRDefault="00C53D11" w:rsidP="00C43B75">
      <w:pPr>
        <w:jc w:val="both"/>
        <w:rPr>
          <w:iCs/>
        </w:rPr>
      </w:pPr>
      <w:r>
        <w:rPr>
          <w:iCs/>
        </w:rPr>
        <w:t xml:space="preserve">Ponadto w zakresie wskaźników </w:t>
      </w:r>
      <w:r w:rsidRPr="004D4D15">
        <w:rPr>
          <w:i/>
          <w:iCs/>
        </w:rPr>
        <w:t>Oszczędność czasu na nowych i zrekonstruowanych drogach w przewozach pasażerskich i towarowych</w:t>
      </w:r>
      <w:r w:rsidRPr="004D4D15">
        <w:rPr>
          <w:iCs/>
        </w:rPr>
        <w:t xml:space="preserve"> i</w:t>
      </w:r>
      <w:r>
        <w:rPr>
          <w:i/>
          <w:iCs/>
        </w:rPr>
        <w:t xml:space="preserve"> Oszczędność czasu na nowych i </w:t>
      </w:r>
      <w:r w:rsidRPr="004D4D15">
        <w:rPr>
          <w:i/>
          <w:iCs/>
        </w:rPr>
        <w:t>zrekonstruowanych drogach w przewozach pasażerskich i towarowych</w:t>
      </w:r>
      <w:r>
        <w:rPr>
          <w:i/>
          <w:iCs/>
        </w:rPr>
        <w:t xml:space="preserve"> </w:t>
      </w:r>
      <w:r>
        <w:rPr>
          <w:iCs/>
        </w:rPr>
        <w:t>dodano wiersze w załączniku IV, w których w związku z mapowaniem się powyższych wskaźników na wskaźniki Core indicators przeliczono wartości docelowe i wartości realizacji na obowiązującą w SFC2007 dla przedmiotowych wskaźników jednostkę miary Euro/rok. W RPO WSL natomiast przyjętą jednostką miary wskaźników są miliony złotych, co utrudniało przegląd postępu tożsamych wskaźników o różnych jednostkach. Do przeliczenia wartości ze złotych na EUR wykorzystano obowiązujący dla sprawozdania kurs wynoszący 4,5270. W związku z powyższym w załączniku IV przedstawiono dwie wartości dla omawianych wskaźników w mln EUR i PLN.</w:t>
      </w:r>
    </w:p>
    <w:p w:rsidR="004225BF" w:rsidRPr="006D71C7" w:rsidRDefault="00B87FDE" w:rsidP="006D71C7">
      <w:pPr>
        <w:spacing w:after="0"/>
        <w:jc w:val="both"/>
      </w:pPr>
      <w:r w:rsidRPr="006D71C7">
        <w:t>W ramach p</w:t>
      </w:r>
      <w:r w:rsidR="004225BF" w:rsidRPr="006D71C7">
        <w:t xml:space="preserve">riorytetu realizowane są wskaźniki Komisji Europejskiej tzw. </w:t>
      </w:r>
      <w:r w:rsidR="004225BF" w:rsidRPr="006D71C7">
        <w:rPr>
          <w:i/>
        </w:rPr>
        <w:t>Core Indicators</w:t>
      </w:r>
      <w:r w:rsidR="004225BF" w:rsidRPr="006D71C7">
        <w:t>, są to:</w:t>
      </w:r>
    </w:p>
    <w:p w:rsidR="00341D42" w:rsidRPr="00341D42" w:rsidRDefault="00341D42" w:rsidP="00BA2FE7">
      <w:pPr>
        <w:pStyle w:val="Akapitzlist"/>
        <w:numPr>
          <w:ilvl w:val="0"/>
          <w:numId w:val="113"/>
        </w:numPr>
        <w:rPr>
          <w:i/>
        </w:rPr>
      </w:pPr>
      <w:r w:rsidRPr="00341D42">
        <w:rPr>
          <w:i/>
        </w:rPr>
        <w:t>Liczba projektów z zakresu transportu</w:t>
      </w:r>
    </w:p>
    <w:p w:rsidR="00341D42" w:rsidRPr="00341D42" w:rsidRDefault="00341D42" w:rsidP="00BA2FE7">
      <w:pPr>
        <w:pStyle w:val="Akapitzlist"/>
        <w:numPr>
          <w:ilvl w:val="0"/>
          <w:numId w:val="113"/>
        </w:numPr>
        <w:rPr>
          <w:i/>
        </w:rPr>
      </w:pPr>
      <w:r w:rsidRPr="00341D42">
        <w:rPr>
          <w:i/>
        </w:rPr>
        <w:t xml:space="preserve">Liczba projektów dot. </w:t>
      </w:r>
      <w:r>
        <w:rPr>
          <w:i/>
        </w:rPr>
        <w:t>i</w:t>
      </w:r>
      <w:r w:rsidRPr="00341D42">
        <w:rPr>
          <w:i/>
        </w:rPr>
        <w:t>nfrastruktury społeczeństwa informacyjnego</w:t>
      </w:r>
    </w:p>
    <w:p w:rsidR="00341D42" w:rsidRPr="00341D42" w:rsidRDefault="00341D42" w:rsidP="00BA2FE7">
      <w:pPr>
        <w:pStyle w:val="Akapitzlist"/>
        <w:numPr>
          <w:ilvl w:val="0"/>
          <w:numId w:val="113"/>
        </w:numPr>
        <w:rPr>
          <w:i/>
        </w:rPr>
      </w:pPr>
      <w:r w:rsidRPr="00341D42">
        <w:rPr>
          <w:i/>
        </w:rPr>
        <w:t>Długość nowych dróg</w:t>
      </w:r>
    </w:p>
    <w:p w:rsidR="00341D42" w:rsidRPr="00341D42" w:rsidRDefault="00341D42" w:rsidP="00BA2FE7">
      <w:pPr>
        <w:pStyle w:val="Akapitzlist"/>
        <w:numPr>
          <w:ilvl w:val="0"/>
          <w:numId w:val="113"/>
        </w:numPr>
        <w:rPr>
          <w:i/>
        </w:rPr>
      </w:pPr>
      <w:r w:rsidRPr="00341D42">
        <w:rPr>
          <w:i/>
        </w:rPr>
        <w:t xml:space="preserve">Długość zrekonstruowanych dróg </w:t>
      </w:r>
    </w:p>
    <w:p w:rsidR="00341D42" w:rsidRPr="00341D42" w:rsidRDefault="00341D42" w:rsidP="00BA2FE7">
      <w:pPr>
        <w:pStyle w:val="Akapitzlist"/>
        <w:numPr>
          <w:ilvl w:val="0"/>
          <w:numId w:val="113"/>
        </w:numPr>
        <w:rPr>
          <w:i/>
        </w:rPr>
      </w:pPr>
      <w:r w:rsidRPr="00341D42">
        <w:rPr>
          <w:i/>
        </w:rPr>
        <w:t>Długość zrekonstruowanych linii kolejowych</w:t>
      </w:r>
    </w:p>
    <w:p w:rsidR="00341D42" w:rsidRPr="00341D42" w:rsidRDefault="00341D42" w:rsidP="00BA2FE7">
      <w:pPr>
        <w:pStyle w:val="Akapitzlist"/>
        <w:numPr>
          <w:ilvl w:val="0"/>
          <w:numId w:val="113"/>
        </w:numPr>
        <w:rPr>
          <w:i/>
        </w:rPr>
      </w:pPr>
      <w:r w:rsidRPr="00341D42">
        <w:rPr>
          <w:i/>
        </w:rPr>
        <w:t>Oszczędność czasu na nowych i zrekonstruowanych drogach w przewozach pasażerskich i towarowych</w:t>
      </w:r>
    </w:p>
    <w:p w:rsidR="00341D42" w:rsidRPr="00341D42" w:rsidRDefault="00341D42" w:rsidP="00BA2FE7">
      <w:pPr>
        <w:pStyle w:val="Akapitzlist"/>
        <w:numPr>
          <w:ilvl w:val="0"/>
          <w:numId w:val="113"/>
        </w:numPr>
        <w:rPr>
          <w:i/>
        </w:rPr>
      </w:pPr>
      <w:r w:rsidRPr="00341D42">
        <w:rPr>
          <w:i/>
        </w:rPr>
        <w:t>Oszczędność czasu na nowych i zrekonstruowanych liniach kolejowych w przewozach pasażerskich i towarowych</w:t>
      </w:r>
    </w:p>
    <w:p w:rsidR="00341D42" w:rsidRPr="00341D42" w:rsidRDefault="00341D42" w:rsidP="00BA2FE7">
      <w:pPr>
        <w:pStyle w:val="Akapitzlist"/>
        <w:numPr>
          <w:ilvl w:val="0"/>
          <w:numId w:val="113"/>
        </w:numPr>
        <w:rPr>
          <w:i/>
        </w:rPr>
      </w:pPr>
      <w:r w:rsidRPr="00341D42">
        <w:rPr>
          <w:i/>
        </w:rPr>
        <w:t>Dodatkowe przewozy pasażerów komunikacji miejskiej z wykorzystaniem taboru objętego wsparciem</w:t>
      </w:r>
    </w:p>
    <w:p w:rsidR="00245F70" w:rsidRPr="006D71C7" w:rsidRDefault="00245F70" w:rsidP="00341D42">
      <w:pPr>
        <w:pStyle w:val="Akapitzlist"/>
        <w:spacing w:after="0"/>
        <w:ind w:left="851"/>
        <w:jc w:val="both"/>
        <w:rPr>
          <w:rFonts w:eastAsia="Arial" w:cs="Arial"/>
          <w:i/>
        </w:rPr>
      </w:pPr>
    </w:p>
    <w:p w:rsidR="004225BF" w:rsidRPr="006D71C7" w:rsidRDefault="004225BF" w:rsidP="006D71C7">
      <w:pPr>
        <w:spacing w:after="0"/>
        <w:jc w:val="both"/>
      </w:pPr>
      <w:r w:rsidRPr="006D71C7">
        <w:t>W wyniku p</w:t>
      </w:r>
      <w:r w:rsidR="00B87FDE" w:rsidRPr="006D71C7">
        <w:t>rzeglądu śródokresowego w p</w:t>
      </w:r>
      <w:r w:rsidRPr="006D71C7">
        <w:t xml:space="preserve">riorytecie VII dodano wskaźnik </w:t>
      </w:r>
      <w:r w:rsidRPr="006D71C7">
        <w:rPr>
          <w:i/>
        </w:rPr>
        <w:t>Liczba projektów dotyczących naprawy podstawowej infrastruktury uszkodzonej w wyniku powodzi</w:t>
      </w:r>
      <w:r w:rsidRPr="006D71C7">
        <w:t>, dla którego wartości docelowe dla 2013 i 2015 roku wyznaczono na poziomie 10 sztuk.</w:t>
      </w:r>
      <w:r w:rsidR="00B87FDE" w:rsidRPr="006D71C7">
        <w:t xml:space="preserve"> Wskaźnik został dodany w związku z wprowadzenie </w:t>
      </w:r>
      <w:r w:rsidR="005E3FBC" w:rsidRPr="006D71C7">
        <w:t xml:space="preserve">w 2011 roku </w:t>
      </w:r>
      <w:r w:rsidR="00B87FDE" w:rsidRPr="006D71C7">
        <w:t>do IWIPK projektów realizowanych w celu odbudowy infrastruktury zniszczonej na skutek powodzi.</w:t>
      </w:r>
    </w:p>
    <w:p w:rsidR="004225BF" w:rsidRPr="006D71C7" w:rsidRDefault="004225BF" w:rsidP="006D71C7">
      <w:pPr>
        <w:spacing w:after="120" w:line="240" w:lineRule="auto"/>
        <w:jc w:val="both"/>
        <w:rPr>
          <w:b/>
          <w:bCs/>
          <w:i/>
          <w:iCs/>
          <w:szCs w:val="24"/>
        </w:rPr>
      </w:pPr>
    </w:p>
    <w:p w:rsidR="00033790" w:rsidRPr="006D71C7" w:rsidRDefault="00033790" w:rsidP="006D71C7">
      <w:pPr>
        <w:spacing w:after="120"/>
        <w:jc w:val="both"/>
        <w:rPr>
          <w:b/>
          <w:bCs/>
          <w:i/>
          <w:szCs w:val="24"/>
        </w:rPr>
      </w:pPr>
      <w:r w:rsidRPr="006D71C7">
        <w:rPr>
          <w:b/>
          <w:bCs/>
          <w:i/>
          <w:szCs w:val="24"/>
        </w:rPr>
        <w:t xml:space="preserve">Realizacja ewentualnych zaleceń i rekomendacji KE odnoszące się do </w:t>
      </w:r>
      <w:r w:rsidR="005D2D53" w:rsidRPr="006D71C7">
        <w:rPr>
          <w:b/>
          <w:bCs/>
          <w:i/>
          <w:szCs w:val="24"/>
        </w:rPr>
        <w:t>priorytetu</w:t>
      </w:r>
      <w:r w:rsidRPr="006D71C7">
        <w:rPr>
          <w:b/>
          <w:bCs/>
          <w:i/>
          <w:szCs w:val="24"/>
        </w:rPr>
        <w:t>:</w:t>
      </w:r>
    </w:p>
    <w:p w:rsidR="00033790" w:rsidRPr="006D71C7" w:rsidRDefault="00033790" w:rsidP="006D71C7">
      <w:pPr>
        <w:pStyle w:val="Akapitzlist"/>
        <w:numPr>
          <w:ilvl w:val="0"/>
          <w:numId w:val="6"/>
        </w:numPr>
        <w:spacing w:after="120"/>
        <w:jc w:val="both"/>
        <w:rPr>
          <w:bCs/>
          <w:szCs w:val="24"/>
        </w:rPr>
      </w:pPr>
      <w:r w:rsidRPr="006D71C7">
        <w:rPr>
          <w:spacing w:val="-4"/>
          <w:szCs w:val="24"/>
        </w:rPr>
        <w:t>analiza ko</w:t>
      </w:r>
      <w:r w:rsidR="005D2D53" w:rsidRPr="006D71C7">
        <w:rPr>
          <w:spacing w:val="-4"/>
          <w:szCs w:val="24"/>
        </w:rPr>
        <w:t>ncentruje się wokół celu/celów p</w:t>
      </w:r>
      <w:r w:rsidRPr="006D71C7">
        <w:rPr>
          <w:spacing w:val="-4"/>
          <w:szCs w:val="24"/>
        </w:rPr>
        <w:t>riorytetu VII,</w:t>
      </w:r>
    </w:p>
    <w:p w:rsidR="00033790" w:rsidRPr="006D71C7" w:rsidRDefault="00033790" w:rsidP="006D71C7">
      <w:pPr>
        <w:pStyle w:val="Akapitzlist"/>
        <w:numPr>
          <w:ilvl w:val="0"/>
          <w:numId w:val="6"/>
        </w:numPr>
        <w:spacing w:after="120"/>
        <w:jc w:val="both"/>
        <w:rPr>
          <w:bCs/>
          <w:szCs w:val="24"/>
        </w:rPr>
      </w:pPr>
      <w:r w:rsidRPr="006D71C7">
        <w:rPr>
          <w:bCs/>
          <w:szCs w:val="24"/>
        </w:rPr>
        <w:t>zaprezentowanie rozkładu projektów w podziale na beneficjentów i obszary.</w:t>
      </w:r>
    </w:p>
    <w:p w:rsidR="00033790" w:rsidRPr="006D71C7" w:rsidRDefault="00033790" w:rsidP="006D71C7">
      <w:pPr>
        <w:pStyle w:val="Akapitzlist"/>
        <w:spacing w:after="120"/>
        <w:jc w:val="both"/>
        <w:rPr>
          <w:bCs/>
          <w:szCs w:val="24"/>
        </w:rPr>
      </w:pPr>
    </w:p>
    <w:p w:rsidR="00033790" w:rsidRPr="006D71C7" w:rsidRDefault="00033790" w:rsidP="006D71C7">
      <w:pPr>
        <w:pStyle w:val="Akapitzlist"/>
        <w:spacing w:after="240"/>
        <w:ind w:left="0"/>
        <w:jc w:val="both"/>
        <w:rPr>
          <w:b/>
          <w:bCs/>
          <w:i/>
          <w:szCs w:val="24"/>
        </w:rPr>
      </w:pPr>
      <w:r w:rsidRPr="006D71C7">
        <w:rPr>
          <w:b/>
          <w:bCs/>
          <w:i/>
          <w:szCs w:val="24"/>
        </w:rPr>
        <w:t xml:space="preserve">Rekomendacje IZ odnośnie do dalszego przebiegu realizacji </w:t>
      </w:r>
      <w:r w:rsidR="00407608" w:rsidRPr="006D71C7">
        <w:rPr>
          <w:b/>
          <w:bCs/>
          <w:i/>
          <w:szCs w:val="24"/>
        </w:rPr>
        <w:t>p</w:t>
      </w:r>
      <w:r w:rsidRPr="006D71C7">
        <w:rPr>
          <w:b/>
          <w:bCs/>
          <w:i/>
          <w:szCs w:val="24"/>
        </w:rPr>
        <w:t>riorytetu:</w:t>
      </w:r>
    </w:p>
    <w:p w:rsidR="00FF47D3" w:rsidRPr="006D71C7" w:rsidRDefault="00407608" w:rsidP="006D71C7">
      <w:pPr>
        <w:pStyle w:val="Akapitzlist"/>
        <w:spacing w:before="120" w:after="240"/>
        <w:ind w:left="0"/>
        <w:jc w:val="both"/>
        <w:rPr>
          <w:rFonts w:eastAsia="Calibri"/>
          <w:i/>
          <w:szCs w:val="24"/>
        </w:rPr>
      </w:pPr>
      <w:r w:rsidRPr="006D71C7">
        <w:rPr>
          <w:rFonts w:eastAsia="Calibri"/>
          <w:szCs w:val="24"/>
        </w:rPr>
        <w:t xml:space="preserve">IZ RPO WSL na bieżąco monitoruje postęp wdrażania priorytetu VII zarówno w zakresie postępu finansowego jak i rzeczowego. Biorąc pod uwagę projekty wybrane do dofinansowania, IZ RPO WSL uznaje że przekazane wsparcie w pełni realizuje cele, jakie zostały założone na etapie programowania uwzględniając wyniki diagnozy społeczno-gospodarczej ujętej w </w:t>
      </w:r>
      <w:r w:rsidRPr="006D71C7">
        <w:rPr>
          <w:rFonts w:eastAsia="Calibri"/>
          <w:i/>
          <w:szCs w:val="24"/>
        </w:rPr>
        <w:t>Programie.</w:t>
      </w:r>
      <w:r w:rsidR="00FF47D3" w:rsidRPr="006D71C7">
        <w:rPr>
          <w:rFonts w:eastAsia="Calibri"/>
          <w:szCs w:val="24"/>
        </w:rPr>
        <w:t xml:space="preserve"> W kolejnym okresie sprawozdawczym IZ RPO WSL</w:t>
      </w:r>
      <w:r w:rsidR="00FF47D3" w:rsidRPr="006D71C7">
        <w:rPr>
          <w:rFonts w:eastAsia="Calibri"/>
          <w:i/>
          <w:szCs w:val="24"/>
        </w:rPr>
        <w:t xml:space="preserve"> </w:t>
      </w:r>
      <w:r w:rsidR="00FF47D3" w:rsidRPr="006D71C7">
        <w:rPr>
          <w:rFonts w:eastAsia="Calibri"/>
          <w:szCs w:val="24"/>
        </w:rPr>
        <w:t>na bieżąco będzie monitorować postęp rzeczowy i finansowy priorytetu w celu sprawnego i efektywnego wdrażania,</w:t>
      </w:r>
      <w:r w:rsidR="00BE0BFE" w:rsidRPr="006D71C7">
        <w:rPr>
          <w:rFonts w:eastAsia="Calibri"/>
          <w:szCs w:val="24"/>
        </w:rPr>
        <w:t xml:space="preserve"> ponadto</w:t>
      </w:r>
      <w:r w:rsidR="00FF47D3" w:rsidRPr="006D71C7">
        <w:rPr>
          <w:rFonts w:eastAsia="Calibri"/>
          <w:szCs w:val="24"/>
        </w:rPr>
        <w:t xml:space="preserve"> na bieżąco będzie kontaktować się z beneficjentami.</w:t>
      </w:r>
    </w:p>
    <w:p w:rsidR="00C53D11" w:rsidRDefault="00C53D11" w:rsidP="006D71C7">
      <w:pPr>
        <w:spacing w:before="100" w:beforeAutospacing="1" w:after="100" w:afterAutospacing="1" w:line="240" w:lineRule="auto"/>
        <w:jc w:val="both"/>
        <w:rPr>
          <w:b/>
          <w:i/>
        </w:rPr>
      </w:pPr>
    </w:p>
    <w:p w:rsidR="00C53D11" w:rsidRDefault="00C53D11" w:rsidP="006D71C7">
      <w:pPr>
        <w:spacing w:before="100" w:beforeAutospacing="1" w:after="100" w:afterAutospacing="1" w:line="240" w:lineRule="auto"/>
        <w:jc w:val="both"/>
        <w:rPr>
          <w:b/>
          <w:i/>
        </w:rPr>
      </w:pPr>
    </w:p>
    <w:p w:rsidR="00033790" w:rsidRPr="006D71C7" w:rsidRDefault="00033790" w:rsidP="006D71C7">
      <w:pPr>
        <w:spacing w:before="100" w:beforeAutospacing="1" w:after="100" w:afterAutospacing="1" w:line="240" w:lineRule="auto"/>
        <w:jc w:val="both"/>
        <w:rPr>
          <w:szCs w:val="24"/>
        </w:rPr>
      </w:pPr>
      <w:r w:rsidRPr="006D71C7">
        <w:rPr>
          <w:b/>
          <w:i/>
        </w:rPr>
        <w:t xml:space="preserve">Analiza </w:t>
      </w:r>
      <w:r w:rsidR="005E3FBC" w:rsidRPr="006D71C7">
        <w:rPr>
          <w:b/>
          <w:i/>
        </w:rPr>
        <w:t>jakościowa</w:t>
      </w:r>
    </w:p>
    <w:p w:rsidR="00033790" w:rsidRPr="006D71C7" w:rsidRDefault="00033790" w:rsidP="006D71C7">
      <w:pPr>
        <w:spacing w:before="100" w:beforeAutospacing="1" w:after="100" w:afterAutospacing="1"/>
        <w:jc w:val="both"/>
        <w:rPr>
          <w:bCs/>
        </w:rPr>
      </w:pPr>
      <w:r w:rsidRPr="006D71C7">
        <w:rPr>
          <w:szCs w:val="24"/>
        </w:rPr>
        <w:t xml:space="preserve">Położenie województwa śląskiego oraz określony w strategii województwa profil jego przyszłego rozwoju wskazują na kluczowe znaczenie w tym procesie infrastruktury transportowej i jej właściwego kształtowania. Z jednej strony dostępność transportowa jest istotnym czynnikiem atrakcyjności inwestycyjnej i warunków prowadzenia działalności gospodarczej, z drugiej strony stanowi ważny wyznacznik jakości życia mieszkańców i możliwości ich rozwoju. </w:t>
      </w:r>
      <w:r w:rsidRPr="006D71C7">
        <w:rPr>
          <w:sz w:val="23"/>
          <w:szCs w:val="23"/>
        </w:rPr>
        <w:t xml:space="preserve">Sieć transportowa województwa śląskiego, choć gęsta i dobrze rozbudowana, jest mocno obciążona i zużyta. Stan techniczny infrastruktury drogowej znacznie obniża parametry eksploatacyjne. Przywrócenie potencjalnej drożności dróg wymaga licznych napraw i remontów. </w:t>
      </w:r>
      <w:r w:rsidRPr="006D71C7">
        <w:rPr>
          <w:bCs/>
        </w:rPr>
        <w:t xml:space="preserve">Dlatego celem szczegółowym osi priorytetowej jest ukształtowanie efektywnego i zintegrowanego systemu transportowego. </w:t>
      </w:r>
    </w:p>
    <w:p w:rsidR="00033790" w:rsidRPr="006D71C7" w:rsidRDefault="00033790" w:rsidP="006D71C7">
      <w:pPr>
        <w:jc w:val="both"/>
        <w:rPr>
          <w:b/>
          <w:i/>
          <w:szCs w:val="24"/>
        </w:rPr>
      </w:pPr>
      <w:r w:rsidRPr="006D71C7">
        <w:rPr>
          <w:bCs/>
        </w:rPr>
        <w:t>W ramach przedmiotowego priorytetu wybudowano 45 km</w:t>
      </w:r>
      <w:r w:rsidR="005E3FBC" w:rsidRPr="006D71C7">
        <w:rPr>
          <w:bCs/>
        </w:rPr>
        <w:t xml:space="preserve"> chodników oraz przebudowano 96 </w:t>
      </w:r>
      <w:r w:rsidRPr="006D71C7">
        <w:rPr>
          <w:bCs/>
        </w:rPr>
        <w:t xml:space="preserve">km dróg powiatowych. Dzięki zrealizowanym inwestycjom nastąpiło skrócenie czasu przejazdu samochodów osobowych o </w:t>
      </w:r>
      <w:r w:rsidR="003D6481" w:rsidRPr="006D71C7">
        <w:rPr>
          <w:bCs/>
        </w:rPr>
        <w:t xml:space="preserve">44 </w:t>
      </w:r>
      <w:r w:rsidRPr="006D71C7">
        <w:rPr>
          <w:bCs/>
        </w:rPr>
        <w:t>minut</w:t>
      </w:r>
      <w:r w:rsidR="003D6481" w:rsidRPr="006D71C7">
        <w:rPr>
          <w:bCs/>
        </w:rPr>
        <w:t>y</w:t>
      </w:r>
      <w:r w:rsidRPr="006D71C7">
        <w:rPr>
          <w:bCs/>
        </w:rPr>
        <w:t>. Na uwagę zasługuje projekt</w:t>
      </w:r>
      <w:r w:rsidRPr="006D71C7">
        <w:rPr>
          <w:b/>
          <w:bCs/>
          <w:i/>
        </w:rPr>
        <w:t xml:space="preserve">: </w:t>
      </w:r>
      <w:r w:rsidRPr="006D71C7">
        <w:rPr>
          <w:b/>
          <w:i/>
          <w:szCs w:val="24"/>
        </w:rPr>
        <w:t xml:space="preserve">Przebudowa ciągu dróg powiatowych Zawiercia poprawą dostępności do drogi krajowej 78. </w:t>
      </w:r>
      <w:r w:rsidRPr="006D71C7">
        <w:t>Przedmiotem projektu była przebudowa ciągu komunikacyjnego na odcinku Zawiercie - Lgota Murowana (ul. Skalna). Przebudowany odcinek w swoim założeniu tworzy ciąg komunikacyjny, łączący centrum miasta Zawiercie z drogą krajową nr 78 w Lgoci</w:t>
      </w:r>
      <w:r w:rsidR="005E3FBC" w:rsidRPr="006D71C7">
        <w:t>e Murowanej (gmina Kroczyce). W </w:t>
      </w:r>
      <w:r w:rsidRPr="006D71C7">
        <w:t xml:space="preserve">ramach projektu przebudowano 14,8 km dróg powiatowych, wybudowano 1,55 km chodników oraz przebudowano 19,68 km utwardzonych poboczy. </w:t>
      </w:r>
    </w:p>
    <w:p w:rsidR="00033790" w:rsidRPr="006D71C7" w:rsidRDefault="00033790" w:rsidP="006D71C7">
      <w:pPr>
        <w:pStyle w:val="NormalnyWeb"/>
        <w:jc w:val="both"/>
      </w:pPr>
      <w:r w:rsidRPr="006D71C7">
        <w:rPr>
          <w:bCs/>
        </w:rPr>
        <w:t xml:space="preserve">Ponadto w ramach priorytetu wybudowano 16 skrzyżowań oraz przebudowano 103 skrzyżowania. Przykładem takiego projektu jest: </w:t>
      </w:r>
      <w:r w:rsidRPr="006D71C7">
        <w:rPr>
          <w:b/>
          <w:bCs/>
          <w:i/>
        </w:rPr>
        <w:t>Przebudowa skrzyżowania ulic Gliwickiej- Wyszyńskiego- Legionów w Tarnowskich Górach.</w:t>
      </w:r>
      <w:r w:rsidRPr="006D71C7">
        <w:rPr>
          <w:bCs/>
          <w:i/>
        </w:rPr>
        <w:t xml:space="preserve"> </w:t>
      </w:r>
      <w:r w:rsidRPr="006D71C7">
        <w:t>Przedmiotem projektu była  przebudowa skrzyżowania ulic Gliwickiej, Wyszyńskiego i Legionów oraz ulica Legionów. Skrzyżowanie stanowi bardzo istotny element sieci drogowej miasta Tarnowskie Góry jak również powiatu tarnogórskiego. Przyjęte rozwiązanie zakładało budowę ronda, które umożliwiło zwiększenie bezpieczeństwa ruchu na skrzyżowaniu – wyeliminowało problem braku widoczności z wlotu podporządkowanego, a dzięki zlokalizowaniu przejść dla pieszych przez wyspy dzielące umożliwiło przeprowadzenie pieszych przez 1 pas ruchu na raz</w:t>
      </w:r>
      <w:r w:rsidR="005D13A4" w:rsidRPr="006D71C7">
        <w:t>, u</w:t>
      </w:r>
      <w:r w:rsidRPr="006D71C7">
        <w:t>możliwi</w:t>
      </w:r>
      <w:r w:rsidR="005D13A4" w:rsidRPr="006D71C7">
        <w:t>ając</w:t>
      </w:r>
      <w:r w:rsidRPr="006D71C7">
        <w:t xml:space="preserve"> również zwiększenie płynności ruchu i jego uspokojenie. Zmodernizowany odcinek to bardzo istotny element sieci drogowej miasta, jak i powiatu. O jego przebudowie zadecydował zły stan techniczny, niezapewniający użytkownikom ruchu bezpieczeństwa, a także odpowiedniej płynności i komfortu jazdy. </w:t>
      </w:r>
      <w:r w:rsidRPr="006D71C7">
        <w:rPr>
          <w:bCs/>
          <w:iCs/>
        </w:rPr>
        <w:t xml:space="preserve">Projekt znalazł się w finałowym - drugim etapie konkursu o tytuł </w:t>
      </w:r>
      <w:r w:rsidRPr="006D71C7">
        <w:rPr>
          <w:bCs/>
          <w:i/>
          <w:iCs/>
        </w:rPr>
        <w:t>„Modernizacji Roku 2009”.</w:t>
      </w:r>
    </w:p>
    <w:p w:rsidR="00C43B75" w:rsidRDefault="005D2D53" w:rsidP="00C43B75">
      <w:pPr>
        <w:spacing w:before="100" w:beforeAutospacing="1" w:after="240"/>
        <w:jc w:val="both"/>
      </w:pPr>
      <w:r w:rsidRPr="006D71C7">
        <w:rPr>
          <w:noProof/>
          <w:sz w:val="23"/>
          <w:szCs w:val="23"/>
        </w:rPr>
        <w:drawing>
          <wp:anchor distT="0" distB="0" distL="114300" distR="114300" simplePos="0" relativeHeight="251763200" behindDoc="0" locked="0" layoutInCell="1" allowOverlap="1">
            <wp:simplePos x="0" y="0"/>
            <wp:positionH relativeFrom="margin">
              <wp:align>left</wp:align>
            </wp:positionH>
            <wp:positionV relativeFrom="margin">
              <wp:posOffset>3352165</wp:posOffset>
            </wp:positionV>
            <wp:extent cx="2713355" cy="1945640"/>
            <wp:effectExtent l="19050" t="0" r="0" b="0"/>
            <wp:wrapSquare wrapText="bothSides"/>
            <wp:docPr id="224" name="zdj1" descr="http://rpo.slaskie.pl/zalaczniki/2011/03/14/1300088364.jpg">
              <a:hlinkClick xmlns:a="http://schemas.openxmlformats.org/drawingml/2006/main" r:id="rId1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1/03/14/1300088364.jpg">
                      <a:hlinkClick r:id="rId131" tooltip="&quot;&quot;"/>
                    </pic:cNvPr>
                    <pic:cNvPicPr>
                      <a:picLocks noChangeAspect="1" noChangeArrowheads="1"/>
                    </pic:cNvPicPr>
                  </pic:nvPicPr>
                  <pic:blipFill>
                    <a:blip r:embed="rId132" cstate="print"/>
                    <a:srcRect/>
                    <a:stretch>
                      <a:fillRect/>
                    </a:stretch>
                  </pic:blipFill>
                  <pic:spPr bwMode="auto">
                    <a:xfrm>
                      <a:off x="0" y="0"/>
                      <a:ext cx="2713355" cy="1945640"/>
                    </a:xfrm>
                    <a:prstGeom prst="rect">
                      <a:avLst/>
                    </a:prstGeom>
                    <a:noFill/>
                    <a:ln w="9525">
                      <a:noFill/>
                      <a:miter lim="800000"/>
                      <a:headEnd/>
                      <a:tailEnd/>
                    </a:ln>
                  </pic:spPr>
                </pic:pic>
              </a:graphicData>
            </a:graphic>
          </wp:anchor>
        </w:drawing>
      </w:r>
      <w:r w:rsidR="00033790" w:rsidRPr="006D71C7">
        <w:rPr>
          <w:sz w:val="23"/>
          <w:szCs w:val="23"/>
        </w:rPr>
        <w:t>Uzupełnieniem infrastruktury drogowej w ramach systemu transportowego jest transport publiczny, którego rola odnosi się do poprawy spójnoś</w:t>
      </w:r>
      <w:r w:rsidRPr="006D71C7">
        <w:rPr>
          <w:sz w:val="23"/>
          <w:szCs w:val="23"/>
        </w:rPr>
        <w:t>ci społecznej i przestrzennej w </w:t>
      </w:r>
      <w:r w:rsidR="00033790" w:rsidRPr="006D71C7">
        <w:rPr>
          <w:sz w:val="23"/>
          <w:szCs w:val="23"/>
        </w:rPr>
        <w:t xml:space="preserve">poszczególnych ośrodkach miejskich, a także utworzenia szybkich połączeń poprawiających spójność całego województwa. Dzięki wsparciu z RPO WSL zwiększyła się pojemność środków transportu komunikacji miejskiej, uzyskano 1 938 nowych miejsc. Na uwagę zasługuje projekt kluczowy: </w:t>
      </w:r>
      <w:r w:rsidR="00033790" w:rsidRPr="006D71C7">
        <w:rPr>
          <w:b/>
          <w:i/>
        </w:rPr>
        <w:t>Dostawa Elektrycznych Zespołów Trakcyjnych do wykonywania pasażerskich przewozów regionalnych</w:t>
      </w:r>
      <w:r w:rsidR="00033790" w:rsidRPr="006D71C7">
        <w:rPr>
          <w:b/>
        </w:rPr>
        <w:t xml:space="preserve">, </w:t>
      </w:r>
      <w:r w:rsidR="00033790" w:rsidRPr="006D71C7">
        <w:t>którego beneficjentem jest Województwo Śląskie.</w:t>
      </w:r>
      <w:r w:rsidR="00033790" w:rsidRPr="006D71C7">
        <w:rPr>
          <w:b/>
        </w:rPr>
        <w:t xml:space="preserve"> </w:t>
      </w:r>
      <w:r w:rsidRPr="006D71C7">
        <w:t>W </w:t>
      </w:r>
      <w:r w:rsidR="00033790" w:rsidRPr="006D71C7">
        <w:t>ramach projektu zakupiono</w:t>
      </w:r>
      <w:r w:rsidR="00033790" w:rsidRPr="006D71C7">
        <w:rPr>
          <w:b/>
        </w:rPr>
        <w:t xml:space="preserve"> </w:t>
      </w:r>
      <w:r w:rsidR="00033790" w:rsidRPr="006D71C7">
        <w:t>8 elektrycznych zespołów trakcyjnych</w:t>
      </w:r>
      <w:r w:rsidRPr="006D71C7">
        <w:t xml:space="preserve"> (ELF)</w:t>
      </w:r>
      <w:r w:rsidR="00033790" w:rsidRPr="006D71C7">
        <w:t xml:space="preserve">, a następnie udostępniono </w:t>
      </w:r>
      <w:r w:rsidRPr="006D71C7">
        <w:t xml:space="preserve">pociągi </w:t>
      </w:r>
      <w:r w:rsidR="00033790" w:rsidRPr="006D71C7">
        <w:rPr>
          <w:i/>
        </w:rPr>
        <w:t>Kolejom Śląskim</w:t>
      </w:r>
      <w:r w:rsidR="00033790" w:rsidRPr="006D71C7">
        <w:t>, przewoźnikowi kolejowemu do wykonywania pasażerskich przewozów regionalnych. ELF jest niskopodłogowym, ele</w:t>
      </w:r>
      <w:r w:rsidRPr="006D71C7">
        <w:t>ktrycznym zespołem trakcyjnym o </w:t>
      </w:r>
      <w:r w:rsidR="00033790" w:rsidRPr="006D71C7">
        <w:t xml:space="preserve">liczbie miejsc siedzących większej lub równej 200, nominalnej pojemności pojazdu większej lub równej 450 (miejsc siedzących i stojących),  klimatyzowany, a także będzie przystosowany do prędkości max. 160 km/h. Ponadto pojazd wyposażony jest w zewnętrzny system informacji dla pasażera, system videomonitoringu części pasażerskiej, system audio umożliwiający emisję komunikatów oraz wyświetlacze systemu informacji pasażerskiej, posiada także kabinę WC z układem zamkniętym, przystosowaną do obsługi osób niepełnosprawnych. </w:t>
      </w:r>
      <w:r w:rsidRPr="006D71C7">
        <w:t>Zakup nowoczesnych elektry</w:t>
      </w:r>
      <w:r w:rsidR="000147E5">
        <w:t>cznych zespołów trakcyjnych dał </w:t>
      </w:r>
      <w:r w:rsidRPr="006D71C7">
        <w:t xml:space="preserve">możliwość zaoferowania regionalnych przewozów pasażerskich wysoko sprawnym, nowoczesnym taborem kolejowym. </w:t>
      </w:r>
      <w:r w:rsidR="005D13A4" w:rsidRPr="006D71C7">
        <w:t>P</w:t>
      </w:r>
      <w:r w:rsidRPr="006D71C7">
        <w:t>odn</w:t>
      </w:r>
      <w:r w:rsidR="005D13A4" w:rsidRPr="006D71C7">
        <w:t>osi</w:t>
      </w:r>
      <w:r w:rsidRPr="006D71C7">
        <w:t xml:space="preserve"> </w:t>
      </w:r>
      <w:r w:rsidR="005D13A4" w:rsidRPr="006D71C7">
        <w:t xml:space="preserve">to </w:t>
      </w:r>
      <w:r w:rsidRPr="006D71C7">
        <w:t>konkurencyjność transportu kolejowego wobec transportu drogowego, bardzo uciążliwego w obszarach centralnych aglomeracji śląskiej. Nowoczesny tabor został wprowadzony na istotne połączenia kolejowe w regionie (Częstochowa – Gliwice)</w:t>
      </w:r>
      <w:r w:rsidR="005D13A4" w:rsidRPr="006D71C7">
        <w:t>,</w:t>
      </w:r>
      <w:r w:rsidRPr="006D71C7">
        <w:t xml:space="preserve"> </w:t>
      </w:r>
      <w:r w:rsidR="005D13A4" w:rsidRPr="006D71C7">
        <w:t>a</w:t>
      </w:r>
      <w:r w:rsidRPr="006D71C7">
        <w:t>by zwiększyć standard i bezpieczeństwo podróży, a tym samym zainteresowanie komunikacją kolejową.</w:t>
      </w:r>
    </w:p>
    <w:p w:rsidR="0060162D" w:rsidRPr="0060162D" w:rsidRDefault="0060162D" w:rsidP="0060162D">
      <w:pPr>
        <w:jc w:val="both"/>
        <w:rPr>
          <w:b/>
          <w:i/>
          <w:szCs w:val="24"/>
        </w:rPr>
      </w:pPr>
      <w:r>
        <w:rPr>
          <w:szCs w:val="24"/>
        </w:rPr>
        <w:t xml:space="preserve">W ramach przedmiotowego obszaru tj. transport na terenie województwa śląskiego realizowane są także projekty w ramach jednego krajowego programu operacyjnego. Szczegółowe informacje zostały przedstawione w pkt. 2.1.6.2 niniejszego </w:t>
      </w:r>
      <w:r w:rsidRPr="0060162D">
        <w:rPr>
          <w:i/>
          <w:szCs w:val="24"/>
        </w:rPr>
        <w:t>Sprawozdania</w:t>
      </w:r>
      <w:r>
        <w:rPr>
          <w:i/>
          <w:szCs w:val="24"/>
        </w:rPr>
        <w:t>.</w:t>
      </w:r>
    </w:p>
    <w:p w:rsidR="0005410E" w:rsidRPr="006D71C7" w:rsidRDefault="0005410E" w:rsidP="00BA2FE7">
      <w:pPr>
        <w:pStyle w:val="Nagwek1"/>
        <w:numPr>
          <w:ilvl w:val="2"/>
          <w:numId w:val="63"/>
        </w:numPr>
        <w:tabs>
          <w:tab w:val="left" w:pos="1418"/>
        </w:tabs>
        <w:spacing w:before="240" w:after="120"/>
        <w:ind w:left="1134" w:hanging="283"/>
        <w:jc w:val="both"/>
        <w:rPr>
          <w:bCs w:val="0"/>
          <w:szCs w:val="24"/>
        </w:rPr>
      </w:pPr>
      <w:bookmarkStart w:id="557" w:name="_Toc262031974"/>
      <w:bookmarkStart w:id="558" w:name="_Toc292789320"/>
      <w:bookmarkStart w:id="559" w:name="_Toc292793619"/>
      <w:bookmarkStart w:id="560" w:name="_Toc324853933"/>
      <w:bookmarkStart w:id="561" w:name="_Toc327259285"/>
      <w:bookmarkEnd w:id="496"/>
      <w:r w:rsidRPr="006D71C7">
        <w:rPr>
          <w:bCs w:val="0"/>
          <w:szCs w:val="24"/>
        </w:rPr>
        <w:t>Opis istotnych problemów we wdrażaniu wraz z podjętymi środkami zaradczymi</w:t>
      </w:r>
      <w:bookmarkEnd w:id="557"/>
      <w:bookmarkEnd w:id="558"/>
      <w:bookmarkEnd w:id="559"/>
      <w:bookmarkEnd w:id="560"/>
      <w:bookmarkEnd w:id="561"/>
    </w:p>
    <w:p w:rsidR="005D2D53" w:rsidRPr="006D71C7" w:rsidRDefault="005D2D53" w:rsidP="006D71C7">
      <w:pPr>
        <w:widowControl w:val="0"/>
        <w:autoSpaceDE w:val="0"/>
        <w:autoSpaceDN w:val="0"/>
        <w:adjustRightInd w:val="0"/>
        <w:spacing w:after="0"/>
        <w:jc w:val="both"/>
        <w:rPr>
          <w:szCs w:val="24"/>
        </w:rPr>
      </w:pPr>
      <w:bookmarkStart w:id="562" w:name="_Toc262031975"/>
      <w:bookmarkStart w:id="563" w:name="_Toc292789321"/>
      <w:bookmarkStart w:id="564" w:name="_Toc292793620"/>
      <w:r w:rsidRPr="006D71C7">
        <w:rPr>
          <w:szCs w:val="24"/>
        </w:rPr>
        <w:t xml:space="preserve">W okresie sprawozdawczym nie pojawiły się problemy z wdrażaniem przedmiotowego priorytetu. </w:t>
      </w:r>
    </w:p>
    <w:p w:rsidR="00377AFF" w:rsidRPr="006D71C7" w:rsidRDefault="0067068B" w:rsidP="00BA2FE7">
      <w:pPr>
        <w:pStyle w:val="Nagwek1"/>
        <w:numPr>
          <w:ilvl w:val="1"/>
          <w:numId w:val="63"/>
        </w:numPr>
        <w:pBdr>
          <w:top w:val="single" w:sz="24" w:space="1" w:color="EE8C69" w:themeColor="accent1" w:themeTint="99"/>
          <w:left w:val="single" w:sz="24" w:space="4" w:color="EE8C69" w:themeColor="accent1" w:themeTint="99"/>
          <w:bottom w:val="single" w:sz="24" w:space="1" w:color="EE8C69" w:themeColor="accent1" w:themeTint="99"/>
          <w:right w:val="single" w:sz="24" w:space="4" w:color="EE8C69" w:themeColor="accent1" w:themeTint="99"/>
        </w:pBdr>
        <w:tabs>
          <w:tab w:val="left" w:pos="1418"/>
        </w:tabs>
        <w:spacing w:before="240" w:after="120"/>
        <w:jc w:val="both"/>
        <w:rPr>
          <w:bCs w:val="0"/>
          <w:szCs w:val="24"/>
        </w:rPr>
      </w:pPr>
      <w:bookmarkStart w:id="565" w:name="_Toc327259286"/>
      <w:r w:rsidRPr="006D71C7">
        <w:rPr>
          <w:bCs w:val="0"/>
          <w:szCs w:val="24"/>
        </w:rPr>
        <w:t>PRIORYTET</w:t>
      </w:r>
      <w:r w:rsidR="0005410E" w:rsidRPr="006D71C7">
        <w:rPr>
          <w:bCs w:val="0"/>
          <w:szCs w:val="24"/>
        </w:rPr>
        <w:t xml:space="preserve"> VIII – </w:t>
      </w:r>
      <w:bookmarkEnd w:id="562"/>
      <w:bookmarkEnd w:id="563"/>
      <w:bookmarkEnd w:id="564"/>
      <w:r w:rsidRPr="006D71C7">
        <w:rPr>
          <w:bCs w:val="0"/>
          <w:szCs w:val="24"/>
        </w:rPr>
        <w:t>INFRASTRUKTURA EDUKACYJNA</w:t>
      </w:r>
      <w:bookmarkEnd w:id="565"/>
    </w:p>
    <w:p w:rsidR="004A2760" w:rsidRPr="006D71C7" w:rsidRDefault="004A2760" w:rsidP="00BA2FE7">
      <w:pPr>
        <w:pStyle w:val="Nagwek1"/>
        <w:numPr>
          <w:ilvl w:val="2"/>
          <w:numId w:val="63"/>
        </w:numPr>
        <w:tabs>
          <w:tab w:val="left" w:pos="1418"/>
        </w:tabs>
        <w:spacing w:before="240" w:after="120"/>
        <w:ind w:left="1134" w:hanging="283"/>
        <w:jc w:val="both"/>
      </w:pPr>
      <w:bookmarkStart w:id="566" w:name="_Toc292793621"/>
      <w:bookmarkStart w:id="567" w:name="_Toc324853935"/>
      <w:bookmarkStart w:id="568" w:name="_Toc327259287"/>
      <w:r w:rsidRPr="006D71C7">
        <w:t>Osiągnięcie celów i analiza postępów</w:t>
      </w:r>
      <w:bookmarkEnd w:id="566"/>
      <w:bookmarkEnd w:id="567"/>
      <w:bookmarkEnd w:id="568"/>
    </w:p>
    <w:p w:rsidR="00377AFF" w:rsidRPr="006D71C7" w:rsidRDefault="00377AFF" w:rsidP="00BA2FE7">
      <w:pPr>
        <w:pStyle w:val="Nagwek1"/>
        <w:numPr>
          <w:ilvl w:val="3"/>
          <w:numId w:val="63"/>
        </w:numPr>
        <w:tabs>
          <w:tab w:val="left" w:pos="1418"/>
        </w:tabs>
        <w:spacing w:before="240" w:after="120"/>
        <w:jc w:val="both"/>
      </w:pPr>
      <w:bookmarkStart w:id="569" w:name="_Toc324853936"/>
      <w:bookmarkStart w:id="570" w:name="_Toc327259288"/>
      <w:r w:rsidRPr="006D71C7">
        <w:t>Informacje na temat fizycznych i finansowych postępów priorytetu</w:t>
      </w:r>
      <w:bookmarkEnd w:id="569"/>
      <w:bookmarkEnd w:id="570"/>
    </w:p>
    <w:p w:rsidR="0067068B" w:rsidRPr="006D71C7" w:rsidRDefault="0067068B" w:rsidP="006D71C7">
      <w:pPr>
        <w:pStyle w:val="Nagwek2"/>
        <w:numPr>
          <w:ilvl w:val="0"/>
          <w:numId w:val="0"/>
        </w:numPr>
        <w:spacing w:before="0" w:beforeAutospacing="0" w:after="120" w:afterAutospacing="0" w:line="276" w:lineRule="auto"/>
        <w:jc w:val="both"/>
        <w:rPr>
          <w:b w:val="0"/>
          <w:sz w:val="24"/>
          <w:szCs w:val="24"/>
        </w:rPr>
      </w:pPr>
      <w:bookmarkStart w:id="571" w:name="_Toc324786878"/>
      <w:bookmarkStart w:id="572" w:name="_Toc324853937"/>
      <w:bookmarkStart w:id="573" w:name="_Toc327259289"/>
      <w:r w:rsidRPr="006D71C7">
        <w:rPr>
          <w:b w:val="0"/>
          <w:sz w:val="24"/>
          <w:szCs w:val="24"/>
        </w:rPr>
        <w:t>W załącznik</w:t>
      </w:r>
      <w:r w:rsidR="00C41F80"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dla priorytetu VI</w:t>
      </w:r>
      <w:r w:rsidR="00033790" w:rsidRPr="006D71C7">
        <w:rPr>
          <w:b w:val="0"/>
          <w:sz w:val="24"/>
          <w:szCs w:val="24"/>
        </w:rPr>
        <w:t>I</w:t>
      </w:r>
      <w:r w:rsidRPr="006D71C7">
        <w:rPr>
          <w:b w:val="0"/>
          <w:sz w:val="24"/>
          <w:szCs w:val="24"/>
        </w:rPr>
        <w:t xml:space="preserve">I, dla kolejnych lat w ujęciu kumulatywnym. Przedstawione informacje prezentowane według stanu na koniec 2011 roku </w:t>
      </w:r>
      <w:r w:rsidR="00CC230E" w:rsidRPr="006D71C7">
        <w:rPr>
          <w:b w:val="0"/>
          <w:sz w:val="24"/>
          <w:szCs w:val="24"/>
        </w:rPr>
        <w:t xml:space="preserve">oparte zostały </w:t>
      </w:r>
      <w:r w:rsidRPr="006D71C7">
        <w:rPr>
          <w:b w:val="0"/>
          <w:sz w:val="24"/>
          <w:szCs w:val="24"/>
        </w:rPr>
        <w:t>na danych dotyczących operacji zakończonych. Określone zostały wartości docelowe dla 2010, 2013 i 2015 roku oraz zaprezentowano szacowaną wartość na podstawie podpisanych umów o dofinansowanie. Przedstawiono także wskaźniki przedmiotowego priorytetu w podziale na działania i poddziałania.</w:t>
      </w:r>
      <w:bookmarkEnd w:id="571"/>
      <w:bookmarkEnd w:id="572"/>
      <w:bookmarkEnd w:id="573"/>
    </w:p>
    <w:p w:rsidR="00245F70" w:rsidRPr="006D71C7" w:rsidRDefault="00763B83" w:rsidP="00BA2FE7">
      <w:pPr>
        <w:pStyle w:val="Nagwek1"/>
        <w:numPr>
          <w:ilvl w:val="3"/>
          <w:numId w:val="63"/>
        </w:numPr>
        <w:tabs>
          <w:tab w:val="left" w:pos="1418"/>
        </w:tabs>
        <w:spacing w:before="240" w:after="120"/>
        <w:jc w:val="both"/>
        <w:rPr>
          <w:b w:val="0"/>
          <w:i/>
        </w:rPr>
      </w:pPr>
      <w:bookmarkStart w:id="574" w:name="_Toc324853938"/>
      <w:bookmarkStart w:id="575" w:name="_Toc327259290"/>
      <w:r w:rsidRPr="006D71C7">
        <w:rPr>
          <w:i/>
        </w:rPr>
        <w:t>Analiza jakościowa (poziom priorytetu)</w:t>
      </w:r>
      <w:bookmarkEnd w:id="574"/>
      <w:bookmarkEnd w:id="575"/>
    </w:p>
    <w:p w:rsidR="00377AFF" w:rsidRPr="006D71C7" w:rsidRDefault="0067068B" w:rsidP="006D71C7">
      <w:pPr>
        <w:jc w:val="both"/>
        <w:rPr>
          <w:b/>
          <w:i/>
        </w:rPr>
      </w:pPr>
      <w:r w:rsidRPr="006D71C7">
        <w:rPr>
          <w:b/>
          <w:i/>
        </w:rPr>
        <w:t>Informacje ogólne</w:t>
      </w:r>
    </w:p>
    <w:p w:rsidR="00377AFF" w:rsidRPr="006D71C7" w:rsidRDefault="00377AFF" w:rsidP="006D71C7">
      <w:pPr>
        <w:spacing w:before="240"/>
        <w:jc w:val="both"/>
        <w:rPr>
          <w:szCs w:val="24"/>
        </w:rPr>
      </w:pPr>
      <w:r w:rsidRPr="006D71C7">
        <w:rPr>
          <w:szCs w:val="24"/>
        </w:rPr>
        <w:t xml:space="preserve">Celem głównym </w:t>
      </w:r>
      <w:r w:rsidR="009428B6" w:rsidRPr="006D71C7">
        <w:rPr>
          <w:szCs w:val="24"/>
        </w:rPr>
        <w:t>p</w:t>
      </w:r>
      <w:r w:rsidRPr="006D71C7">
        <w:rPr>
          <w:szCs w:val="24"/>
        </w:rPr>
        <w:t xml:space="preserve">riorytetu VIII jest </w:t>
      </w:r>
      <w:r w:rsidRPr="006D71C7">
        <w:rPr>
          <w:i/>
          <w:szCs w:val="24"/>
        </w:rPr>
        <w:t>stworzenie waru</w:t>
      </w:r>
      <w:r w:rsidR="00DE2931" w:rsidRPr="006D71C7">
        <w:rPr>
          <w:i/>
          <w:szCs w:val="24"/>
        </w:rPr>
        <w:t>nków do rozwoju społeczeństwa o </w:t>
      </w:r>
      <w:r w:rsidRPr="006D71C7">
        <w:rPr>
          <w:i/>
          <w:szCs w:val="24"/>
        </w:rPr>
        <w:t>wysokich kwalifikacjach zawodowych, poszukiwanych na rynku pracy</w:t>
      </w:r>
      <w:r w:rsidRPr="006D71C7">
        <w:rPr>
          <w:szCs w:val="24"/>
        </w:rPr>
        <w:t>. W ramach priorytetu wspierane są projekty w zakresie szkolnictwa wyższe</w:t>
      </w:r>
      <w:r w:rsidR="00DE2931" w:rsidRPr="006D71C7">
        <w:rPr>
          <w:szCs w:val="24"/>
        </w:rPr>
        <w:t>go, infrastruktury oświatowej i </w:t>
      </w:r>
      <w:r w:rsidRPr="006D71C7">
        <w:rPr>
          <w:szCs w:val="24"/>
        </w:rPr>
        <w:t>infrastruktury kształcenia ustawicznego.</w:t>
      </w:r>
    </w:p>
    <w:p w:rsidR="00377AFF" w:rsidRPr="006D71C7" w:rsidRDefault="00377AFF" w:rsidP="006D71C7">
      <w:pPr>
        <w:spacing w:after="0"/>
        <w:jc w:val="both"/>
        <w:rPr>
          <w:szCs w:val="24"/>
        </w:rPr>
      </w:pPr>
      <w:r w:rsidRPr="006D71C7">
        <w:rPr>
          <w:szCs w:val="24"/>
        </w:rPr>
        <w:t>Realizacji priorytetu służyć mają trzy działania:</w:t>
      </w:r>
    </w:p>
    <w:p w:rsidR="00377AFF" w:rsidRPr="006D71C7" w:rsidRDefault="00377AFF" w:rsidP="00BA2FE7">
      <w:pPr>
        <w:pStyle w:val="Akapitzlist"/>
        <w:numPr>
          <w:ilvl w:val="0"/>
          <w:numId w:val="11"/>
        </w:numPr>
        <w:spacing w:after="0"/>
        <w:jc w:val="both"/>
        <w:rPr>
          <w:i/>
          <w:szCs w:val="24"/>
        </w:rPr>
      </w:pPr>
      <w:r w:rsidRPr="006D71C7">
        <w:rPr>
          <w:i/>
          <w:szCs w:val="24"/>
        </w:rPr>
        <w:t>8.1 Infrastruktura szkolnictwa wyższego,</w:t>
      </w:r>
    </w:p>
    <w:p w:rsidR="00377AFF" w:rsidRPr="006D71C7" w:rsidRDefault="00377AFF" w:rsidP="00BA2FE7">
      <w:pPr>
        <w:pStyle w:val="Akapitzlist"/>
        <w:numPr>
          <w:ilvl w:val="0"/>
          <w:numId w:val="11"/>
        </w:numPr>
        <w:spacing w:after="0"/>
        <w:jc w:val="both"/>
        <w:rPr>
          <w:i/>
          <w:szCs w:val="24"/>
        </w:rPr>
      </w:pPr>
      <w:r w:rsidRPr="006D71C7">
        <w:rPr>
          <w:i/>
          <w:szCs w:val="24"/>
        </w:rPr>
        <w:t>8.2 Infrastruktura placówek oświaty,</w:t>
      </w:r>
    </w:p>
    <w:p w:rsidR="00377AFF" w:rsidRPr="006D71C7" w:rsidRDefault="00377AFF" w:rsidP="00BA2FE7">
      <w:pPr>
        <w:pStyle w:val="Akapitzlist"/>
        <w:numPr>
          <w:ilvl w:val="0"/>
          <w:numId w:val="11"/>
        </w:numPr>
        <w:spacing w:after="0"/>
        <w:jc w:val="both"/>
        <w:rPr>
          <w:i/>
          <w:szCs w:val="24"/>
        </w:rPr>
      </w:pPr>
      <w:r w:rsidRPr="006D71C7">
        <w:rPr>
          <w:i/>
          <w:szCs w:val="24"/>
        </w:rPr>
        <w:t>8.3 Infrastruktura kształcenia ustawicznego.</w:t>
      </w:r>
    </w:p>
    <w:p w:rsidR="00377AFF" w:rsidRPr="006D71C7" w:rsidRDefault="00377AFF" w:rsidP="006D71C7">
      <w:pPr>
        <w:spacing w:before="240"/>
        <w:jc w:val="both"/>
        <w:rPr>
          <w:i/>
          <w:szCs w:val="24"/>
        </w:rPr>
      </w:pPr>
      <w:r w:rsidRPr="006D71C7">
        <w:rPr>
          <w:szCs w:val="24"/>
        </w:rPr>
        <w:t xml:space="preserve">Na realizację Priorytetu VIII alokowano 82 480 000 EUR pochodzących z EFRR, co stanowi </w:t>
      </w:r>
      <w:r w:rsidR="00A75D5A" w:rsidRPr="006D71C7">
        <w:rPr>
          <w:szCs w:val="24"/>
        </w:rPr>
        <w:t>5</w:t>
      </w:r>
      <w:r w:rsidRPr="006D71C7">
        <w:rPr>
          <w:szCs w:val="24"/>
        </w:rPr>
        <w:t xml:space="preserve">% wartości </w:t>
      </w:r>
      <w:r w:rsidRPr="006D71C7">
        <w:rPr>
          <w:i/>
          <w:szCs w:val="24"/>
        </w:rPr>
        <w:t>Programu.</w:t>
      </w:r>
    </w:p>
    <w:p w:rsidR="00A75D5A" w:rsidRPr="006D71C7" w:rsidRDefault="00A75D5A" w:rsidP="006D71C7">
      <w:pPr>
        <w:widowControl w:val="0"/>
        <w:autoSpaceDE w:val="0"/>
        <w:autoSpaceDN w:val="0"/>
        <w:adjustRightInd w:val="0"/>
        <w:spacing w:after="120"/>
        <w:ind w:right="-23"/>
        <w:jc w:val="both"/>
        <w:rPr>
          <w:szCs w:val="24"/>
        </w:rPr>
      </w:pPr>
      <w:r w:rsidRPr="006D71C7">
        <w:rPr>
          <w:szCs w:val="24"/>
        </w:rPr>
        <w:t xml:space="preserve">Opis wkładu priorytetu w promowanie równości szans kobiet i mężczyzn znajduje się w pkt. 2.2.1 </w:t>
      </w:r>
      <w:r w:rsidRPr="006D71C7">
        <w:rPr>
          <w:i/>
          <w:szCs w:val="24"/>
        </w:rPr>
        <w:t>Sprawozdania.</w:t>
      </w:r>
    </w:p>
    <w:p w:rsidR="00A75D5A" w:rsidRPr="006D71C7" w:rsidRDefault="00A75D5A" w:rsidP="006D71C7">
      <w:pPr>
        <w:widowControl w:val="0"/>
        <w:autoSpaceDE w:val="0"/>
        <w:autoSpaceDN w:val="0"/>
        <w:adjustRightInd w:val="0"/>
        <w:spacing w:after="120"/>
        <w:ind w:right="-23"/>
        <w:jc w:val="both"/>
        <w:rPr>
          <w:szCs w:val="24"/>
        </w:rPr>
      </w:pPr>
      <w:r w:rsidRPr="006D71C7">
        <w:rPr>
          <w:szCs w:val="24"/>
        </w:rPr>
        <w:t>W ramach priorytetu nie przewidziano finansowania krzyżowego</w:t>
      </w:r>
      <w:r w:rsidRPr="006D71C7">
        <w:rPr>
          <w:i/>
          <w:szCs w:val="24"/>
        </w:rPr>
        <w:t>.</w:t>
      </w:r>
    </w:p>
    <w:p w:rsidR="00A75D5A" w:rsidRPr="006D71C7" w:rsidRDefault="00A75D5A" w:rsidP="006D71C7">
      <w:pPr>
        <w:widowControl w:val="0"/>
        <w:autoSpaceDE w:val="0"/>
        <w:autoSpaceDN w:val="0"/>
        <w:adjustRightInd w:val="0"/>
        <w:spacing w:after="120"/>
        <w:ind w:right="-23"/>
        <w:jc w:val="both"/>
        <w:rPr>
          <w:szCs w:val="24"/>
        </w:rPr>
      </w:pPr>
      <w:r w:rsidRPr="006D71C7">
        <w:rPr>
          <w:szCs w:val="24"/>
        </w:rPr>
        <w:t>IZ RPO WSL nie planuje żadnych zmian w alokacji priorytetu.</w:t>
      </w:r>
    </w:p>
    <w:p w:rsidR="00A75D5A" w:rsidRPr="006D71C7" w:rsidRDefault="00A75D5A" w:rsidP="006D71C7">
      <w:pPr>
        <w:widowControl w:val="0"/>
        <w:autoSpaceDE w:val="0"/>
        <w:autoSpaceDN w:val="0"/>
        <w:adjustRightInd w:val="0"/>
        <w:spacing w:after="120"/>
        <w:ind w:right="-23"/>
        <w:jc w:val="both"/>
        <w:rPr>
          <w:i/>
          <w:szCs w:val="24"/>
        </w:rPr>
      </w:pPr>
      <w:r w:rsidRPr="006D71C7">
        <w:rPr>
          <w:szCs w:val="24"/>
        </w:rPr>
        <w:t xml:space="preserve">W poprzednim okresie sprawozdawczym przeprowadzone zostało badania ewaluacyjne dot. zakresu  priorytetu IX: </w:t>
      </w:r>
      <w:r w:rsidRPr="006D71C7">
        <w:rPr>
          <w:i/>
          <w:szCs w:val="24"/>
        </w:rPr>
        <w:t xml:space="preserve">Wpływ inwestycji w sprzęt medyczny w ramach RPO WSL na poprawę jakości i zwiększenie dostępności świadczeń zdrowotnych na terenie województwa śląskiego. </w:t>
      </w:r>
      <w:r w:rsidRPr="006D71C7">
        <w:rPr>
          <w:szCs w:val="24"/>
        </w:rPr>
        <w:t xml:space="preserve">Szczegółowe informacje dot. ww. badania zostały przedstawione w </w:t>
      </w:r>
      <w:r w:rsidRPr="006D71C7">
        <w:rPr>
          <w:i/>
          <w:szCs w:val="24"/>
        </w:rPr>
        <w:t>Sprawozdaniu rocznym z realizacji RPO WSL w 2010 roku.</w:t>
      </w:r>
    </w:p>
    <w:p w:rsidR="00A75D5A" w:rsidRPr="006D71C7" w:rsidRDefault="00A75D5A" w:rsidP="006D71C7">
      <w:pPr>
        <w:spacing w:after="120"/>
        <w:jc w:val="both"/>
        <w:rPr>
          <w:b/>
          <w:i/>
        </w:rPr>
      </w:pPr>
      <w:r w:rsidRPr="006D71C7">
        <w:rPr>
          <w:b/>
          <w:i/>
        </w:rPr>
        <w:t>Postęp wdrażania priorytetu VIII</w:t>
      </w:r>
    </w:p>
    <w:p w:rsidR="00A75D5A" w:rsidRPr="006D71C7" w:rsidRDefault="00A75D5A" w:rsidP="006D71C7">
      <w:pPr>
        <w:spacing w:after="120"/>
        <w:jc w:val="both"/>
      </w:pPr>
      <w:r w:rsidRPr="006D71C7">
        <w:t xml:space="preserve">Analizując poniższy wykres można zauważyć, że pod koniec 2011 r. największy wzrost w porównaniu z poprzednim okresem sprawozdawczym występował w płatnościach (45%) oraz w deklaracjach zatwierdzonych przez IC, których poziom wynosił 43%. </w:t>
      </w:r>
      <w:r w:rsidRPr="006D71C7">
        <w:br/>
        <w:t>Powyższa sytuacja wynika z cyklu życia projektu, gdzie w pierwszym okresie rośnie wskaźnik wniosków wybranych do dofinansowania</w:t>
      </w:r>
      <w:r w:rsidR="00C41F80" w:rsidRPr="006D71C7">
        <w:t>,</w:t>
      </w:r>
      <w:r w:rsidRPr="006D71C7">
        <w:t xml:space="preserve"> a </w:t>
      </w:r>
      <w:r w:rsidR="008A4A6F" w:rsidRPr="006D71C7">
        <w:t>następnie</w:t>
      </w:r>
      <w:r w:rsidRPr="006D71C7">
        <w:t xml:space="preserve"> </w:t>
      </w:r>
      <w:r w:rsidR="008A4A6F" w:rsidRPr="006D71C7">
        <w:t xml:space="preserve">nabierają tempa pozostałe wskaźniki m.in. płatności. </w:t>
      </w:r>
      <w:r w:rsidRPr="006D71C7">
        <w:t>W związku z tym, że w ramach przedmiotowego priorytetu wszystkie konkursy zostały już ogłoszone, poziom kontraktacji kształtował się na wysokim poziomie tj. 85%.</w:t>
      </w:r>
    </w:p>
    <w:p w:rsidR="00A75D5A" w:rsidRPr="006D71C7" w:rsidRDefault="00A75D5A" w:rsidP="006D71C7">
      <w:pPr>
        <w:spacing w:after="120"/>
        <w:jc w:val="both"/>
      </w:pPr>
      <w:r w:rsidRPr="006D71C7">
        <w:rPr>
          <w:noProof/>
        </w:rPr>
        <w:drawing>
          <wp:inline distT="0" distB="0" distL="0" distR="0">
            <wp:extent cx="5762995" cy="2902688"/>
            <wp:effectExtent l="38100" t="19050" r="28205" b="0"/>
            <wp:docPr id="24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C43B75" w:rsidRDefault="00C43B75" w:rsidP="00C43B75">
      <w:pPr>
        <w:pStyle w:val="Legenda"/>
        <w:rPr>
          <w:b w:val="0"/>
          <w:i/>
          <w:color w:val="auto"/>
          <w:sz w:val="20"/>
          <w:szCs w:val="20"/>
        </w:rPr>
      </w:pPr>
      <w:bookmarkStart w:id="576" w:name="_Toc324853743"/>
      <w:bookmarkStart w:id="577" w:name="_Toc326055369"/>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51</w:t>
      </w:r>
      <w:r w:rsidR="008F7228" w:rsidRPr="00C43B75">
        <w:rPr>
          <w:color w:val="auto"/>
          <w:sz w:val="20"/>
          <w:szCs w:val="20"/>
        </w:rPr>
        <w:fldChar w:fldCharType="end"/>
      </w:r>
      <w:r w:rsidR="009F37F1">
        <w:t xml:space="preserve"> </w:t>
      </w:r>
      <w:r w:rsidR="00A75D5A" w:rsidRPr="006D71C7">
        <w:rPr>
          <w:b w:val="0"/>
          <w:i/>
          <w:color w:val="auto"/>
          <w:sz w:val="20"/>
          <w:szCs w:val="20"/>
        </w:rPr>
        <w:t xml:space="preserve">Realizacja </w:t>
      </w:r>
      <w:r w:rsidR="009428B6" w:rsidRPr="006D71C7">
        <w:rPr>
          <w:b w:val="0"/>
          <w:i/>
          <w:color w:val="auto"/>
          <w:sz w:val="20"/>
          <w:szCs w:val="20"/>
        </w:rPr>
        <w:t>p</w:t>
      </w:r>
      <w:r w:rsidR="00A75D5A" w:rsidRPr="006D71C7">
        <w:rPr>
          <w:b w:val="0"/>
          <w:i/>
          <w:color w:val="auto"/>
          <w:sz w:val="20"/>
          <w:szCs w:val="20"/>
        </w:rPr>
        <w:t>riorytetu VIII od uruchomienia Programu</w:t>
      </w:r>
      <w:r w:rsidR="009428B6" w:rsidRPr="006D71C7">
        <w:rPr>
          <w:b w:val="0"/>
          <w:i/>
          <w:color w:val="auto"/>
          <w:sz w:val="20"/>
          <w:szCs w:val="20"/>
        </w:rPr>
        <w:t xml:space="preserve"> i w okresie sprawozdawczym</w:t>
      </w:r>
      <w:bookmarkEnd w:id="576"/>
      <w:bookmarkEnd w:id="577"/>
      <w:r w:rsidR="009F37F1">
        <w:rPr>
          <w:b w:val="0"/>
          <w:i/>
          <w:color w:val="auto"/>
          <w:sz w:val="20"/>
          <w:szCs w:val="20"/>
        </w:rPr>
        <w:t xml:space="preserve"> </w:t>
      </w:r>
    </w:p>
    <w:p w:rsidR="000304D8" w:rsidRPr="006D71C7" w:rsidRDefault="00A75D5A" w:rsidP="006D71C7">
      <w:pPr>
        <w:pStyle w:val="Legenda"/>
        <w:spacing w:line="276" w:lineRule="auto"/>
        <w:jc w:val="both"/>
        <w:rPr>
          <w:b w:val="0"/>
          <w:color w:val="auto"/>
          <w:sz w:val="24"/>
          <w:szCs w:val="24"/>
        </w:rPr>
      </w:pPr>
      <w:r w:rsidRPr="006D71C7">
        <w:rPr>
          <w:b w:val="0"/>
          <w:color w:val="auto"/>
          <w:sz w:val="24"/>
          <w:szCs w:val="24"/>
        </w:rPr>
        <w:t>Poniżej w tabeli przedstawiono postęp realizacji priorytetu VIII w podziale na działania. Stopień wykorzystania alokacji w poszczególnych działaniach jest na wysokim poziomie. Spowodowane jest to tym, iż IZ RPO WSL ogłosiła już</w:t>
      </w:r>
      <w:r w:rsidR="009428B6" w:rsidRPr="006D71C7">
        <w:rPr>
          <w:b w:val="0"/>
          <w:color w:val="auto"/>
          <w:sz w:val="24"/>
          <w:szCs w:val="24"/>
        </w:rPr>
        <w:t xml:space="preserve"> </w:t>
      </w:r>
      <w:r w:rsidR="008A4A6F" w:rsidRPr="006D71C7">
        <w:rPr>
          <w:b w:val="0"/>
          <w:color w:val="auto"/>
          <w:sz w:val="24"/>
          <w:szCs w:val="24"/>
        </w:rPr>
        <w:t>w 2009 roku</w:t>
      </w:r>
      <w:r w:rsidRPr="006D71C7">
        <w:rPr>
          <w:b w:val="0"/>
          <w:color w:val="auto"/>
          <w:sz w:val="24"/>
          <w:szCs w:val="24"/>
        </w:rPr>
        <w:t xml:space="preserve"> </w:t>
      </w:r>
      <w:r w:rsidR="008A4A6F" w:rsidRPr="006D71C7">
        <w:rPr>
          <w:b w:val="0"/>
          <w:color w:val="auto"/>
          <w:sz w:val="24"/>
          <w:szCs w:val="24"/>
        </w:rPr>
        <w:t>nabory na </w:t>
      </w:r>
      <w:r w:rsidRPr="006D71C7">
        <w:rPr>
          <w:b w:val="0"/>
          <w:color w:val="auto"/>
          <w:sz w:val="24"/>
          <w:szCs w:val="24"/>
        </w:rPr>
        <w:t>całą zaplanowaną</w:t>
      </w:r>
      <w:r w:rsidR="008A4A6F" w:rsidRPr="006D71C7">
        <w:rPr>
          <w:b w:val="0"/>
          <w:color w:val="auto"/>
          <w:sz w:val="24"/>
          <w:szCs w:val="24"/>
        </w:rPr>
        <w:t xml:space="preserve"> alokację dla przedmiotowego p</w:t>
      </w:r>
      <w:r w:rsidRPr="006D71C7">
        <w:rPr>
          <w:b w:val="0"/>
          <w:color w:val="auto"/>
          <w:sz w:val="24"/>
          <w:szCs w:val="24"/>
        </w:rPr>
        <w:t xml:space="preserve">riorytetu. </w:t>
      </w:r>
    </w:p>
    <w:p w:rsidR="001915C3" w:rsidRPr="006D71C7" w:rsidRDefault="007338BD" w:rsidP="006D71C7">
      <w:pPr>
        <w:pStyle w:val="Legenda"/>
        <w:jc w:val="both"/>
        <w:rPr>
          <w:b w:val="0"/>
          <w:i/>
          <w:color w:val="auto"/>
          <w:sz w:val="20"/>
          <w:szCs w:val="20"/>
        </w:rPr>
      </w:pPr>
      <w:bookmarkStart w:id="578" w:name="_Toc324853744"/>
      <w:bookmarkStart w:id="579" w:name="_Toc326046385"/>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33</w:t>
      </w:r>
      <w:r w:rsidR="008F7228" w:rsidRPr="006D71C7">
        <w:rPr>
          <w:color w:val="auto"/>
          <w:sz w:val="20"/>
          <w:szCs w:val="20"/>
        </w:rPr>
        <w:fldChar w:fldCharType="end"/>
      </w:r>
      <w:r w:rsidR="001B017A" w:rsidRPr="006D71C7">
        <w:rPr>
          <w:color w:val="auto"/>
        </w:rPr>
        <w:t xml:space="preserve"> </w:t>
      </w:r>
      <w:r w:rsidR="00A75D5A" w:rsidRPr="006D71C7">
        <w:rPr>
          <w:b w:val="0"/>
          <w:i/>
          <w:color w:val="auto"/>
          <w:sz w:val="20"/>
          <w:szCs w:val="20"/>
        </w:rPr>
        <w:t xml:space="preserve">Postęp realizacji </w:t>
      </w:r>
      <w:r w:rsidR="009428B6" w:rsidRPr="006D71C7">
        <w:rPr>
          <w:b w:val="0"/>
          <w:i/>
          <w:color w:val="auto"/>
          <w:sz w:val="20"/>
          <w:szCs w:val="20"/>
        </w:rPr>
        <w:t>p</w:t>
      </w:r>
      <w:r w:rsidR="00A75D5A" w:rsidRPr="006D71C7">
        <w:rPr>
          <w:b w:val="0"/>
          <w:i/>
          <w:color w:val="auto"/>
          <w:sz w:val="20"/>
          <w:szCs w:val="20"/>
        </w:rPr>
        <w:t>riorytetu VIII w podziale na działania</w:t>
      </w:r>
      <w:bookmarkEnd w:id="578"/>
      <w:bookmarkEnd w:id="579"/>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4B29B" w:themeFill="accent1" w:themeFillTint="66"/>
        <w:tblLayout w:type="fixed"/>
        <w:tblLook w:val="04A0" w:firstRow="1" w:lastRow="0" w:firstColumn="1" w:lastColumn="0" w:noHBand="0" w:noVBand="1"/>
      </w:tblPr>
      <w:tblGrid>
        <w:gridCol w:w="1149"/>
        <w:gridCol w:w="1144"/>
        <w:gridCol w:w="1643"/>
        <w:gridCol w:w="992"/>
        <w:gridCol w:w="1204"/>
        <w:gridCol w:w="922"/>
        <w:gridCol w:w="1182"/>
        <w:gridCol w:w="1052"/>
      </w:tblGrid>
      <w:tr w:rsidR="00A75D5A" w:rsidRPr="006D71C7" w:rsidTr="008A4A6F">
        <w:tc>
          <w:tcPr>
            <w:tcW w:w="1149" w:type="dxa"/>
            <w:vMerge w:val="restart"/>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75D5A" w:rsidRPr="006D71C7" w:rsidRDefault="00A75D5A" w:rsidP="006D71C7">
            <w:pPr>
              <w:jc w:val="both"/>
              <w:rPr>
                <w:b/>
                <w:bCs/>
                <w:sz w:val="22"/>
              </w:rPr>
            </w:pPr>
            <w:r w:rsidRPr="006D71C7">
              <w:rPr>
                <w:b/>
                <w:bCs/>
                <w:sz w:val="22"/>
              </w:rPr>
              <w:t>Działanie</w:t>
            </w:r>
          </w:p>
        </w:tc>
        <w:tc>
          <w:tcPr>
            <w:tcW w:w="1144" w:type="dxa"/>
            <w:vMerge w:val="restart"/>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75D5A" w:rsidRPr="006D71C7" w:rsidRDefault="00A75D5A" w:rsidP="006D71C7">
            <w:pPr>
              <w:jc w:val="both"/>
              <w:rPr>
                <w:b/>
                <w:bCs/>
                <w:sz w:val="22"/>
              </w:rPr>
            </w:pPr>
            <w:r w:rsidRPr="006D71C7">
              <w:rPr>
                <w:b/>
                <w:bCs/>
                <w:sz w:val="22"/>
              </w:rPr>
              <w:t>Alokacja w mln EUR</w:t>
            </w:r>
          </w:p>
        </w:tc>
        <w:tc>
          <w:tcPr>
            <w:tcW w:w="2635"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75D5A" w:rsidRPr="006D71C7" w:rsidRDefault="00A75D5A" w:rsidP="006D71C7">
            <w:pPr>
              <w:jc w:val="both"/>
              <w:rPr>
                <w:b/>
                <w:bCs/>
                <w:sz w:val="22"/>
              </w:rPr>
            </w:pPr>
            <w:r w:rsidRPr="006D71C7">
              <w:rPr>
                <w:b/>
                <w:bCs/>
                <w:sz w:val="22"/>
              </w:rPr>
              <w:t>Zatwierdzone wnioski o dofinansowanie</w:t>
            </w:r>
          </w:p>
        </w:tc>
        <w:tc>
          <w:tcPr>
            <w:tcW w:w="2126"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75D5A" w:rsidRPr="006D71C7" w:rsidRDefault="00A75D5A" w:rsidP="006D71C7">
            <w:pPr>
              <w:jc w:val="both"/>
              <w:rPr>
                <w:b/>
                <w:bCs/>
                <w:sz w:val="22"/>
              </w:rPr>
            </w:pPr>
            <w:r w:rsidRPr="006D71C7">
              <w:rPr>
                <w:b/>
                <w:bCs/>
                <w:sz w:val="22"/>
              </w:rPr>
              <w:t>Podpisane umowy</w:t>
            </w:r>
          </w:p>
        </w:tc>
        <w:tc>
          <w:tcPr>
            <w:tcW w:w="2234"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A75D5A" w:rsidRPr="006D71C7" w:rsidRDefault="00A75D5A" w:rsidP="006D71C7">
            <w:pPr>
              <w:jc w:val="both"/>
              <w:rPr>
                <w:b/>
                <w:bCs/>
                <w:sz w:val="22"/>
              </w:rPr>
            </w:pPr>
            <w:r w:rsidRPr="006D71C7">
              <w:rPr>
                <w:b/>
                <w:bCs/>
                <w:sz w:val="22"/>
              </w:rPr>
              <w:t>Płatności</w:t>
            </w:r>
          </w:p>
        </w:tc>
      </w:tr>
      <w:tr w:rsidR="00A75D5A" w:rsidRPr="006D71C7" w:rsidTr="008A4A6F">
        <w:tc>
          <w:tcPr>
            <w:tcW w:w="1149" w:type="dxa"/>
            <w:vMerge/>
            <w:tcBorders>
              <w:top w:val="single" w:sz="8" w:space="0" w:color="FFFFFF"/>
              <w:left w:val="single" w:sz="8" w:space="0" w:color="FFFFFF"/>
              <w:bottom w:val="nil"/>
              <w:right w:val="single" w:sz="24" w:space="0" w:color="FFFFFF"/>
            </w:tcBorders>
            <w:shd w:val="clear" w:color="auto" w:fill="F4B29B" w:themeFill="accent1" w:themeFillTint="66"/>
            <w:vAlign w:val="center"/>
          </w:tcPr>
          <w:p w:rsidR="00A75D5A" w:rsidRPr="006D71C7" w:rsidRDefault="00A75D5A" w:rsidP="006D71C7">
            <w:pPr>
              <w:jc w:val="both"/>
              <w:rPr>
                <w:b/>
                <w:bCs/>
                <w:sz w:val="22"/>
              </w:rPr>
            </w:pPr>
          </w:p>
        </w:tc>
        <w:tc>
          <w:tcPr>
            <w:tcW w:w="1144" w:type="dxa"/>
            <w:vMerge/>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75D5A" w:rsidRPr="006D71C7" w:rsidRDefault="00A75D5A" w:rsidP="006D71C7">
            <w:pPr>
              <w:jc w:val="both"/>
              <w:rPr>
                <w:b/>
                <w:sz w:val="22"/>
              </w:rPr>
            </w:pPr>
          </w:p>
        </w:tc>
        <w:tc>
          <w:tcPr>
            <w:tcW w:w="1643"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75D5A" w:rsidRPr="006D71C7" w:rsidRDefault="00A75D5A" w:rsidP="006D71C7">
            <w:pPr>
              <w:jc w:val="both"/>
              <w:rPr>
                <w:b/>
                <w:sz w:val="22"/>
              </w:rPr>
            </w:pPr>
            <w:r w:rsidRPr="006D71C7">
              <w:rPr>
                <w:b/>
                <w:sz w:val="22"/>
              </w:rPr>
              <w:t>mln EUR</w:t>
            </w:r>
          </w:p>
        </w:tc>
        <w:tc>
          <w:tcPr>
            <w:tcW w:w="99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75D5A" w:rsidRPr="006D71C7" w:rsidRDefault="00A75D5A" w:rsidP="006D71C7">
            <w:pPr>
              <w:jc w:val="both"/>
              <w:rPr>
                <w:b/>
                <w:sz w:val="22"/>
              </w:rPr>
            </w:pPr>
            <w:r w:rsidRPr="006D71C7">
              <w:rPr>
                <w:b/>
                <w:sz w:val="22"/>
              </w:rPr>
              <w:t>%</w:t>
            </w:r>
          </w:p>
        </w:tc>
        <w:tc>
          <w:tcPr>
            <w:tcW w:w="1204"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75D5A" w:rsidRPr="006D71C7" w:rsidRDefault="00A75D5A" w:rsidP="006D71C7">
            <w:pPr>
              <w:jc w:val="both"/>
              <w:rPr>
                <w:b/>
                <w:sz w:val="22"/>
              </w:rPr>
            </w:pPr>
            <w:r w:rsidRPr="006D71C7">
              <w:rPr>
                <w:b/>
                <w:sz w:val="22"/>
              </w:rPr>
              <w:t>mln EUR</w:t>
            </w:r>
          </w:p>
        </w:tc>
        <w:tc>
          <w:tcPr>
            <w:tcW w:w="92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75D5A" w:rsidRPr="006D71C7" w:rsidRDefault="00A75D5A" w:rsidP="006D71C7">
            <w:pPr>
              <w:jc w:val="both"/>
              <w:rPr>
                <w:b/>
                <w:sz w:val="22"/>
              </w:rPr>
            </w:pPr>
            <w:r w:rsidRPr="006D71C7">
              <w:rPr>
                <w:b/>
                <w:sz w:val="22"/>
              </w:rPr>
              <w:t>%</w:t>
            </w:r>
          </w:p>
        </w:tc>
        <w:tc>
          <w:tcPr>
            <w:tcW w:w="118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75D5A" w:rsidRPr="006D71C7" w:rsidRDefault="00A75D5A" w:rsidP="006D71C7">
            <w:pPr>
              <w:jc w:val="both"/>
              <w:rPr>
                <w:b/>
                <w:sz w:val="22"/>
              </w:rPr>
            </w:pPr>
            <w:r w:rsidRPr="006D71C7">
              <w:rPr>
                <w:b/>
                <w:sz w:val="22"/>
              </w:rPr>
              <w:t>mln EUR</w:t>
            </w:r>
          </w:p>
        </w:tc>
        <w:tc>
          <w:tcPr>
            <w:tcW w:w="105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A75D5A" w:rsidRPr="006D71C7" w:rsidRDefault="00A75D5A" w:rsidP="006D71C7">
            <w:pPr>
              <w:jc w:val="both"/>
              <w:rPr>
                <w:b/>
                <w:sz w:val="22"/>
              </w:rPr>
            </w:pPr>
            <w:r w:rsidRPr="006D71C7">
              <w:rPr>
                <w:b/>
                <w:sz w:val="22"/>
              </w:rPr>
              <w:t>%</w:t>
            </w:r>
          </w:p>
        </w:tc>
      </w:tr>
      <w:tr w:rsidR="00A75D5A" w:rsidRPr="006D71C7" w:rsidTr="008A4A6F">
        <w:tc>
          <w:tcPr>
            <w:tcW w:w="1149" w:type="dxa"/>
            <w:tcBorders>
              <w:left w:val="single" w:sz="8" w:space="0" w:color="FFFFFF"/>
              <w:bottom w:val="nil"/>
              <w:right w:val="single" w:sz="24" w:space="0" w:color="FFFFFF"/>
            </w:tcBorders>
            <w:shd w:val="clear" w:color="auto" w:fill="F4B29B" w:themeFill="accent1" w:themeFillTint="66"/>
            <w:vAlign w:val="center"/>
          </w:tcPr>
          <w:p w:rsidR="00A75D5A" w:rsidRPr="006D71C7" w:rsidRDefault="00A75D5A" w:rsidP="006D71C7">
            <w:pPr>
              <w:jc w:val="both"/>
              <w:rPr>
                <w:b/>
                <w:bCs/>
                <w:sz w:val="22"/>
              </w:rPr>
            </w:pPr>
            <w:r w:rsidRPr="006D71C7">
              <w:rPr>
                <w:b/>
                <w:bCs/>
                <w:sz w:val="22"/>
              </w:rPr>
              <w:t>8.1</w:t>
            </w:r>
          </w:p>
        </w:tc>
        <w:tc>
          <w:tcPr>
            <w:tcW w:w="1144"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48,74</w:t>
            </w:r>
          </w:p>
        </w:tc>
        <w:tc>
          <w:tcPr>
            <w:tcW w:w="1643"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43,09</w:t>
            </w:r>
          </w:p>
        </w:tc>
        <w:tc>
          <w:tcPr>
            <w:tcW w:w="992"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88%</w:t>
            </w:r>
          </w:p>
        </w:tc>
        <w:tc>
          <w:tcPr>
            <w:tcW w:w="1204"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41,55</w:t>
            </w:r>
          </w:p>
        </w:tc>
        <w:tc>
          <w:tcPr>
            <w:tcW w:w="922"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85%</w:t>
            </w:r>
          </w:p>
        </w:tc>
        <w:tc>
          <w:tcPr>
            <w:tcW w:w="1182"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19,46</w:t>
            </w:r>
          </w:p>
        </w:tc>
        <w:tc>
          <w:tcPr>
            <w:tcW w:w="1052"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40%</w:t>
            </w:r>
          </w:p>
        </w:tc>
      </w:tr>
      <w:tr w:rsidR="00A75D5A" w:rsidRPr="006D71C7" w:rsidTr="008A4A6F">
        <w:tc>
          <w:tcPr>
            <w:tcW w:w="1149" w:type="dxa"/>
            <w:tcBorders>
              <w:top w:val="single" w:sz="8" w:space="0" w:color="FFFFFF"/>
              <w:left w:val="single" w:sz="8" w:space="0" w:color="FFFFFF"/>
              <w:bottom w:val="nil"/>
              <w:right w:val="single" w:sz="24" w:space="0" w:color="FFFFFF"/>
            </w:tcBorders>
            <w:shd w:val="clear" w:color="auto" w:fill="F4B29B" w:themeFill="accent1" w:themeFillTint="66"/>
            <w:vAlign w:val="center"/>
          </w:tcPr>
          <w:p w:rsidR="00A75D5A" w:rsidRPr="006D71C7" w:rsidRDefault="00A75D5A" w:rsidP="006D71C7">
            <w:pPr>
              <w:jc w:val="both"/>
              <w:rPr>
                <w:b/>
                <w:bCs/>
                <w:sz w:val="22"/>
              </w:rPr>
            </w:pPr>
            <w:r w:rsidRPr="006D71C7">
              <w:rPr>
                <w:b/>
                <w:bCs/>
                <w:sz w:val="22"/>
              </w:rPr>
              <w:t>8.2</w:t>
            </w:r>
          </w:p>
        </w:tc>
        <w:tc>
          <w:tcPr>
            <w:tcW w:w="1144"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24,61</w:t>
            </w:r>
          </w:p>
        </w:tc>
        <w:tc>
          <w:tcPr>
            <w:tcW w:w="1643"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23,32</w:t>
            </w:r>
          </w:p>
        </w:tc>
        <w:tc>
          <w:tcPr>
            <w:tcW w:w="99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95%</w:t>
            </w:r>
          </w:p>
        </w:tc>
        <w:tc>
          <w:tcPr>
            <w:tcW w:w="1204"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20,24</w:t>
            </w:r>
          </w:p>
        </w:tc>
        <w:tc>
          <w:tcPr>
            <w:tcW w:w="92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82%</w:t>
            </w:r>
          </w:p>
        </w:tc>
        <w:tc>
          <w:tcPr>
            <w:tcW w:w="118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17,05</w:t>
            </w:r>
          </w:p>
        </w:tc>
        <w:tc>
          <w:tcPr>
            <w:tcW w:w="105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69%</w:t>
            </w:r>
          </w:p>
        </w:tc>
      </w:tr>
      <w:tr w:rsidR="00A75D5A" w:rsidRPr="006D71C7" w:rsidTr="008A4A6F">
        <w:tc>
          <w:tcPr>
            <w:tcW w:w="1149" w:type="dxa"/>
            <w:tcBorders>
              <w:left w:val="single" w:sz="8" w:space="0" w:color="FFFFFF"/>
              <w:bottom w:val="single" w:sz="8" w:space="0" w:color="FFFFFF"/>
              <w:right w:val="single" w:sz="24" w:space="0" w:color="FFFFFF"/>
            </w:tcBorders>
            <w:shd w:val="clear" w:color="auto" w:fill="F4B29B" w:themeFill="accent1" w:themeFillTint="66"/>
            <w:vAlign w:val="center"/>
          </w:tcPr>
          <w:p w:rsidR="00A75D5A" w:rsidRPr="006D71C7" w:rsidRDefault="00A75D5A" w:rsidP="006D71C7">
            <w:pPr>
              <w:jc w:val="both"/>
              <w:rPr>
                <w:b/>
                <w:bCs/>
                <w:sz w:val="22"/>
              </w:rPr>
            </w:pPr>
            <w:r w:rsidRPr="006D71C7">
              <w:rPr>
                <w:b/>
                <w:bCs/>
                <w:sz w:val="22"/>
              </w:rPr>
              <w:t>8.3</w:t>
            </w:r>
          </w:p>
        </w:tc>
        <w:tc>
          <w:tcPr>
            <w:tcW w:w="1144"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9,13</w:t>
            </w:r>
          </w:p>
        </w:tc>
        <w:tc>
          <w:tcPr>
            <w:tcW w:w="1643"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8,19</w:t>
            </w:r>
          </w:p>
        </w:tc>
        <w:tc>
          <w:tcPr>
            <w:tcW w:w="992"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90%</w:t>
            </w:r>
          </w:p>
        </w:tc>
        <w:tc>
          <w:tcPr>
            <w:tcW w:w="1204"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7,87</w:t>
            </w:r>
          </w:p>
        </w:tc>
        <w:tc>
          <w:tcPr>
            <w:tcW w:w="922"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86%</w:t>
            </w:r>
          </w:p>
        </w:tc>
        <w:tc>
          <w:tcPr>
            <w:tcW w:w="1182"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5,25</w:t>
            </w:r>
          </w:p>
        </w:tc>
        <w:tc>
          <w:tcPr>
            <w:tcW w:w="1052" w:type="dxa"/>
            <w:tcBorders>
              <w:top w:val="single" w:sz="8" w:space="0" w:color="FFFFFF"/>
              <w:bottom w:val="single" w:sz="8" w:space="0" w:color="FFFFFF"/>
            </w:tcBorders>
            <w:shd w:val="clear" w:color="auto" w:fill="F9D8CD" w:themeFill="accent1" w:themeFillTint="33"/>
            <w:vAlign w:val="center"/>
          </w:tcPr>
          <w:p w:rsidR="00A75D5A" w:rsidRPr="006D71C7" w:rsidRDefault="00A75D5A" w:rsidP="006D71C7">
            <w:pPr>
              <w:jc w:val="both"/>
              <w:rPr>
                <w:sz w:val="22"/>
              </w:rPr>
            </w:pPr>
            <w:r w:rsidRPr="006D71C7">
              <w:rPr>
                <w:sz w:val="22"/>
              </w:rPr>
              <w:t>57%</w:t>
            </w:r>
          </w:p>
        </w:tc>
      </w:tr>
    </w:tbl>
    <w:p w:rsidR="00A75D5A" w:rsidRPr="006D71C7" w:rsidRDefault="00A75D5A" w:rsidP="006D71C7">
      <w:pPr>
        <w:shd w:val="clear" w:color="auto" w:fill="FFFFFF"/>
        <w:jc w:val="both"/>
        <w:rPr>
          <w:szCs w:val="24"/>
        </w:rPr>
      </w:pPr>
    </w:p>
    <w:p w:rsidR="00A75D5A" w:rsidRPr="006D71C7" w:rsidRDefault="008A4A6F" w:rsidP="006D71C7">
      <w:pPr>
        <w:spacing w:after="0"/>
        <w:jc w:val="both"/>
        <w:rPr>
          <w:szCs w:val="24"/>
        </w:rPr>
      </w:pPr>
      <w:r w:rsidRPr="006D71C7">
        <w:rPr>
          <w:szCs w:val="24"/>
        </w:rPr>
        <w:t>W ramach p</w:t>
      </w:r>
      <w:r w:rsidR="00A75D5A" w:rsidRPr="006D71C7">
        <w:rPr>
          <w:szCs w:val="24"/>
        </w:rPr>
        <w:t xml:space="preserve">riorytetu VIII występują dwie procedury oceny i wyboru projektów: konkursowa i indywidualna. </w:t>
      </w:r>
      <w:r w:rsidR="002F7667" w:rsidRPr="006D71C7">
        <w:rPr>
          <w:szCs w:val="24"/>
        </w:rPr>
        <w:t>W ramach priorytetu r</w:t>
      </w:r>
      <w:r w:rsidR="00A75D5A" w:rsidRPr="006D71C7">
        <w:rPr>
          <w:szCs w:val="24"/>
        </w:rPr>
        <w:t xml:space="preserve">ealizowany jest jeden projekt kluczowy znajdujący się w IWIPK: </w:t>
      </w:r>
      <w:r w:rsidR="00A75D5A" w:rsidRPr="006D71C7">
        <w:rPr>
          <w:i/>
          <w:szCs w:val="24"/>
        </w:rPr>
        <w:t>Wydział Nauk Społecznych</w:t>
      </w:r>
      <w:r w:rsidR="00C41F80" w:rsidRPr="006D71C7">
        <w:rPr>
          <w:i/>
          <w:szCs w:val="24"/>
        </w:rPr>
        <w:t xml:space="preserve"> </w:t>
      </w:r>
      <w:r w:rsidR="00A75D5A" w:rsidRPr="006D71C7">
        <w:rPr>
          <w:i/>
          <w:szCs w:val="24"/>
        </w:rPr>
        <w:t>- rozbudowa bazy naukowo- dydaktycznej Akademii im. Jana Długosza w perspektywie powołania Uniwersytetu Częstochowskiego</w:t>
      </w:r>
      <w:r w:rsidR="00A75D5A" w:rsidRPr="006D71C7">
        <w:rPr>
          <w:szCs w:val="24"/>
        </w:rPr>
        <w:t>, w ramach którego podpisano 2 umowy o dofinansowan</w:t>
      </w:r>
      <w:r w:rsidR="00A53A2A" w:rsidRPr="006D71C7">
        <w:rPr>
          <w:szCs w:val="24"/>
        </w:rPr>
        <w:t xml:space="preserve">ie z podprojektami. </w:t>
      </w:r>
    </w:p>
    <w:p w:rsidR="00A75D5A" w:rsidRPr="006D71C7" w:rsidRDefault="00A75D5A" w:rsidP="006D71C7">
      <w:pPr>
        <w:spacing w:after="120"/>
        <w:jc w:val="both"/>
        <w:rPr>
          <w:szCs w:val="24"/>
        </w:rPr>
      </w:pPr>
      <w:r w:rsidRPr="006D71C7">
        <w:rPr>
          <w:szCs w:val="24"/>
        </w:rPr>
        <w:t>Poniżej na schemacie przedstawiono poziom kontraktacji i płatności ogółem na priorytet oraz w podziale na IWIPK i konkursy.</w:t>
      </w:r>
    </w:p>
    <w:p w:rsidR="00A53A2A" w:rsidRPr="006D71C7" w:rsidRDefault="00A53A2A" w:rsidP="006D71C7">
      <w:pPr>
        <w:spacing w:after="120"/>
        <w:jc w:val="both"/>
        <w:rPr>
          <w:szCs w:val="24"/>
        </w:rPr>
      </w:pPr>
      <w:r w:rsidRPr="006D71C7">
        <w:rPr>
          <w:noProof/>
          <w:szCs w:val="24"/>
        </w:rPr>
        <w:drawing>
          <wp:inline distT="0" distB="0" distL="0" distR="0">
            <wp:extent cx="5759450" cy="3333875"/>
            <wp:effectExtent l="171450" t="0" r="12700" b="0"/>
            <wp:docPr id="249"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1915C3" w:rsidRPr="006D71C7" w:rsidRDefault="007338BD" w:rsidP="006D71C7">
      <w:pPr>
        <w:pStyle w:val="Legenda"/>
        <w:jc w:val="both"/>
        <w:rPr>
          <w:b w:val="0"/>
          <w:i/>
          <w:color w:val="auto"/>
          <w:sz w:val="20"/>
          <w:szCs w:val="20"/>
        </w:rPr>
      </w:pPr>
      <w:bookmarkStart w:id="580" w:name="_Toc324853745"/>
      <w:bookmarkStart w:id="581" w:name="_Toc326046386"/>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34</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 xml:space="preserve">Poziom kontraktacji i płatności </w:t>
      </w:r>
      <w:r w:rsidR="009428B6" w:rsidRPr="006D71C7">
        <w:rPr>
          <w:b w:val="0"/>
          <w:i/>
          <w:color w:val="auto"/>
          <w:sz w:val="20"/>
          <w:szCs w:val="20"/>
        </w:rPr>
        <w:t>w podziale na ścieżki wyboru projektów</w:t>
      </w:r>
      <w:bookmarkEnd w:id="580"/>
      <w:bookmarkEnd w:id="581"/>
    </w:p>
    <w:p w:rsidR="00A75D5A" w:rsidRPr="006D71C7" w:rsidRDefault="00A75D5A" w:rsidP="006D71C7">
      <w:pPr>
        <w:spacing w:after="0"/>
        <w:jc w:val="both"/>
        <w:rPr>
          <w:szCs w:val="24"/>
        </w:rPr>
      </w:pPr>
      <w:r w:rsidRPr="006D71C7">
        <w:t xml:space="preserve">W okresie sprawozdawczym nie ogłoszono żadnego konkursu </w:t>
      </w:r>
      <w:r w:rsidR="00A53A2A" w:rsidRPr="006D71C7">
        <w:t>w ramach przedmiotowego p</w:t>
      </w:r>
      <w:r w:rsidRPr="006D71C7">
        <w:t>riorytetu,</w:t>
      </w:r>
      <w:r w:rsidRPr="006D71C7">
        <w:rPr>
          <w:szCs w:val="24"/>
        </w:rPr>
        <w:t xml:space="preserve"> ponieważ wszystkie </w:t>
      </w:r>
      <w:r w:rsidR="00A53A2A" w:rsidRPr="006D71C7">
        <w:rPr>
          <w:szCs w:val="24"/>
        </w:rPr>
        <w:t>nabory</w:t>
      </w:r>
      <w:r w:rsidRPr="006D71C7">
        <w:rPr>
          <w:szCs w:val="24"/>
        </w:rPr>
        <w:t xml:space="preserve"> zostały ogłoszone już </w:t>
      </w:r>
      <w:r w:rsidR="00A53A2A" w:rsidRPr="006D71C7">
        <w:rPr>
          <w:szCs w:val="24"/>
        </w:rPr>
        <w:t>w 2009 roku</w:t>
      </w:r>
      <w:r w:rsidRPr="006D71C7">
        <w:rPr>
          <w:szCs w:val="24"/>
        </w:rPr>
        <w:t xml:space="preserve">. </w:t>
      </w:r>
    </w:p>
    <w:p w:rsidR="00A75D5A" w:rsidRPr="006D71C7" w:rsidRDefault="00A75D5A" w:rsidP="006D71C7">
      <w:pPr>
        <w:spacing w:after="0"/>
        <w:jc w:val="both"/>
      </w:pPr>
    </w:p>
    <w:p w:rsidR="00A75D5A" w:rsidRPr="006D71C7" w:rsidRDefault="00A75D5A" w:rsidP="006D71C7">
      <w:pPr>
        <w:jc w:val="both"/>
        <w:rPr>
          <w:b/>
          <w:i/>
        </w:rPr>
      </w:pPr>
      <w:r w:rsidRPr="006D71C7">
        <w:rPr>
          <w:b/>
          <w:i/>
        </w:rPr>
        <w:t>Rozkład pr</w:t>
      </w:r>
      <w:r w:rsidR="00A53A2A" w:rsidRPr="006D71C7">
        <w:rPr>
          <w:b/>
          <w:i/>
        </w:rPr>
        <w:t>ojektów realizowanych w ramach p</w:t>
      </w:r>
      <w:r w:rsidRPr="006D71C7">
        <w:rPr>
          <w:b/>
          <w:i/>
        </w:rPr>
        <w:t>riorytetu VIII</w:t>
      </w:r>
    </w:p>
    <w:p w:rsidR="00A75D5A" w:rsidRPr="006D71C7" w:rsidRDefault="00A75D5A" w:rsidP="006D71C7">
      <w:pPr>
        <w:jc w:val="both"/>
      </w:pPr>
      <w:r w:rsidRPr="006D71C7">
        <w:t>Biorąc pod uwagę specyfikę priorytetu, największe grono odbiorców stanowią uczelnie wyższe (69%) i JST (22%). Natomiast ze względu na liczbę podpisanych umów to na pierwszym miejscu znalazły JST. Podpisano również 28 umów z uczelniami wyższymi, które stanowiły 36% wszystkich podpisanych umów. Wśród beneficjentów znalazły się także szkoły lub placówki oświatowe, stowarzyszenia, kościoły, jednostki naukowe oraz MSP.</w:t>
      </w:r>
    </w:p>
    <w:p w:rsidR="00A75D5A" w:rsidRPr="006D71C7" w:rsidRDefault="00A75D5A" w:rsidP="006D71C7">
      <w:pPr>
        <w:jc w:val="both"/>
      </w:pPr>
      <w:r w:rsidRPr="006D71C7">
        <w:rPr>
          <w:noProof/>
        </w:rPr>
        <w:drawing>
          <wp:inline distT="0" distB="0" distL="0" distR="0">
            <wp:extent cx="5848463" cy="2842935"/>
            <wp:effectExtent l="38100" t="19050" r="18937" b="0"/>
            <wp:docPr id="23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760EB8" w:rsidRDefault="00C43B75">
      <w:pPr>
        <w:pStyle w:val="Legenda"/>
        <w:rPr>
          <w:b w:val="0"/>
          <w:i/>
          <w:color w:val="auto"/>
          <w:sz w:val="20"/>
          <w:szCs w:val="20"/>
        </w:rPr>
      </w:pPr>
      <w:bookmarkStart w:id="582" w:name="_Toc324853746"/>
      <w:bookmarkStart w:id="583" w:name="_Toc326055370"/>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52</w:t>
      </w:r>
      <w:r w:rsidR="008F7228" w:rsidRPr="00C43B75">
        <w:rPr>
          <w:color w:val="auto"/>
          <w:sz w:val="20"/>
          <w:szCs w:val="20"/>
        </w:rPr>
        <w:fldChar w:fldCharType="end"/>
      </w:r>
      <w:r w:rsidR="009F37F1">
        <w:t xml:space="preserve"> </w:t>
      </w:r>
      <w:r w:rsidR="007338BD" w:rsidRPr="006D71C7">
        <w:rPr>
          <w:b w:val="0"/>
          <w:i/>
          <w:color w:val="auto"/>
          <w:sz w:val="20"/>
          <w:szCs w:val="20"/>
        </w:rPr>
        <w:t>Rozkład projektów  realizowanych w ramach priorytetu VIII w podziale na beneficjentów</w:t>
      </w:r>
      <w:bookmarkEnd w:id="582"/>
      <w:bookmarkEnd w:id="583"/>
      <w:r w:rsidR="007338BD" w:rsidRPr="006D71C7">
        <w:rPr>
          <w:b w:val="0"/>
          <w:i/>
          <w:color w:val="auto"/>
          <w:sz w:val="20"/>
          <w:szCs w:val="20"/>
        </w:rPr>
        <w:t xml:space="preserve"> </w:t>
      </w:r>
    </w:p>
    <w:p w:rsidR="00A75D5A" w:rsidRPr="006D71C7" w:rsidRDefault="00A75D5A" w:rsidP="006D71C7">
      <w:pPr>
        <w:jc w:val="both"/>
      </w:pPr>
      <w:r w:rsidRPr="006D71C7">
        <w:t>Ponad 92% środków skierowanych zostało na realizacje inwestycji na obszarach miejskich, natomiast około 7% na tereny wiejskie.</w:t>
      </w:r>
    </w:p>
    <w:p w:rsidR="00245F70" w:rsidRPr="006D71C7" w:rsidRDefault="007338BD" w:rsidP="006D71C7">
      <w:pPr>
        <w:pStyle w:val="Legenda"/>
        <w:spacing w:line="276" w:lineRule="auto"/>
        <w:jc w:val="both"/>
        <w:rPr>
          <w:b w:val="0"/>
          <w:i/>
          <w:color w:val="auto"/>
          <w:sz w:val="20"/>
          <w:szCs w:val="20"/>
        </w:rPr>
      </w:pPr>
      <w:bookmarkStart w:id="584" w:name="_Toc324853747"/>
      <w:bookmarkStart w:id="585" w:name="_Toc326046387"/>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35</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Rozkład projektów realizowanych w ramach Priorytetu VIII w podziale na obszar (wartość</w:t>
      </w:r>
      <w:r w:rsidR="009428B6" w:rsidRPr="006D71C7">
        <w:rPr>
          <w:b w:val="0"/>
          <w:i/>
          <w:color w:val="auto"/>
          <w:sz w:val="20"/>
          <w:szCs w:val="20"/>
        </w:rPr>
        <w:t xml:space="preserve"> w mln EUR</w:t>
      </w:r>
      <w:r w:rsidRPr="006D71C7">
        <w:rPr>
          <w:b w:val="0"/>
          <w:i/>
          <w:color w:val="auto"/>
          <w:sz w:val="20"/>
          <w:szCs w:val="20"/>
        </w:rPr>
        <w:t xml:space="preserve"> i liczba)</w:t>
      </w:r>
      <w:bookmarkEnd w:id="584"/>
      <w:bookmarkEnd w:id="585"/>
    </w:p>
    <w:tbl>
      <w:tblPr>
        <w:tblStyle w:val="redniasiatka3akcent1"/>
        <w:tblW w:w="9464" w:type="dxa"/>
        <w:jc w:val="center"/>
        <w:shd w:val="clear" w:color="auto" w:fill="F4B29B" w:themeFill="accent1" w:themeFillTint="66"/>
        <w:tblLook w:val="04A0" w:firstRow="1" w:lastRow="0" w:firstColumn="1" w:lastColumn="0" w:noHBand="0" w:noVBand="1"/>
      </w:tblPr>
      <w:tblGrid>
        <w:gridCol w:w="2303"/>
        <w:gridCol w:w="2303"/>
        <w:gridCol w:w="2303"/>
        <w:gridCol w:w="2555"/>
      </w:tblGrid>
      <w:tr w:rsidR="00A75D5A" w:rsidRPr="009F37F1" w:rsidTr="009F37F1">
        <w:trPr>
          <w:cnfStyle w:val="100000000000" w:firstRow="1" w:lastRow="0" w:firstColumn="0" w:lastColumn="0" w:oddVBand="0" w:evenVBand="0" w:oddHBand="0"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OBSZAR</w:t>
            </w:r>
          </w:p>
        </w:tc>
        <w:tc>
          <w:tcPr>
            <w:tcW w:w="2303" w:type="dxa"/>
            <w:shd w:val="clear" w:color="auto" w:fill="F4B29B" w:themeFill="accent1" w:themeFillTint="66"/>
            <w:vAlign w:val="center"/>
          </w:tcPr>
          <w:p w:rsidR="00C43B75" w:rsidRPr="00C43B75" w:rsidRDefault="00C43B75" w:rsidP="00C43B75">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LICZBA</w:t>
            </w:r>
          </w:p>
        </w:tc>
        <w:tc>
          <w:tcPr>
            <w:tcW w:w="2303" w:type="dxa"/>
            <w:shd w:val="clear" w:color="auto" w:fill="F4B29B" w:themeFill="accent1" w:themeFillTint="66"/>
            <w:vAlign w:val="center"/>
          </w:tcPr>
          <w:p w:rsidR="00C43B75" w:rsidRPr="00C43B75" w:rsidRDefault="00C43B75" w:rsidP="00C43B75">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WARTOŚĆ OGÓŁEM</w:t>
            </w:r>
          </w:p>
        </w:tc>
        <w:tc>
          <w:tcPr>
            <w:tcW w:w="2555" w:type="dxa"/>
            <w:shd w:val="clear" w:color="auto" w:fill="F4B29B" w:themeFill="accent1" w:themeFillTint="66"/>
            <w:vAlign w:val="center"/>
          </w:tcPr>
          <w:p w:rsidR="00C43B75" w:rsidRPr="00C43B75" w:rsidRDefault="00C43B75" w:rsidP="00C43B75">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DOFINANSOWANIE UE</w:t>
            </w:r>
          </w:p>
        </w:tc>
      </w:tr>
      <w:tr w:rsidR="00A75D5A" w:rsidRPr="009F37F1" w:rsidTr="009F3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MIEJSKI</w:t>
            </w:r>
          </w:p>
        </w:tc>
        <w:tc>
          <w:tcPr>
            <w:tcW w:w="2303" w:type="dxa"/>
            <w:tcBorders>
              <w:top w:val="single" w:sz="24" w:space="0" w:color="FFFFFF" w:themeColor="background1"/>
            </w:tcBorders>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66</w:t>
            </w:r>
          </w:p>
        </w:tc>
        <w:tc>
          <w:tcPr>
            <w:tcW w:w="2303" w:type="dxa"/>
            <w:tcBorders>
              <w:top w:val="single" w:sz="24" w:space="0" w:color="FFFFFF" w:themeColor="background1"/>
            </w:tcBorders>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80,60</w:t>
            </w:r>
          </w:p>
        </w:tc>
        <w:tc>
          <w:tcPr>
            <w:tcW w:w="2555" w:type="dxa"/>
            <w:tcBorders>
              <w:top w:val="single" w:sz="24" w:space="0" w:color="FFFFFF" w:themeColor="background1"/>
            </w:tcBorders>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64,43</w:t>
            </w:r>
          </w:p>
        </w:tc>
      </w:tr>
      <w:tr w:rsidR="00A75D5A" w:rsidRPr="009F37F1" w:rsidTr="009F37F1">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WIEJSKI</w:t>
            </w:r>
          </w:p>
        </w:tc>
        <w:tc>
          <w:tcPr>
            <w:tcW w:w="2303"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43B75">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43B75">
              <w:rPr>
                <w:b/>
                <w:sz w:val="20"/>
                <w:szCs w:val="20"/>
              </w:rPr>
              <w:t>10</w:t>
            </w:r>
          </w:p>
        </w:tc>
        <w:tc>
          <w:tcPr>
            <w:tcW w:w="2303"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43B75">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43B75">
              <w:rPr>
                <w:b/>
                <w:sz w:val="20"/>
                <w:szCs w:val="20"/>
              </w:rPr>
              <w:t>6,80</w:t>
            </w:r>
          </w:p>
        </w:tc>
        <w:tc>
          <w:tcPr>
            <w:tcW w:w="2555"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43B75">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43B75">
              <w:rPr>
                <w:b/>
                <w:sz w:val="20"/>
                <w:szCs w:val="20"/>
              </w:rPr>
              <w:t>4,98</w:t>
            </w:r>
          </w:p>
        </w:tc>
      </w:tr>
      <w:tr w:rsidR="00A75D5A" w:rsidRPr="009F37F1" w:rsidTr="009F3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GÓRSKI</w:t>
            </w:r>
          </w:p>
        </w:tc>
        <w:tc>
          <w:tcPr>
            <w:tcW w:w="2303" w:type="dxa"/>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1</w:t>
            </w:r>
          </w:p>
        </w:tc>
        <w:tc>
          <w:tcPr>
            <w:tcW w:w="2303" w:type="dxa"/>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0,28</w:t>
            </w:r>
          </w:p>
        </w:tc>
        <w:tc>
          <w:tcPr>
            <w:tcW w:w="2555" w:type="dxa"/>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43B75">
              <w:rPr>
                <w:b/>
                <w:sz w:val="20"/>
                <w:szCs w:val="20"/>
              </w:rPr>
              <w:t>0,23</w:t>
            </w:r>
          </w:p>
        </w:tc>
      </w:tr>
    </w:tbl>
    <w:p w:rsidR="00A75D5A" w:rsidRPr="006D71C7" w:rsidRDefault="00A75D5A" w:rsidP="006D71C7">
      <w:pPr>
        <w:jc w:val="both"/>
      </w:pPr>
    </w:p>
    <w:p w:rsidR="00A75D5A" w:rsidRPr="006D71C7" w:rsidRDefault="00A75D5A" w:rsidP="006D71C7">
      <w:pPr>
        <w:jc w:val="both"/>
        <w:rPr>
          <w:szCs w:val="24"/>
        </w:rPr>
      </w:pPr>
      <w:r w:rsidRPr="006D71C7">
        <w:rPr>
          <w:szCs w:val="24"/>
        </w:rPr>
        <w:t>W ramach priorytetu realizowane są projekty, których wartość dofinansowania kształtuje się w przedziale od 68 727,27 EUR do 8 084 245,99 EUR. Średnia wartość dofinansowania dla projektu wynosi 904 521,11 EUR, a średnia wartość całkowita projektu to 1 138 728,39 EUR.</w:t>
      </w:r>
    </w:p>
    <w:p w:rsidR="00753EEF" w:rsidRPr="006D71C7" w:rsidRDefault="00753EEF" w:rsidP="006D71C7">
      <w:pPr>
        <w:jc w:val="both"/>
        <w:rPr>
          <w:szCs w:val="24"/>
        </w:rPr>
      </w:pPr>
      <w:r w:rsidRPr="006D71C7">
        <w:rPr>
          <w:szCs w:val="24"/>
        </w:rPr>
        <w:t>W ramach priorytetu najwięcej pod względem kwotowym realizuje się projektów w Częstochowie, m.in. w związku z realizacją projektu kluczowego na terenie miasta (12 mln EUR). Najwięcej projektów realizowanych jest w Katowicach (11), Częstochowa (7), Bielsko- Biała (6).</w:t>
      </w:r>
    </w:p>
    <w:p w:rsidR="00FF47D3" w:rsidRPr="006D71C7" w:rsidRDefault="00FF47D3" w:rsidP="006D71C7">
      <w:pPr>
        <w:jc w:val="both"/>
        <w:rPr>
          <w:szCs w:val="24"/>
        </w:rPr>
      </w:pPr>
    </w:p>
    <w:p w:rsidR="00FF47D3" w:rsidRPr="006D71C7" w:rsidRDefault="00463A8F" w:rsidP="006D71C7">
      <w:pPr>
        <w:jc w:val="both"/>
        <w:rPr>
          <w:szCs w:val="24"/>
        </w:rPr>
      </w:pPr>
      <w:r w:rsidRPr="006D71C7">
        <w:rPr>
          <w:noProof/>
          <w:szCs w:val="24"/>
        </w:rPr>
        <w:drawing>
          <wp:inline distT="0" distB="0" distL="0" distR="0">
            <wp:extent cx="5759450" cy="5180874"/>
            <wp:effectExtent l="1905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srcRect/>
                    <a:stretch>
                      <a:fillRect/>
                    </a:stretch>
                  </pic:blipFill>
                  <pic:spPr bwMode="auto">
                    <a:xfrm>
                      <a:off x="0" y="0"/>
                      <a:ext cx="5759450" cy="5180874"/>
                    </a:xfrm>
                    <a:prstGeom prst="rect">
                      <a:avLst/>
                    </a:prstGeom>
                    <a:noFill/>
                    <a:ln w="9525">
                      <a:noFill/>
                      <a:miter lim="800000"/>
                      <a:headEnd/>
                      <a:tailEnd/>
                    </a:ln>
                  </pic:spPr>
                </pic:pic>
              </a:graphicData>
            </a:graphic>
          </wp:inline>
        </w:drawing>
      </w:r>
    </w:p>
    <w:p w:rsidR="00C43B75" w:rsidRPr="00C43B75" w:rsidRDefault="00C43B75" w:rsidP="00C43B75">
      <w:pPr>
        <w:pStyle w:val="Legenda"/>
        <w:rPr>
          <w:i/>
          <w:sz w:val="20"/>
          <w:szCs w:val="20"/>
        </w:rPr>
      </w:pPr>
      <w:bookmarkStart w:id="586" w:name="_Toc324786949"/>
      <w:bookmarkStart w:id="587" w:name="_Toc324854715"/>
      <w:bookmarkStart w:id="588" w:name="_Toc324854779"/>
      <w:bookmarkStart w:id="589" w:name="_Toc326055371"/>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53</w:t>
      </w:r>
      <w:r w:rsidR="008F7228" w:rsidRPr="00C43B75">
        <w:rPr>
          <w:color w:val="auto"/>
          <w:sz w:val="20"/>
          <w:szCs w:val="20"/>
        </w:rPr>
        <w:fldChar w:fldCharType="end"/>
      </w:r>
      <w:r w:rsidR="009F37F1">
        <w:rPr>
          <w:color w:val="auto"/>
          <w:sz w:val="20"/>
          <w:szCs w:val="20"/>
        </w:rPr>
        <w:t xml:space="preserve"> </w:t>
      </w:r>
      <w:r w:rsidRPr="00C43B75">
        <w:rPr>
          <w:b w:val="0"/>
          <w:bCs w:val="0"/>
          <w:i/>
          <w:color w:val="auto"/>
          <w:sz w:val="20"/>
          <w:szCs w:val="20"/>
        </w:rPr>
        <w:t>Rozkład projektów w podziale na powiaty</w:t>
      </w:r>
      <w:bookmarkEnd w:id="586"/>
      <w:bookmarkEnd w:id="587"/>
      <w:bookmarkEnd w:id="588"/>
      <w:bookmarkEnd w:id="589"/>
      <w:r w:rsidRPr="00C43B75">
        <w:rPr>
          <w:b w:val="0"/>
          <w:bCs w:val="0"/>
          <w:i/>
          <w:color w:val="auto"/>
          <w:sz w:val="20"/>
          <w:szCs w:val="20"/>
        </w:rPr>
        <w:t xml:space="preserve"> </w:t>
      </w:r>
    </w:p>
    <w:p w:rsidR="00E439A9" w:rsidRPr="006D71C7" w:rsidRDefault="00E439A9" w:rsidP="006D71C7">
      <w:pPr>
        <w:jc w:val="both"/>
        <w:rPr>
          <w:b/>
          <w:i/>
          <w:szCs w:val="24"/>
        </w:rPr>
      </w:pPr>
      <w:r w:rsidRPr="006D71C7">
        <w:rPr>
          <w:b/>
          <w:i/>
          <w:szCs w:val="24"/>
        </w:rPr>
        <w:t>Analiza wskaźnikowa</w:t>
      </w:r>
    </w:p>
    <w:p w:rsidR="00E439A9" w:rsidRPr="006D71C7" w:rsidRDefault="00E439A9" w:rsidP="006D71C7">
      <w:pPr>
        <w:spacing w:after="0"/>
        <w:jc w:val="both"/>
      </w:pPr>
      <w:r w:rsidRPr="006D71C7">
        <w:t xml:space="preserve">W priorytecie VIII wśród wskaźników produktu największą realizację odnotowano dla wskaźnika </w:t>
      </w:r>
      <w:r w:rsidRPr="006D71C7">
        <w:rPr>
          <w:i/>
        </w:rPr>
        <w:t>Liczba obiektów dydaktycznych objętych wsparciem, w tym: dot. szkolnictwa wyższego</w:t>
      </w:r>
      <w:r w:rsidRPr="006D71C7">
        <w:t>, który osiągnął 146% wartości docelowej dla roku 2015, a realizacja 2 następnych wskaźników przekroczyła pułap 75% końcowej wartości docelowej.</w:t>
      </w:r>
    </w:p>
    <w:p w:rsidR="00E439A9" w:rsidRPr="006D71C7" w:rsidRDefault="00E439A9" w:rsidP="006D71C7">
      <w:pPr>
        <w:spacing w:after="0"/>
        <w:jc w:val="both"/>
        <w:rPr>
          <w:rFonts w:eastAsia="Calibri" w:cs="Calibri"/>
        </w:rPr>
      </w:pPr>
      <w:r w:rsidRPr="006D71C7">
        <w:t xml:space="preserve">W priorytecie wśród wszystkich 3 wskaźników rezultatu wystąpiła realizacja, a największa dla wskaźnika </w:t>
      </w:r>
      <w:r w:rsidRPr="006D71C7">
        <w:rPr>
          <w:i/>
        </w:rPr>
        <w:t>Liczba uczniów korzystających ze wspartej infrastruktury edukacyjnej</w:t>
      </w:r>
      <w:r w:rsidRPr="006D71C7">
        <w:t xml:space="preserve">, który osiągnął 44% wartości docelowej wskaźnika dla roku 2015. </w:t>
      </w:r>
    </w:p>
    <w:p w:rsidR="00E439A9" w:rsidRPr="006D71C7" w:rsidRDefault="00E439A9" w:rsidP="006D71C7">
      <w:pPr>
        <w:spacing w:after="0"/>
        <w:jc w:val="both"/>
        <w:rPr>
          <w:rFonts w:eastAsia="Calibri" w:cs="Calibri"/>
        </w:rPr>
      </w:pPr>
      <w:r w:rsidRPr="006D71C7">
        <w:t xml:space="preserve">Postęp wskaźnika </w:t>
      </w:r>
      <w:r w:rsidRPr="006D71C7">
        <w:rPr>
          <w:rFonts w:eastAsia="Arial" w:cs="Arial"/>
          <w:i/>
        </w:rPr>
        <w:t xml:space="preserve">Liczba obiektów dydaktycznych objętych wsparciem </w:t>
      </w:r>
      <w:r w:rsidRPr="006D71C7">
        <w:t>stanowi odpowiedź na wskazaną w analizie SWOT słabą stronę „niedoinwestowanie infrastruktury edukacyjnej”. W chwili obecnej spodziewany poziom szacownej realizacji wskazuje na osiągnięcie wartości realizacji wskaźnika na poziomie 77 sztuk przy założonej wartości docelowej dla 2015 roku wynoszącej 53 sztuki.</w:t>
      </w:r>
      <w:r w:rsidR="000D2128" w:rsidRPr="006D71C7">
        <w:t xml:space="preserve"> </w:t>
      </w:r>
    </w:p>
    <w:p w:rsidR="00E439A9" w:rsidRPr="006D71C7" w:rsidRDefault="00E439A9" w:rsidP="006D71C7">
      <w:pPr>
        <w:spacing w:after="0"/>
        <w:jc w:val="both"/>
      </w:pPr>
      <w:r w:rsidRPr="006D71C7">
        <w:t xml:space="preserve">W ramach priorytetu realizowane są wskaźniki Komisji Europejskiej tzw. </w:t>
      </w:r>
      <w:r w:rsidRPr="006D71C7">
        <w:rPr>
          <w:i/>
        </w:rPr>
        <w:t>Core Indicators</w:t>
      </w:r>
      <w:r w:rsidRPr="006D71C7">
        <w:t>, są to:</w:t>
      </w:r>
    </w:p>
    <w:p w:rsidR="00341D42" w:rsidRPr="00341D42" w:rsidRDefault="00341D42" w:rsidP="00BA2FE7">
      <w:pPr>
        <w:pStyle w:val="Akapitzlist"/>
        <w:numPr>
          <w:ilvl w:val="0"/>
          <w:numId w:val="114"/>
        </w:numPr>
        <w:spacing w:after="0"/>
        <w:ind w:left="714" w:hanging="357"/>
        <w:jc w:val="both"/>
        <w:rPr>
          <w:i/>
        </w:rPr>
      </w:pPr>
      <w:r w:rsidRPr="00341D42">
        <w:rPr>
          <w:i/>
        </w:rPr>
        <w:t>Liczba projektów dot. infrastruktury społeczeństwa informacyjnego</w:t>
      </w:r>
      <w:r>
        <w:rPr>
          <w:i/>
        </w:rPr>
        <w:t>,</w:t>
      </w:r>
    </w:p>
    <w:p w:rsidR="00341D42" w:rsidRDefault="00341D42" w:rsidP="00BA2FE7">
      <w:pPr>
        <w:pStyle w:val="Akapitzlist"/>
        <w:numPr>
          <w:ilvl w:val="0"/>
          <w:numId w:val="114"/>
        </w:numPr>
        <w:spacing w:after="0"/>
        <w:ind w:left="714" w:hanging="357"/>
        <w:jc w:val="both"/>
        <w:rPr>
          <w:i/>
        </w:rPr>
      </w:pPr>
      <w:r w:rsidRPr="00341D42">
        <w:rPr>
          <w:i/>
        </w:rPr>
        <w:t>Liczba studentów korzystających ze wspartej infrastruktury edukacyjnej</w:t>
      </w:r>
      <w:r>
        <w:rPr>
          <w:i/>
        </w:rPr>
        <w:t>.</w:t>
      </w:r>
    </w:p>
    <w:p w:rsidR="00341D42" w:rsidRPr="00341D42" w:rsidRDefault="00341D42" w:rsidP="00341D42">
      <w:pPr>
        <w:pStyle w:val="Akapitzlist"/>
        <w:spacing w:after="0"/>
        <w:ind w:left="714"/>
        <w:jc w:val="both"/>
        <w:rPr>
          <w:i/>
        </w:rPr>
      </w:pPr>
    </w:p>
    <w:p w:rsidR="000D2128" w:rsidRPr="006D71C7" w:rsidRDefault="000D2128" w:rsidP="006D71C7">
      <w:pPr>
        <w:spacing w:after="120"/>
        <w:jc w:val="both"/>
        <w:rPr>
          <w:b/>
          <w:bCs/>
          <w:i/>
          <w:szCs w:val="24"/>
        </w:rPr>
      </w:pPr>
      <w:r w:rsidRPr="006D71C7">
        <w:rPr>
          <w:b/>
          <w:bCs/>
          <w:i/>
          <w:szCs w:val="24"/>
        </w:rPr>
        <w:t>Realizacja ewentualnych zaleceń i rekomendacji KE odnoszące się do priorytetu:</w:t>
      </w:r>
    </w:p>
    <w:p w:rsidR="000D2128" w:rsidRPr="006D71C7" w:rsidRDefault="000D2128" w:rsidP="00BA2FE7">
      <w:pPr>
        <w:pStyle w:val="Akapitzlist"/>
        <w:numPr>
          <w:ilvl w:val="0"/>
          <w:numId w:val="92"/>
        </w:numPr>
        <w:spacing w:after="0"/>
        <w:ind w:left="714" w:hanging="357"/>
        <w:jc w:val="both"/>
        <w:rPr>
          <w:bCs/>
          <w:szCs w:val="24"/>
        </w:rPr>
      </w:pPr>
      <w:r w:rsidRPr="006D71C7">
        <w:rPr>
          <w:spacing w:val="-4"/>
          <w:szCs w:val="24"/>
        </w:rPr>
        <w:t>analiza koncentruje się wokół celu/celów priorytetu VIII,</w:t>
      </w:r>
    </w:p>
    <w:p w:rsidR="009428B6" w:rsidRPr="006D71C7" w:rsidRDefault="009428B6" w:rsidP="00BA2FE7">
      <w:pPr>
        <w:pStyle w:val="Akapitzlist"/>
        <w:numPr>
          <w:ilvl w:val="0"/>
          <w:numId w:val="92"/>
        </w:numPr>
        <w:spacing w:after="0"/>
        <w:ind w:left="714" w:hanging="357"/>
        <w:jc w:val="both"/>
        <w:rPr>
          <w:bCs/>
          <w:szCs w:val="24"/>
        </w:rPr>
      </w:pPr>
      <w:r w:rsidRPr="006D71C7">
        <w:rPr>
          <w:spacing w:val="-4"/>
          <w:szCs w:val="24"/>
        </w:rPr>
        <w:t>zmiana prezentacji danych wskaźnikowych.</w:t>
      </w:r>
    </w:p>
    <w:p w:rsidR="000D2128" w:rsidRPr="006D71C7" w:rsidRDefault="000D2128" w:rsidP="006D71C7">
      <w:pPr>
        <w:pStyle w:val="Akapitzlist"/>
        <w:spacing w:after="120"/>
        <w:ind w:left="0"/>
        <w:jc w:val="both"/>
        <w:rPr>
          <w:b/>
          <w:bCs/>
          <w:i/>
          <w:szCs w:val="24"/>
        </w:rPr>
      </w:pPr>
    </w:p>
    <w:p w:rsidR="000D2128" w:rsidRPr="006D71C7" w:rsidRDefault="000D2128" w:rsidP="006D71C7">
      <w:pPr>
        <w:pStyle w:val="Akapitzlist"/>
        <w:spacing w:after="240"/>
        <w:ind w:left="0"/>
        <w:jc w:val="both"/>
        <w:rPr>
          <w:b/>
          <w:bCs/>
          <w:i/>
          <w:szCs w:val="24"/>
        </w:rPr>
      </w:pPr>
      <w:r w:rsidRPr="006D71C7">
        <w:rPr>
          <w:b/>
          <w:bCs/>
          <w:i/>
          <w:szCs w:val="24"/>
        </w:rPr>
        <w:t>Rekomendacje IZ odnośnie do dalszego przebiegu realizacji priorytetu:</w:t>
      </w:r>
    </w:p>
    <w:p w:rsidR="000D2128" w:rsidRPr="006D71C7" w:rsidRDefault="000D2128" w:rsidP="006D71C7">
      <w:pPr>
        <w:pStyle w:val="Akapitzlist"/>
        <w:spacing w:before="120" w:after="240"/>
        <w:ind w:left="0"/>
        <w:jc w:val="both"/>
        <w:rPr>
          <w:rFonts w:eastAsia="Calibri"/>
          <w:i/>
          <w:szCs w:val="24"/>
        </w:rPr>
      </w:pPr>
      <w:r w:rsidRPr="006D71C7">
        <w:rPr>
          <w:rFonts w:eastAsia="Calibri"/>
          <w:szCs w:val="24"/>
        </w:rPr>
        <w:t xml:space="preserve">IZ RPO WSL na bieżąco monitoruje postęp wdrażania priorytetu VIII zarówno w zakresie postępu finansowego jak i rzeczowego. Biorąc pod uwagę projekty wybrane do dofinansowania, IZ RPO WSL uznaje że przekazane wsparcie w pełni realizuje cele, jakie zostały założone na etapie programowania uwzględniając wyniki diagnozy społeczno-gospodarczej ujętej w </w:t>
      </w:r>
      <w:r w:rsidRPr="006D71C7">
        <w:rPr>
          <w:rFonts w:eastAsia="Calibri"/>
          <w:i/>
          <w:szCs w:val="24"/>
        </w:rPr>
        <w:t>Programie.</w:t>
      </w:r>
      <w:r w:rsidR="00AF1772" w:rsidRPr="006D71C7">
        <w:rPr>
          <w:rFonts w:eastAsia="Calibri"/>
          <w:szCs w:val="24"/>
        </w:rPr>
        <w:t xml:space="preserve"> W kolejnym okresie sprawozdawczym IZ RPO WSL</w:t>
      </w:r>
      <w:r w:rsidR="00AF1772" w:rsidRPr="006D71C7">
        <w:rPr>
          <w:rFonts w:eastAsia="Calibri"/>
          <w:i/>
          <w:szCs w:val="24"/>
        </w:rPr>
        <w:t xml:space="preserve"> </w:t>
      </w:r>
      <w:r w:rsidR="00AF1772" w:rsidRPr="006D71C7">
        <w:rPr>
          <w:rFonts w:eastAsia="Calibri"/>
          <w:szCs w:val="24"/>
        </w:rPr>
        <w:t xml:space="preserve">na bieżąco będzie monitorować postęp rzeczowy i finansowy priorytetu w celu sprawnego i efektywnego wdrażania, </w:t>
      </w:r>
      <w:r w:rsidR="00BE0BFE" w:rsidRPr="006D71C7">
        <w:rPr>
          <w:rFonts w:eastAsia="Calibri"/>
          <w:szCs w:val="24"/>
        </w:rPr>
        <w:t xml:space="preserve">ponadto </w:t>
      </w:r>
      <w:r w:rsidR="00AF1772" w:rsidRPr="006D71C7">
        <w:rPr>
          <w:rFonts w:eastAsia="Calibri"/>
          <w:szCs w:val="24"/>
        </w:rPr>
        <w:t>na bieżąco będzie kontaktować się z beneficjentami.</w:t>
      </w:r>
    </w:p>
    <w:p w:rsidR="00E439A9" w:rsidRPr="006D71C7" w:rsidRDefault="007D0937" w:rsidP="006D71C7">
      <w:pPr>
        <w:jc w:val="both"/>
        <w:rPr>
          <w:b/>
          <w:i/>
          <w:szCs w:val="24"/>
        </w:rPr>
      </w:pPr>
      <w:r w:rsidRPr="006D71C7">
        <w:rPr>
          <w:b/>
          <w:i/>
          <w:szCs w:val="24"/>
        </w:rPr>
        <w:t>Analiza jakościowa</w:t>
      </w:r>
    </w:p>
    <w:p w:rsidR="007D0937" w:rsidRPr="006D71C7" w:rsidRDefault="007D0937" w:rsidP="006D71C7">
      <w:pPr>
        <w:widowControl w:val="0"/>
        <w:autoSpaceDE w:val="0"/>
        <w:autoSpaceDN w:val="0"/>
        <w:adjustRightInd w:val="0"/>
        <w:spacing w:after="240"/>
        <w:ind w:right="-23"/>
        <w:jc w:val="both"/>
        <w:rPr>
          <w:szCs w:val="24"/>
        </w:rPr>
      </w:pPr>
      <w:r w:rsidRPr="006D71C7">
        <w:rPr>
          <w:szCs w:val="24"/>
        </w:rPr>
        <w:t>W przypadku województwa śląskiego zmiany zachodzące na rynku pracy na skutek restrukturyzacji tradycyjnej gospodarki wymuszają dostosowanie metod nauczania na wszystkich szczeblach do nowych warunków. Rozwój najbardziej poszukiwanych kwalifikacji wymaga istnienia kompleksowego systemu edukacyjnego. Zmieniająca się rola szkoły, wymaga rozbudowy i odpowiedniego wyposażenia jej bazy socjalnej oraz technicznej. Jakość kształcenia zależy między innymi od warunków lokalowych oraz wyposażenia placówek, w których są prowadzone zajęcia dydaktyczne. Dla uczelni wyższych, szczególnie technicznych, ograniczony dostęp do kosztownego wyposażenia stanowi istotną barierę rozwoju. Duże potrzeby w zakresie poprawy infrastruktury występują także na niższych szczeblach edukacji. Zachodzące zmiany społeczne oraz postęp technologiczny wymuszają adaptację metod nauczania do nowych warunków i wyzwań stawianych przez życie.</w:t>
      </w:r>
    </w:p>
    <w:p w:rsidR="007D0937" w:rsidRPr="006D71C7" w:rsidRDefault="007D0937" w:rsidP="006D71C7">
      <w:pPr>
        <w:spacing w:after="120"/>
        <w:jc w:val="both"/>
        <w:outlineLvl w:val="1"/>
        <w:rPr>
          <w:szCs w:val="24"/>
        </w:rPr>
      </w:pPr>
      <w:bookmarkStart w:id="590" w:name="_Toc324786879"/>
      <w:bookmarkStart w:id="591" w:name="_Toc324853939"/>
      <w:bookmarkStart w:id="592" w:name="_Toc327259291"/>
      <w:r w:rsidRPr="006D71C7">
        <w:rPr>
          <w:szCs w:val="24"/>
        </w:rPr>
        <w:t>Na potrzeby powyższych wyzwań w RPO WSL został wpisany priorytet VIII, którego celem jest stworzenie warunków do rozwoju społeczeństwa o wysokich kwalifikacjach zawodowych, poszukiwanych na rynku pracy.</w:t>
      </w:r>
      <w:bookmarkEnd w:id="590"/>
      <w:bookmarkEnd w:id="591"/>
      <w:bookmarkEnd w:id="592"/>
    </w:p>
    <w:p w:rsidR="007D0937" w:rsidRPr="006D71C7" w:rsidRDefault="007D0937" w:rsidP="006D71C7">
      <w:pPr>
        <w:widowControl w:val="0"/>
        <w:autoSpaceDE w:val="0"/>
        <w:autoSpaceDN w:val="0"/>
        <w:adjustRightInd w:val="0"/>
        <w:spacing w:after="240"/>
        <w:ind w:right="-23"/>
        <w:jc w:val="both"/>
        <w:rPr>
          <w:szCs w:val="24"/>
        </w:rPr>
      </w:pPr>
      <w:r w:rsidRPr="006D71C7">
        <w:rPr>
          <w:szCs w:val="24"/>
        </w:rPr>
        <w:t>Województwo śląskie jest jednym z największy</w:t>
      </w:r>
      <w:r w:rsidR="007B6007" w:rsidRPr="006D71C7">
        <w:rPr>
          <w:szCs w:val="24"/>
        </w:rPr>
        <w:t>ch w kraju ośrodków naukowych i </w:t>
      </w:r>
      <w:r w:rsidRPr="006D71C7">
        <w:rPr>
          <w:szCs w:val="24"/>
        </w:rPr>
        <w:t>akademickich. Na terenie województwa śląskiego działają 44 szkoły wyższe, z czego 20</w:t>
      </w:r>
      <w:r w:rsidR="009428B6" w:rsidRPr="006D71C7">
        <w:rPr>
          <w:szCs w:val="24"/>
        </w:rPr>
        <w:t> </w:t>
      </w:r>
      <w:r w:rsidRPr="006D71C7">
        <w:rPr>
          <w:szCs w:val="24"/>
        </w:rPr>
        <w:t>wyższych uczelni znajduje się w Katowicach. Śląskie uczelnie kształcą ponad 190 tys. osób, natomiast śląscy absolwenci stanowią ponad 10% wszystkich absolwentów w Polsce. Przemysłowe tradycje regionu sprawiają, że duża liczba studentów wybiera studia o</w:t>
      </w:r>
      <w:r w:rsidR="009428B6" w:rsidRPr="006D71C7">
        <w:rPr>
          <w:szCs w:val="24"/>
        </w:rPr>
        <w:t> </w:t>
      </w:r>
      <w:r w:rsidRPr="006D71C7">
        <w:rPr>
          <w:szCs w:val="24"/>
        </w:rPr>
        <w:t xml:space="preserve">charakterze politechnicznym. W Polsce na wyższych uczelniach technicznych studiuje 19,5% ogółu studentów, tymczasem w regionie współczynnik ten wynosi 27,4%. </w:t>
      </w:r>
      <w:bookmarkStart w:id="593" w:name="_Toc292889023"/>
      <w:bookmarkStart w:id="594" w:name="_Toc292793641"/>
      <w:bookmarkStart w:id="595" w:name="_Toc292789340"/>
      <w:r w:rsidRPr="006D71C7">
        <w:rPr>
          <w:szCs w:val="24"/>
        </w:rPr>
        <w:t>Dzięki środkom pochodzącym z RPO WSL poprawie uległ stan infrastruktury szkolnictwa wyższego.  Najaktywniejszym beneficjentem wśród uczelni wyżs</w:t>
      </w:r>
      <w:r w:rsidR="007B6007" w:rsidRPr="006D71C7">
        <w:rPr>
          <w:szCs w:val="24"/>
        </w:rPr>
        <w:t>zych jest Politechnika Śląska w </w:t>
      </w:r>
      <w:r w:rsidRPr="006D71C7">
        <w:rPr>
          <w:szCs w:val="24"/>
        </w:rPr>
        <w:t>Gliwicach, która otrzymała dofinansowanie na realizacj</w:t>
      </w:r>
      <w:r w:rsidR="007B6007" w:rsidRPr="006D71C7">
        <w:rPr>
          <w:szCs w:val="24"/>
        </w:rPr>
        <w:t>ę 5 projektów na kwotę prawie 6 </w:t>
      </w:r>
      <w:r w:rsidRPr="006D71C7">
        <w:rPr>
          <w:szCs w:val="24"/>
        </w:rPr>
        <w:t xml:space="preserve">mln EUR dofinansowania. W Katowicach najwięcej projektów realizowanych jest przez Uniwersytet Śląski, który otrzymał dofinansowanie na realizację 3 projektów na kwotę dofinansowania 4 mln EUR. </w:t>
      </w:r>
      <w:r w:rsidR="001803F7" w:rsidRPr="006D71C7">
        <w:rPr>
          <w:szCs w:val="24"/>
        </w:rPr>
        <w:t xml:space="preserve">Jednym z najistotniejszych projektów realizowanych w ramach infrastruktury edukacyjnej jest projekt kluczowy </w:t>
      </w:r>
      <w:r w:rsidRPr="006D71C7">
        <w:rPr>
          <w:b/>
          <w:i/>
          <w:szCs w:val="24"/>
        </w:rPr>
        <w:t>Wydział Nauk Społecznych – rozbudowa bazy naukowo</w:t>
      </w:r>
      <w:r w:rsidR="00085743" w:rsidRPr="006D71C7">
        <w:rPr>
          <w:b/>
          <w:i/>
          <w:szCs w:val="24"/>
        </w:rPr>
        <w:t xml:space="preserve"> </w:t>
      </w:r>
      <w:r w:rsidRPr="006D71C7">
        <w:rPr>
          <w:b/>
          <w:i/>
          <w:szCs w:val="24"/>
        </w:rPr>
        <w:t>-</w:t>
      </w:r>
      <w:r w:rsidR="00085743" w:rsidRPr="006D71C7">
        <w:rPr>
          <w:b/>
          <w:i/>
          <w:szCs w:val="24"/>
        </w:rPr>
        <w:t xml:space="preserve"> </w:t>
      </w:r>
      <w:r w:rsidRPr="006D71C7">
        <w:rPr>
          <w:b/>
          <w:i/>
          <w:szCs w:val="24"/>
        </w:rPr>
        <w:t>dydaktyczn</w:t>
      </w:r>
      <w:r w:rsidR="007B6007" w:rsidRPr="006D71C7">
        <w:rPr>
          <w:b/>
          <w:i/>
          <w:szCs w:val="24"/>
        </w:rPr>
        <w:t>ej Akademii im. Jana Długosza w </w:t>
      </w:r>
      <w:r w:rsidRPr="006D71C7">
        <w:rPr>
          <w:b/>
          <w:i/>
          <w:szCs w:val="24"/>
        </w:rPr>
        <w:t>perspektywie powołania Uniwersytetu w Częstochowie</w:t>
      </w:r>
      <w:r w:rsidRPr="006D71C7">
        <w:rPr>
          <w:i/>
          <w:szCs w:val="24"/>
        </w:rPr>
        <w:t>.</w:t>
      </w:r>
      <w:r w:rsidR="00F70AEF" w:rsidRPr="006D71C7">
        <w:rPr>
          <w:i/>
          <w:szCs w:val="24"/>
        </w:rPr>
        <w:t xml:space="preserve"> </w:t>
      </w:r>
      <w:r w:rsidR="00F70AEF" w:rsidRPr="006D71C7">
        <w:rPr>
          <w:szCs w:val="24"/>
        </w:rPr>
        <w:t xml:space="preserve">Przedmiotem projektu jest m.in. </w:t>
      </w:r>
      <w:r w:rsidR="00F70AEF" w:rsidRPr="006D71C7">
        <w:t>przebudowa auli w taki sposób, by w wyniku realizacji projektu powstał nowoczesny obiekt dydaktyczny. Wykonanie zakresu rzeczowego zadania doprowadzi do powstania miejsca o funkcjach: dydaktycznej, konferencyjnej i koncertowej.</w:t>
      </w:r>
      <w:r w:rsidRPr="006D71C7">
        <w:rPr>
          <w:szCs w:val="24"/>
        </w:rPr>
        <w:t xml:space="preserve"> </w:t>
      </w:r>
      <w:r w:rsidR="00F70AEF" w:rsidRPr="006D71C7">
        <w:rPr>
          <w:szCs w:val="24"/>
        </w:rPr>
        <w:t>Realizacja projektu ma na celu</w:t>
      </w:r>
      <w:r w:rsidR="00EA024E" w:rsidRPr="006D71C7">
        <w:rPr>
          <w:szCs w:val="24"/>
        </w:rPr>
        <w:t xml:space="preserve"> stworzenie warunków </w:t>
      </w:r>
      <w:r w:rsidR="000147E5">
        <w:t>do </w:t>
      </w:r>
      <w:r w:rsidRPr="006D71C7">
        <w:t>kreowania</w:t>
      </w:r>
      <w:r w:rsidRPr="006D71C7">
        <w:rPr>
          <w:szCs w:val="24"/>
        </w:rPr>
        <w:t xml:space="preserve"> społeczeństwa o wysokich kwalifikacjach zawodowych, polepszenie sytuacji studentów na rynku pracy, stworzenie wyróżniającego się w skali regionu i kraju ośrodka naukowego – w perspektywie powołania Un</w:t>
      </w:r>
      <w:r w:rsidR="007B6007" w:rsidRPr="006D71C7">
        <w:rPr>
          <w:szCs w:val="24"/>
        </w:rPr>
        <w:t>iwersytetu Częstochowskiego, co </w:t>
      </w:r>
      <w:r w:rsidRPr="006D71C7">
        <w:rPr>
          <w:szCs w:val="24"/>
        </w:rPr>
        <w:t>w konsekwencji spowoduje wzrost atrakcyjności i warto</w:t>
      </w:r>
      <w:r w:rsidR="007B6007" w:rsidRPr="006D71C7">
        <w:rPr>
          <w:szCs w:val="24"/>
        </w:rPr>
        <w:t>ści inwestycyjnej Częstochowy i </w:t>
      </w:r>
      <w:r w:rsidRPr="006D71C7">
        <w:rPr>
          <w:szCs w:val="24"/>
        </w:rPr>
        <w:t>regionu dla potencjalnych inwestorów. Projekt pośrednio przyczyni się do stworzenia nowych miejsc pracy, nastąpi wyrównanie szans rozwojowych uboższych regionów województwa śląskiego, co w konsekwencji podniesie konkurencyjność tego terenu.</w:t>
      </w:r>
    </w:p>
    <w:p w:rsidR="007F09C3" w:rsidRPr="006D71C7" w:rsidRDefault="001803F7" w:rsidP="006D71C7">
      <w:pPr>
        <w:jc w:val="both"/>
        <w:rPr>
          <w:b/>
          <w:i/>
          <w:szCs w:val="24"/>
        </w:rPr>
      </w:pPr>
      <w:r w:rsidRPr="006D71C7">
        <w:rPr>
          <w:szCs w:val="24"/>
        </w:rPr>
        <w:t xml:space="preserve">Ponadto w ramach przedmiotowego priorytetu </w:t>
      </w:r>
      <w:r w:rsidRPr="006D71C7">
        <w:rPr>
          <w:rFonts w:eastAsia="Calibri"/>
          <w:szCs w:val="24"/>
        </w:rPr>
        <w:t>wspierane są</w:t>
      </w:r>
      <w:r w:rsidR="00682376" w:rsidRPr="006D71C7">
        <w:rPr>
          <w:rFonts w:eastAsia="Calibri"/>
          <w:szCs w:val="24"/>
        </w:rPr>
        <w:t xml:space="preserve"> także</w:t>
      </w:r>
      <w:r w:rsidRPr="006D71C7">
        <w:rPr>
          <w:rFonts w:eastAsia="Calibri"/>
          <w:szCs w:val="24"/>
        </w:rPr>
        <w:t xml:space="preserve"> projekty podnoszące standard infrastruktury</w:t>
      </w:r>
      <w:r w:rsidR="00682376" w:rsidRPr="006D71C7">
        <w:rPr>
          <w:rFonts w:eastAsia="Calibri"/>
          <w:szCs w:val="24"/>
        </w:rPr>
        <w:t xml:space="preserve"> </w:t>
      </w:r>
      <w:r w:rsidRPr="006D71C7">
        <w:rPr>
          <w:rFonts w:eastAsia="Calibri"/>
          <w:szCs w:val="24"/>
        </w:rPr>
        <w:t>placówek edukacyjnych na poziomie podstawowym i gimnazjalnym, w celu dostosowania ich do</w:t>
      </w:r>
      <w:r w:rsidR="00682376" w:rsidRPr="006D71C7">
        <w:rPr>
          <w:rFonts w:eastAsia="Calibri"/>
          <w:szCs w:val="24"/>
        </w:rPr>
        <w:t xml:space="preserve"> </w:t>
      </w:r>
      <w:r w:rsidRPr="006D71C7">
        <w:rPr>
          <w:rFonts w:eastAsia="Calibri"/>
          <w:szCs w:val="24"/>
        </w:rPr>
        <w:t xml:space="preserve">współczesnych wymagań </w:t>
      </w:r>
      <w:r w:rsidR="00682376" w:rsidRPr="006D71C7">
        <w:rPr>
          <w:rFonts w:eastAsia="Calibri"/>
          <w:szCs w:val="24"/>
        </w:rPr>
        <w:t>i nowych metod nauczania.</w:t>
      </w:r>
      <w:r w:rsidR="007F09C3" w:rsidRPr="006D71C7">
        <w:rPr>
          <w:rFonts w:eastAsia="Calibri"/>
          <w:szCs w:val="24"/>
        </w:rPr>
        <w:t xml:space="preserve"> W ramach zrealizowanych projektów  wybudowano 4 przedszkola np. </w:t>
      </w:r>
      <w:r w:rsidR="007F09C3" w:rsidRPr="006D71C7">
        <w:rPr>
          <w:b/>
          <w:i/>
          <w:szCs w:val="24"/>
        </w:rPr>
        <w:t xml:space="preserve">Budowa przedszkola publicznego w Ochabach w gminie Skoczów - </w:t>
      </w:r>
      <w:r w:rsidR="007F09C3" w:rsidRPr="006D71C7">
        <w:t xml:space="preserve">realizacja projektu poprawi warunki kształcenia na poziomie przedszkolnym w gminie Skoczów i wyrówna szanse edukacyjne dzieci wiejskich. Dzięki realizacji projektów </w:t>
      </w:r>
      <w:r w:rsidR="005C2EC8" w:rsidRPr="006D71C7">
        <w:t>zostało zakupionych 2 610 szt. urządzeń dydaktycznych i pomocy naukowych.</w:t>
      </w:r>
    </w:p>
    <w:p w:rsidR="007D0937" w:rsidRPr="006D71C7" w:rsidRDefault="007D0937" w:rsidP="006D71C7">
      <w:pPr>
        <w:autoSpaceDE w:val="0"/>
        <w:autoSpaceDN w:val="0"/>
        <w:adjustRightInd w:val="0"/>
        <w:spacing w:after="0"/>
        <w:jc w:val="both"/>
        <w:rPr>
          <w:szCs w:val="24"/>
        </w:rPr>
      </w:pPr>
      <w:r w:rsidRPr="006D71C7">
        <w:rPr>
          <w:szCs w:val="24"/>
        </w:rPr>
        <w:t>Poprawie uległ także stan infrastruktury placówek oświaty, kt</w:t>
      </w:r>
      <w:r w:rsidR="007B6007" w:rsidRPr="006D71C7">
        <w:rPr>
          <w:szCs w:val="24"/>
        </w:rPr>
        <w:t>óre zmodernizowano i </w:t>
      </w:r>
      <w:r w:rsidRPr="006D71C7">
        <w:rPr>
          <w:szCs w:val="24"/>
        </w:rPr>
        <w:t xml:space="preserve">doposażono w niezbędne wyposażenie. </w:t>
      </w:r>
      <w:bookmarkEnd w:id="593"/>
      <w:bookmarkEnd w:id="594"/>
      <w:bookmarkEnd w:id="595"/>
      <w:r w:rsidRPr="006D71C7">
        <w:rPr>
          <w:szCs w:val="24"/>
        </w:rPr>
        <w:t xml:space="preserve">Kolejnym obszarem wspieranym w ramach przedmiotowego priorytetu jest infrastruktura kształcenia ustawicznego, która wspierana jest przez </w:t>
      </w:r>
      <w:r w:rsidR="007338BD" w:rsidRPr="006D71C7">
        <w:rPr>
          <w:i/>
          <w:szCs w:val="24"/>
        </w:rPr>
        <w:t>działanie 8.3.</w:t>
      </w:r>
      <w:r w:rsidRPr="006D71C7">
        <w:rPr>
          <w:szCs w:val="24"/>
        </w:rPr>
        <w:t xml:space="preserve"> Efektem realizowanych inwestycji jest wyremontowanie ponad 256 m kw. powierzchni pracowni komputerowych oraz zakup ponad 1 370 szt. wyposażenia.</w:t>
      </w:r>
    </w:p>
    <w:p w:rsidR="0005410E" w:rsidRPr="006D71C7" w:rsidRDefault="0005410E" w:rsidP="00BA2FE7">
      <w:pPr>
        <w:pStyle w:val="Nagwek1"/>
        <w:numPr>
          <w:ilvl w:val="2"/>
          <w:numId w:val="63"/>
        </w:numPr>
        <w:tabs>
          <w:tab w:val="left" w:pos="1418"/>
        </w:tabs>
        <w:spacing w:before="240" w:after="120"/>
        <w:ind w:left="1134" w:hanging="283"/>
        <w:jc w:val="both"/>
        <w:rPr>
          <w:bCs w:val="0"/>
          <w:szCs w:val="24"/>
        </w:rPr>
      </w:pPr>
      <w:bookmarkStart w:id="596" w:name="_Toc262031988"/>
      <w:bookmarkStart w:id="597" w:name="_Toc292789326"/>
      <w:bookmarkStart w:id="598" w:name="_Toc292793626"/>
      <w:bookmarkStart w:id="599" w:name="_Toc324853940"/>
      <w:bookmarkStart w:id="600" w:name="_Toc327259292"/>
      <w:r w:rsidRPr="006D71C7">
        <w:rPr>
          <w:bCs w:val="0"/>
          <w:szCs w:val="24"/>
        </w:rPr>
        <w:t>Opis istotnych problemów we wdrażaniu wraz z podjętymi środkami zaradczymi</w:t>
      </w:r>
      <w:bookmarkEnd w:id="596"/>
      <w:bookmarkEnd w:id="597"/>
      <w:bookmarkEnd w:id="598"/>
      <w:bookmarkEnd w:id="599"/>
      <w:bookmarkEnd w:id="600"/>
    </w:p>
    <w:p w:rsidR="005D2D53" w:rsidRPr="006D71C7" w:rsidRDefault="005D2D53" w:rsidP="006D71C7">
      <w:pPr>
        <w:widowControl w:val="0"/>
        <w:autoSpaceDE w:val="0"/>
        <w:autoSpaceDN w:val="0"/>
        <w:adjustRightInd w:val="0"/>
        <w:spacing w:after="0"/>
        <w:jc w:val="both"/>
        <w:rPr>
          <w:szCs w:val="24"/>
        </w:rPr>
      </w:pPr>
      <w:r w:rsidRPr="006D71C7">
        <w:rPr>
          <w:szCs w:val="24"/>
        </w:rPr>
        <w:t xml:space="preserve">W okresie sprawozdawczym nie pojawiły się problemy z wdrażaniem przedmiotowego priorytetu. </w:t>
      </w:r>
    </w:p>
    <w:p w:rsidR="009F4072" w:rsidRPr="006D71C7" w:rsidRDefault="009F4072" w:rsidP="006D71C7">
      <w:pPr>
        <w:widowControl w:val="0"/>
        <w:autoSpaceDE w:val="0"/>
        <w:autoSpaceDN w:val="0"/>
        <w:adjustRightInd w:val="0"/>
        <w:spacing w:after="0"/>
        <w:jc w:val="both"/>
        <w:rPr>
          <w:szCs w:val="24"/>
        </w:rPr>
      </w:pPr>
    </w:p>
    <w:p w:rsidR="009F4072" w:rsidRPr="006D71C7" w:rsidRDefault="00382B8C" w:rsidP="00BA2FE7">
      <w:pPr>
        <w:pStyle w:val="Nagwek1"/>
        <w:numPr>
          <w:ilvl w:val="1"/>
          <w:numId w:val="63"/>
        </w:numPr>
        <w:pBdr>
          <w:top w:val="single" w:sz="24" w:space="1" w:color="EE8C69" w:themeColor="accent1" w:themeTint="99"/>
          <w:left w:val="single" w:sz="24" w:space="4" w:color="EE8C69" w:themeColor="accent1" w:themeTint="99"/>
          <w:bottom w:val="single" w:sz="24" w:space="1" w:color="EE8C69" w:themeColor="accent1" w:themeTint="99"/>
          <w:right w:val="single" w:sz="24" w:space="4" w:color="EE8C69" w:themeColor="accent1" w:themeTint="99"/>
        </w:pBdr>
        <w:tabs>
          <w:tab w:val="left" w:pos="1418"/>
        </w:tabs>
        <w:spacing w:before="240" w:after="120"/>
        <w:jc w:val="both"/>
        <w:rPr>
          <w:bCs w:val="0"/>
          <w:szCs w:val="24"/>
        </w:rPr>
      </w:pPr>
      <w:bookmarkStart w:id="601" w:name="_Toc292789327"/>
      <w:bookmarkStart w:id="602" w:name="_Toc292793627"/>
      <w:bookmarkStart w:id="603" w:name="_Toc327259293"/>
      <w:r w:rsidRPr="006D71C7">
        <w:rPr>
          <w:bCs w:val="0"/>
          <w:szCs w:val="24"/>
        </w:rPr>
        <w:t>PRIORYTET</w:t>
      </w:r>
      <w:r w:rsidR="009F4072" w:rsidRPr="006D71C7">
        <w:rPr>
          <w:bCs w:val="0"/>
          <w:szCs w:val="24"/>
        </w:rPr>
        <w:t xml:space="preserve"> IX- </w:t>
      </w:r>
      <w:bookmarkEnd w:id="601"/>
      <w:bookmarkEnd w:id="602"/>
      <w:r w:rsidRPr="006D71C7">
        <w:rPr>
          <w:bCs w:val="0"/>
          <w:szCs w:val="24"/>
        </w:rPr>
        <w:t>ZDROWIE I REKREACJA</w:t>
      </w:r>
      <w:bookmarkEnd w:id="603"/>
    </w:p>
    <w:p w:rsidR="004A2760" w:rsidRPr="006D71C7" w:rsidRDefault="004A2760" w:rsidP="00BA2FE7">
      <w:pPr>
        <w:pStyle w:val="Nagwek1"/>
        <w:numPr>
          <w:ilvl w:val="2"/>
          <w:numId w:val="63"/>
        </w:numPr>
        <w:tabs>
          <w:tab w:val="left" w:pos="142"/>
          <w:tab w:val="left" w:pos="426"/>
        </w:tabs>
        <w:spacing w:before="240" w:after="120"/>
        <w:ind w:left="284" w:hanging="283"/>
        <w:jc w:val="both"/>
      </w:pPr>
      <w:bookmarkStart w:id="604" w:name="_Toc292793628"/>
      <w:bookmarkStart w:id="605" w:name="_Toc324853942"/>
      <w:bookmarkStart w:id="606" w:name="_Toc327259294"/>
      <w:r w:rsidRPr="006D71C7">
        <w:t>Osiągnięcie celów i analiza postępów</w:t>
      </w:r>
      <w:bookmarkEnd w:id="604"/>
      <w:bookmarkEnd w:id="605"/>
      <w:bookmarkEnd w:id="606"/>
    </w:p>
    <w:p w:rsidR="009F4072" w:rsidRPr="006D71C7" w:rsidRDefault="009F4072" w:rsidP="00BA2FE7">
      <w:pPr>
        <w:pStyle w:val="Nagwek1"/>
        <w:numPr>
          <w:ilvl w:val="3"/>
          <w:numId w:val="63"/>
        </w:numPr>
        <w:tabs>
          <w:tab w:val="left" w:pos="142"/>
        </w:tabs>
        <w:spacing w:before="240" w:after="120"/>
        <w:jc w:val="both"/>
      </w:pPr>
      <w:bookmarkStart w:id="607" w:name="_Toc324853943"/>
      <w:bookmarkStart w:id="608" w:name="_Toc327259295"/>
      <w:r w:rsidRPr="006D71C7">
        <w:t>Informacje na temat fizycznych i finansowych postępów priorytetu</w:t>
      </w:r>
      <w:bookmarkEnd w:id="607"/>
      <w:bookmarkEnd w:id="608"/>
    </w:p>
    <w:p w:rsidR="00382B8C" w:rsidRPr="006D71C7" w:rsidRDefault="00382B8C" w:rsidP="006D71C7">
      <w:pPr>
        <w:pStyle w:val="Nagwek2"/>
        <w:numPr>
          <w:ilvl w:val="0"/>
          <w:numId w:val="0"/>
        </w:numPr>
        <w:spacing w:before="0" w:beforeAutospacing="0" w:after="120" w:afterAutospacing="0" w:line="276" w:lineRule="auto"/>
        <w:jc w:val="both"/>
        <w:rPr>
          <w:b w:val="0"/>
          <w:sz w:val="24"/>
          <w:szCs w:val="24"/>
        </w:rPr>
      </w:pPr>
      <w:bookmarkStart w:id="609" w:name="_Toc324786884"/>
      <w:bookmarkStart w:id="610" w:name="_Toc324853944"/>
      <w:bookmarkStart w:id="611" w:name="_Toc327259296"/>
      <w:r w:rsidRPr="006D71C7">
        <w:rPr>
          <w:b w:val="0"/>
          <w:sz w:val="24"/>
          <w:szCs w:val="24"/>
        </w:rPr>
        <w:t>W załącznik</w:t>
      </w:r>
      <w:r w:rsidR="00085743"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dla priorytetu </w:t>
      </w:r>
      <w:r w:rsidR="0067068B" w:rsidRPr="006D71C7">
        <w:rPr>
          <w:b w:val="0"/>
          <w:sz w:val="24"/>
          <w:szCs w:val="24"/>
        </w:rPr>
        <w:t>I</w:t>
      </w:r>
      <w:r w:rsidRPr="006D71C7">
        <w:rPr>
          <w:b w:val="0"/>
          <w:sz w:val="24"/>
          <w:szCs w:val="24"/>
        </w:rPr>
        <w:t xml:space="preserve">X, dla kolejnych lat w ujęciu kumulatywnym. Przedstawione informacje prezentowane według stanu na koniec 2011 roku oparte </w:t>
      </w:r>
      <w:r w:rsidR="00CC230E" w:rsidRPr="006D71C7">
        <w:rPr>
          <w:b w:val="0"/>
          <w:sz w:val="24"/>
          <w:szCs w:val="24"/>
        </w:rPr>
        <w:t xml:space="preserve">zostały </w:t>
      </w:r>
      <w:r w:rsidRPr="006D71C7">
        <w:rPr>
          <w:b w:val="0"/>
          <w:sz w:val="24"/>
          <w:szCs w:val="24"/>
        </w:rPr>
        <w:t>na danych dotyczących operacji zakończonych. Określone zostały wartości docelowe dla 2010, 2013 i 2015 roku oraz zaprezentowano szacowaną wartość na podstawie podpisanych umów o dofinansowanie. Przedstawiono także wskaźniki przedmiotowego priorytetu w podziale na działania i poddziałania.</w:t>
      </w:r>
      <w:bookmarkEnd w:id="609"/>
      <w:bookmarkEnd w:id="610"/>
      <w:bookmarkEnd w:id="611"/>
    </w:p>
    <w:p w:rsidR="00245F70" w:rsidRPr="006D71C7" w:rsidRDefault="00B7721A" w:rsidP="00BA2FE7">
      <w:pPr>
        <w:pStyle w:val="Nagwek1"/>
        <w:numPr>
          <w:ilvl w:val="3"/>
          <w:numId w:val="63"/>
        </w:numPr>
        <w:tabs>
          <w:tab w:val="left" w:pos="142"/>
        </w:tabs>
        <w:spacing w:before="240" w:after="120"/>
        <w:jc w:val="both"/>
        <w:rPr>
          <w:i/>
          <w:szCs w:val="24"/>
        </w:rPr>
      </w:pPr>
      <w:r w:rsidRPr="006D71C7">
        <w:rPr>
          <w:b w:val="0"/>
          <w:szCs w:val="24"/>
        </w:rPr>
        <w:t xml:space="preserve"> </w:t>
      </w:r>
      <w:bookmarkStart w:id="612" w:name="_Toc324853945"/>
      <w:bookmarkStart w:id="613" w:name="_Toc327259297"/>
      <w:r w:rsidR="007338BD" w:rsidRPr="006D71C7">
        <w:rPr>
          <w:i/>
          <w:szCs w:val="24"/>
        </w:rPr>
        <w:t>Analiza jakościowa (poziom priorytetu)</w:t>
      </w:r>
      <w:bookmarkEnd w:id="612"/>
      <w:bookmarkEnd w:id="613"/>
    </w:p>
    <w:p w:rsidR="009F4072" w:rsidRPr="006D71C7" w:rsidRDefault="00382B8C" w:rsidP="006D71C7">
      <w:pPr>
        <w:jc w:val="both"/>
        <w:rPr>
          <w:b/>
          <w:i/>
        </w:rPr>
      </w:pPr>
      <w:r w:rsidRPr="006D71C7">
        <w:rPr>
          <w:b/>
          <w:i/>
        </w:rPr>
        <w:t>Informacje ogólne</w:t>
      </w:r>
    </w:p>
    <w:p w:rsidR="009F4072" w:rsidRPr="006D71C7" w:rsidRDefault="009F4072" w:rsidP="006D71C7">
      <w:pPr>
        <w:spacing w:before="240" w:after="120"/>
        <w:jc w:val="both"/>
        <w:rPr>
          <w:szCs w:val="24"/>
        </w:rPr>
      </w:pPr>
      <w:r w:rsidRPr="006D71C7">
        <w:rPr>
          <w:szCs w:val="24"/>
        </w:rPr>
        <w:t xml:space="preserve">Celem głównym priorytetu jest </w:t>
      </w:r>
      <w:r w:rsidRPr="006D71C7">
        <w:rPr>
          <w:i/>
          <w:iCs/>
          <w:szCs w:val="24"/>
        </w:rPr>
        <w:t>poprawa stanu zdrowia mieszkańców regionu</w:t>
      </w:r>
      <w:r w:rsidRPr="006D71C7">
        <w:rPr>
          <w:szCs w:val="24"/>
        </w:rPr>
        <w:t>. W ramach priorytetu wspierane są działania w zakresie lecznictwa zamkniętego i otwartego oraz lokalnej infrastruktury sportowej.</w:t>
      </w:r>
    </w:p>
    <w:p w:rsidR="009F4072" w:rsidRPr="006D71C7" w:rsidRDefault="009F4072" w:rsidP="006D71C7">
      <w:pPr>
        <w:spacing w:after="0"/>
        <w:jc w:val="both"/>
        <w:rPr>
          <w:szCs w:val="24"/>
        </w:rPr>
      </w:pPr>
      <w:r w:rsidRPr="006D71C7">
        <w:rPr>
          <w:szCs w:val="24"/>
        </w:rPr>
        <w:t>Realizacji priorytetu służyć mają trzy działania:</w:t>
      </w:r>
    </w:p>
    <w:p w:rsidR="009F4072" w:rsidRPr="006D71C7" w:rsidRDefault="009F4072" w:rsidP="00BA2FE7">
      <w:pPr>
        <w:pStyle w:val="Akapitzlist"/>
        <w:numPr>
          <w:ilvl w:val="0"/>
          <w:numId w:val="12"/>
        </w:numPr>
        <w:spacing w:after="0"/>
        <w:jc w:val="both"/>
        <w:rPr>
          <w:i/>
          <w:szCs w:val="24"/>
        </w:rPr>
      </w:pPr>
      <w:r w:rsidRPr="006D71C7">
        <w:rPr>
          <w:i/>
          <w:szCs w:val="24"/>
        </w:rPr>
        <w:t xml:space="preserve">9.1 Infrastruktura lecznictwa zamkniętego, </w:t>
      </w:r>
    </w:p>
    <w:p w:rsidR="009F4072" w:rsidRPr="006D71C7" w:rsidRDefault="009F4072" w:rsidP="00BA2FE7">
      <w:pPr>
        <w:pStyle w:val="Akapitzlist"/>
        <w:numPr>
          <w:ilvl w:val="0"/>
          <w:numId w:val="12"/>
        </w:numPr>
        <w:spacing w:after="0"/>
        <w:jc w:val="both"/>
        <w:rPr>
          <w:i/>
          <w:szCs w:val="24"/>
        </w:rPr>
      </w:pPr>
      <w:r w:rsidRPr="006D71C7">
        <w:rPr>
          <w:i/>
          <w:szCs w:val="24"/>
        </w:rPr>
        <w:t xml:space="preserve">9.2 Infrastruktura lecznictwa otwartego, </w:t>
      </w:r>
    </w:p>
    <w:p w:rsidR="009F4072" w:rsidRPr="006D71C7" w:rsidRDefault="009F4072" w:rsidP="00BA2FE7">
      <w:pPr>
        <w:pStyle w:val="Akapitzlist"/>
        <w:numPr>
          <w:ilvl w:val="0"/>
          <w:numId w:val="12"/>
        </w:numPr>
        <w:spacing w:after="0"/>
        <w:jc w:val="both"/>
        <w:rPr>
          <w:i/>
          <w:szCs w:val="24"/>
        </w:rPr>
      </w:pPr>
      <w:r w:rsidRPr="006D71C7">
        <w:rPr>
          <w:i/>
          <w:szCs w:val="24"/>
        </w:rPr>
        <w:t>9.3 Lokalna infrastruktura sportowa.</w:t>
      </w:r>
    </w:p>
    <w:p w:rsidR="00733548" w:rsidRPr="006D71C7" w:rsidRDefault="009F4072" w:rsidP="006D71C7">
      <w:pPr>
        <w:spacing w:before="240" w:after="120"/>
        <w:jc w:val="both"/>
        <w:rPr>
          <w:i/>
          <w:szCs w:val="24"/>
        </w:rPr>
      </w:pPr>
      <w:r w:rsidRPr="006D71C7">
        <w:rPr>
          <w:szCs w:val="24"/>
        </w:rPr>
        <w:t>Na realizację Priorytetu IX alokowano 57 759 000 EUR  pochodzących z </w:t>
      </w:r>
      <w:r w:rsidR="00382B8C" w:rsidRPr="006D71C7">
        <w:rPr>
          <w:szCs w:val="24"/>
        </w:rPr>
        <w:t>EFRR, co stanowi 3,3</w:t>
      </w:r>
      <w:r w:rsidRPr="006D71C7">
        <w:rPr>
          <w:szCs w:val="24"/>
        </w:rPr>
        <w:t xml:space="preserve">% wartości </w:t>
      </w:r>
      <w:r w:rsidRPr="006D71C7">
        <w:rPr>
          <w:i/>
          <w:szCs w:val="24"/>
        </w:rPr>
        <w:t>Programu.</w:t>
      </w:r>
    </w:p>
    <w:p w:rsidR="00733548" w:rsidRPr="006D71C7" w:rsidRDefault="00733548" w:rsidP="006D71C7">
      <w:pPr>
        <w:widowControl w:val="0"/>
        <w:autoSpaceDE w:val="0"/>
        <w:autoSpaceDN w:val="0"/>
        <w:adjustRightInd w:val="0"/>
        <w:spacing w:after="120"/>
        <w:ind w:right="-23"/>
        <w:jc w:val="both"/>
        <w:rPr>
          <w:szCs w:val="24"/>
        </w:rPr>
      </w:pPr>
      <w:bookmarkStart w:id="614" w:name="_Toc262032001"/>
      <w:bookmarkStart w:id="615" w:name="_Toc292789344"/>
      <w:bookmarkStart w:id="616" w:name="_Toc292793645"/>
      <w:r w:rsidRPr="006D71C7">
        <w:rPr>
          <w:szCs w:val="24"/>
        </w:rPr>
        <w:t xml:space="preserve">Opis wkładu priorytetu w promowanie równości szans kobiet i mężczyzn znajduje się w pkt. 2.2.1 </w:t>
      </w:r>
      <w:r w:rsidRPr="006D71C7">
        <w:rPr>
          <w:i/>
          <w:szCs w:val="24"/>
        </w:rPr>
        <w:t>Sprawozdania.</w:t>
      </w:r>
      <w:r w:rsidRPr="006D71C7">
        <w:rPr>
          <w:szCs w:val="24"/>
        </w:rPr>
        <w:t>.</w:t>
      </w:r>
    </w:p>
    <w:p w:rsidR="00733548" w:rsidRPr="006D71C7" w:rsidRDefault="00733548" w:rsidP="006D71C7">
      <w:pPr>
        <w:widowControl w:val="0"/>
        <w:autoSpaceDE w:val="0"/>
        <w:autoSpaceDN w:val="0"/>
        <w:adjustRightInd w:val="0"/>
        <w:spacing w:after="120"/>
        <w:ind w:right="-23"/>
        <w:jc w:val="both"/>
        <w:rPr>
          <w:szCs w:val="24"/>
        </w:rPr>
      </w:pPr>
      <w:r w:rsidRPr="006D71C7">
        <w:rPr>
          <w:szCs w:val="24"/>
        </w:rPr>
        <w:t>W ramach priorytetu nie przewidziano finansowania krzyżowego</w:t>
      </w:r>
      <w:r w:rsidRPr="006D71C7">
        <w:rPr>
          <w:i/>
          <w:szCs w:val="24"/>
        </w:rPr>
        <w:t>.</w:t>
      </w:r>
    </w:p>
    <w:p w:rsidR="00E522C0" w:rsidRPr="006D71C7" w:rsidRDefault="00733548" w:rsidP="006D71C7">
      <w:pPr>
        <w:widowControl w:val="0"/>
        <w:autoSpaceDE w:val="0"/>
        <w:autoSpaceDN w:val="0"/>
        <w:adjustRightInd w:val="0"/>
        <w:spacing w:after="120"/>
        <w:ind w:right="-23"/>
        <w:jc w:val="both"/>
        <w:rPr>
          <w:szCs w:val="24"/>
        </w:rPr>
      </w:pPr>
      <w:r w:rsidRPr="006D71C7">
        <w:rPr>
          <w:szCs w:val="24"/>
        </w:rPr>
        <w:t>IZ RPO WSL nie planuje żadnych zmian w alokacji pri</w:t>
      </w:r>
      <w:r w:rsidR="00E522C0" w:rsidRPr="006D71C7">
        <w:rPr>
          <w:szCs w:val="24"/>
        </w:rPr>
        <w:t>orytetu.</w:t>
      </w:r>
    </w:p>
    <w:p w:rsidR="00E522C0" w:rsidRPr="006D71C7" w:rsidRDefault="00733548" w:rsidP="006D71C7">
      <w:pPr>
        <w:widowControl w:val="0"/>
        <w:autoSpaceDE w:val="0"/>
        <w:autoSpaceDN w:val="0"/>
        <w:adjustRightInd w:val="0"/>
        <w:spacing w:after="120"/>
        <w:ind w:right="-23"/>
        <w:jc w:val="both"/>
        <w:rPr>
          <w:i/>
          <w:szCs w:val="24"/>
        </w:rPr>
      </w:pPr>
      <w:r w:rsidRPr="006D71C7">
        <w:rPr>
          <w:szCs w:val="24"/>
        </w:rPr>
        <w:t xml:space="preserve">W </w:t>
      </w:r>
      <w:r w:rsidR="00E522C0" w:rsidRPr="006D71C7">
        <w:rPr>
          <w:szCs w:val="24"/>
        </w:rPr>
        <w:t xml:space="preserve">poprzednim </w:t>
      </w:r>
      <w:r w:rsidRPr="006D71C7">
        <w:rPr>
          <w:szCs w:val="24"/>
        </w:rPr>
        <w:t xml:space="preserve">okresie sprawozdawczym przeprowadzone zostało badania ewaluacyjne dot. zakresu  priorytetu IX: </w:t>
      </w:r>
      <w:r w:rsidRPr="006D71C7">
        <w:rPr>
          <w:i/>
          <w:szCs w:val="24"/>
        </w:rPr>
        <w:t xml:space="preserve">Wpływ inwestycji w sprzęt medyczny w ramach RPO WSL na poprawę jakości i zwiększenie dostępności świadczeń zdrowotnych na terenie województwa śląskiego. </w:t>
      </w:r>
      <w:r w:rsidRPr="006D71C7">
        <w:rPr>
          <w:szCs w:val="24"/>
        </w:rPr>
        <w:t>Szczegółowe informacje dot. ww. bad</w:t>
      </w:r>
      <w:r w:rsidR="00E522C0" w:rsidRPr="006D71C7">
        <w:rPr>
          <w:szCs w:val="24"/>
        </w:rPr>
        <w:t>ania</w:t>
      </w:r>
      <w:r w:rsidRPr="006D71C7">
        <w:rPr>
          <w:szCs w:val="24"/>
        </w:rPr>
        <w:t xml:space="preserve"> zostały przedstawione w </w:t>
      </w:r>
      <w:r w:rsidR="00E522C0" w:rsidRPr="006D71C7">
        <w:rPr>
          <w:i/>
          <w:szCs w:val="24"/>
        </w:rPr>
        <w:t>Sprawozdaniu rocznym z realizacji RPO WSL w 2010 roku</w:t>
      </w:r>
      <w:r w:rsidRPr="006D71C7">
        <w:rPr>
          <w:i/>
          <w:szCs w:val="24"/>
        </w:rPr>
        <w:t>.</w:t>
      </w:r>
    </w:p>
    <w:p w:rsidR="00382B8C" w:rsidRPr="006D71C7" w:rsidRDefault="00382B8C" w:rsidP="006D71C7">
      <w:pPr>
        <w:widowControl w:val="0"/>
        <w:autoSpaceDE w:val="0"/>
        <w:autoSpaceDN w:val="0"/>
        <w:adjustRightInd w:val="0"/>
        <w:spacing w:after="120"/>
        <w:ind w:right="-23"/>
        <w:jc w:val="both"/>
        <w:rPr>
          <w:i/>
          <w:szCs w:val="24"/>
        </w:rPr>
      </w:pPr>
      <w:r w:rsidRPr="006D71C7">
        <w:rPr>
          <w:b/>
          <w:i/>
        </w:rPr>
        <w:t>Postęp wdrażania priorytetu IX</w:t>
      </w:r>
    </w:p>
    <w:p w:rsidR="00382B8C" w:rsidRPr="006D71C7" w:rsidRDefault="00382B8C" w:rsidP="006D71C7">
      <w:pPr>
        <w:spacing w:after="120"/>
        <w:jc w:val="both"/>
      </w:pPr>
      <w:r w:rsidRPr="006D71C7">
        <w:t xml:space="preserve">Prawie wszystkie zmienne przedstawione na poniższym wykresie wykazują dodatnią dynamikę. Pod koniec 2011 r. największy wzrost występował w deklaracjach zatwierdzonych przez IC, których poziom wynosił 64%. </w:t>
      </w:r>
    </w:p>
    <w:p w:rsidR="006B7EFE" w:rsidRPr="006D71C7" w:rsidRDefault="006B7EFE" w:rsidP="006D71C7">
      <w:pPr>
        <w:spacing w:after="120"/>
        <w:jc w:val="both"/>
      </w:pPr>
    </w:p>
    <w:p w:rsidR="006B7EFE" w:rsidRPr="006D71C7" w:rsidRDefault="006B7EFE" w:rsidP="000147E5">
      <w:pPr>
        <w:spacing w:after="120"/>
        <w:jc w:val="center"/>
      </w:pPr>
      <w:r w:rsidRPr="006D71C7">
        <w:rPr>
          <w:noProof/>
        </w:rPr>
        <w:drawing>
          <wp:inline distT="0" distB="0" distL="0" distR="0">
            <wp:extent cx="6391112" cy="2636875"/>
            <wp:effectExtent l="38100" t="19050" r="9688" b="0"/>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C43B75" w:rsidRDefault="00C43B75" w:rsidP="00C43B75">
      <w:pPr>
        <w:pStyle w:val="Legenda"/>
        <w:rPr>
          <w:b w:val="0"/>
          <w:i/>
          <w:color w:val="auto"/>
          <w:sz w:val="20"/>
          <w:szCs w:val="20"/>
        </w:rPr>
      </w:pPr>
      <w:bookmarkStart w:id="617" w:name="_Toc292796874"/>
      <w:bookmarkStart w:id="618" w:name="_Toc292796380"/>
      <w:bookmarkStart w:id="619" w:name="_Toc292793809"/>
      <w:bookmarkStart w:id="620" w:name="_Toc295293497"/>
      <w:bookmarkStart w:id="621" w:name="_Toc292889184"/>
      <w:bookmarkStart w:id="622" w:name="_Toc324853748"/>
      <w:bookmarkStart w:id="623" w:name="_Toc326055372"/>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54</w:t>
      </w:r>
      <w:r w:rsidR="008F7228" w:rsidRPr="00C43B75">
        <w:rPr>
          <w:color w:val="auto"/>
          <w:sz w:val="20"/>
          <w:szCs w:val="20"/>
        </w:rPr>
        <w:fldChar w:fldCharType="end"/>
      </w:r>
      <w:r w:rsidR="009F37F1">
        <w:t xml:space="preserve"> </w:t>
      </w:r>
      <w:r w:rsidR="007338BD" w:rsidRPr="006D71C7">
        <w:rPr>
          <w:b w:val="0"/>
          <w:i/>
          <w:color w:val="auto"/>
          <w:sz w:val="20"/>
          <w:szCs w:val="20"/>
        </w:rPr>
        <w:t xml:space="preserve">Realizacja </w:t>
      </w:r>
      <w:r w:rsidR="009428B6" w:rsidRPr="006D71C7">
        <w:rPr>
          <w:b w:val="0"/>
          <w:i/>
          <w:color w:val="auto"/>
          <w:sz w:val="20"/>
          <w:szCs w:val="20"/>
        </w:rPr>
        <w:t>p</w:t>
      </w:r>
      <w:r w:rsidR="007338BD" w:rsidRPr="006D71C7">
        <w:rPr>
          <w:b w:val="0"/>
          <w:i/>
          <w:color w:val="auto"/>
          <w:sz w:val="20"/>
          <w:szCs w:val="20"/>
        </w:rPr>
        <w:t xml:space="preserve">riorytetu IX </w:t>
      </w:r>
      <w:bookmarkEnd w:id="617"/>
      <w:bookmarkEnd w:id="618"/>
      <w:bookmarkEnd w:id="619"/>
      <w:r w:rsidR="007338BD" w:rsidRPr="006D71C7">
        <w:rPr>
          <w:b w:val="0"/>
          <w:i/>
          <w:color w:val="auto"/>
          <w:sz w:val="20"/>
          <w:szCs w:val="20"/>
        </w:rPr>
        <w:t>od uruchomienia Programu</w:t>
      </w:r>
      <w:bookmarkEnd w:id="620"/>
      <w:bookmarkEnd w:id="621"/>
      <w:r w:rsidR="009428B6" w:rsidRPr="006D71C7">
        <w:rPr>
          <w:b w:val="0"/>
          <w:i/>
          <w:color w:val="auto"/>
          <w:sz w:val="20"/>
          <w:szCs w:val="20"/>
        </w:rPr>
        <w:t xml:space="preserve"> i w okresie sprawozdawczym</w:t>
      </w:r>
      <w:bookmarkEnd w:id="622"/>
      <w:bookmarkEnd w:id="623"/>
      <w:r w:rsidR="009F37F1">
        <w:rPr>
          <w:b w:val="0"/>
          <w:i/>
          <w:color w:val="auto"/>
          <w:sz w:val="20"/>
          <w:szCs w:val="20"/>
        </w:rPr>
        <w:t xml:space="preserve"> </w:t>
      </w:r>
    </w:p>
    <w:p w:rsidR="00382B8C" w:rsidRPr="006D71C7" w:rsidRDefault="00382B8C" w:rsidP="006D71C7">
      <w:pPr>
        <w:pStyle w:val="Legenda"/>
        <w:spacing w:line="276" w:lineRule="auto"/>
        <w:jc w:val="both"/>
        <w:rPr>
          <w:b w:val="0"/>
          <w:color w:val="auto"/>
          <w:sz w:val="24"/>
          <w:szCs w:val="24"/>
        </w:rPr>
      </w:pPr>
      <w:r w:rsidRPr="006D71C7">
        <w:rPr>
          <w:b w:val="0"/>
          <w:color w:val="auto"/>
          <w:sz w:val="24"/>
          <w:szCs w:val="24"/>
        </w:rPr>
        <w:t>Poniżej w tabeli przedstawiono postęp realizacji priorytetu I</w:t>
      </w:r>
      <w:r w:rsidR="0088540C" w:rsidRPr="006D71C7">
        <w:rPr>
          <w:b w:val="0"/>
          <w:color w:val="auto"/>
          <w:sz w:val="24"/>
          <w:szCs w:val="24"/>
        </w:rPr>
        <w:t>X</w:t>
      </w:r>
      <w:r w:rsidRPr="006D71C7">
        <w:rPr>
          <w:b w:val="0"/>
          <w:color w:val="auto"/>
          <w:sz w:val="24"/>
          <w:szCs w:val="24"/>
        </w:rPr>
        <w:t xml:space="preserve"> w podziale na działania. Stopień wykorzystania alokacji w poszczególnych działaniach jest na wysokim poziomie. Spowodowane jest to tym, iż IZ RPO WSL ogłosiła już wszyst</w:t>
      </w:r>
      <w:r w:rsidR="0088540C" w:rsidRPr="006D71C7">
        <w:rPr>
          <w:b w:val="0"/>
          <w:color w:val="auto"/>
          <w:sz w:val="24"/>
          <w:szCs w:val="24"/>
        </w:rPr>
        <w:t>kie konkursy na całą zaplanowaną alokację dla przedmiotowego p</w:t>
      </w:r>
      <w:r w:rsidRPr="006D71C7">
        <w:rPr>
          <w:b w:val="0"/>
          <w:color w:val="auto"/>
          <w:sz w:val="24"/>
          <w:szCs w:val="24"/>
        </w:rPr>
        <w:t xml:space="preserve">riorytetu. </w:t>
      </w:r>
    </w:p>
    <w:p w:rsidR="001915C3" w:rsidRPr="006D71C7" w:rsidRDefault="007338BD" w:rsidP="006D71C7">
      <w:pPr>
        <w:pStyle w:val="Legenda"/>
        <w:jc w:val="both"/>
        <w:rPr>
          <w:b w:val="0"/>
          <w:i/>
          <w:color w:val="auto"/>
          <w:sz w:val="20"/>
          <w:szCs w:val="20"/>
        </w:rPr>
      </w:pPr>
      <w:bookmarkStart w:id="624" w:name="_Toc324853749"/>
      <w:bookmarkStart w:id="625" w:name="_Toc326046388"/>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36</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 xml:space="preserve">Postęp realizacji </w:t>
      </w:r>
      <w:r w:rsidR="009428B6" w:rsidRPr="006D71C7">
        <w:rPr>
          <w:b w:val="0"/>
          <w:i/>
          <w:color w:val="auto"/>
          <w:sz w:val="20"/>
          <w:szCs w:val="20"/>
        </w:rPr>
        <w:t>p</w:t>
      </w:r>
      <w:r w:rsidRPr="006D71C7">
        <w:rPr>
          <w:b w:val="0"/>
          <w:i/>
          <w:color w:val="auto"/>
          <w:sz w:val="20"/>
          <w:szCs w:val="20"/>
        </w:rPr>
        <w:t>riorytetu IX w podziale na działania</w:t>
      </w:r>
      <w:bookmarkEnd w:id="624"/>
      <w:bookmarkEnd w:id="625"/>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4B29B" w:themeFill="accent1" w:themeFillTint="66"/>
        <w:tblLook w:val="04A0" w:firstRow="1" w:lastRow="0" w:firstColumn="1" w:lastColumn="0" w:noHBand="0" w:noVBand="1"/>
      </w:tblPr>
      <w:tblGrid>
        <w:gridCol w:w="1149"/>
        <w:gridCol w:w="1144"/>
        <w:gridCol w:w="1736"/>
        <w:gridCol w:w="1051"/>
        <w:gridCol w:w="1052"/>
        <w:gridCol w:w="1052"/>
        <w:gridCol w:w="1052"/>
        <w:gridCol w:w="1052"/>
      </w:tblGrid>
      <w:tr w:rsidR="00382B8C" w:rsidRPr="006D71C7" w:rsidTr="0088540C">
        <w:trPr>
          <w:jc w:val="center"/>
        </w:trPr>
        <w:tc>
          <w:tcPr>
            <w:tcW w:w="1149" w:type="dxa"/>
            <w:vMerge w:val="restart"/>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382B8C" w:rsidRPr="006D71C7" w:rsidRDefault="00382B8C" w:rsidP="00B110CA">
            <w:pPr>
              <w:jc w:val="center"/>
              <w:rPr>
                <w:b/>
                <w:bCs/>
                <w:sz w:val="22"/>
              </w:rPr>
            </w:pPr>
            <w:r w:rsidRPr="006D71C7">
              <w:rPr>
                <w:b/>
                <w:bCs/>
                <w:sz w:val="22"/>
              </w:rPr>
              <w:t>Działanie</w:t>
            </w:r>
          </w:p>
        </w:tc>
        <w:tc>
          <w:tcPr>
            <w:tcW w:w="1144" w:type="dxa"/>
            <w:vMerge w:val="restart"/>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382B8C" w:rsidRPr="006D71C7" w:rsidRDefault="00382B8C" w:rsidP="00B110CA">
            <w:pPr>
              <w:jc w:val="center"/>
              <w:rPr>
                <w:b/>
                <w:bCs/>
                <w:sz w:val="22"/>
              </w:rPr>
            </w:pPr>
            <w:r w:rsidRPr="006D71C7">
              <w:rPr>
                <w:b/>
                <w:bCs/>
                <w:sz w:val="22"/>
              </w:rPr>
              <w:t>Alokacja w mln EUR</w:t>
            </w:r>
          </w:p>
        </w:tc>
        <w:tc>
          <w:tcPr>
            <w:tcW w:w="2787"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382B8C" w:rsidRPr="006D71C7" w:rsidRDefault="00382B8C" w:rsidP="00B110CA">
            <w:pPr>
              <w:jc w:val="center"/>
              <w:rPr>
                <w:b/>
                <w:bCs/>
                <w:sz w:val="22"/>
              </w:rPr>
            </w:pPr>
            <w:r w:rsidRPr="006D71C7">
              <w:rPr>
                <w:b/>
                <w:bCs/>
                <w:sz w:val="22"/>
              </w:rPr>
              <w:t>Zatwierdzone wnioski o dofinansowanie</w:t>
            </w:r>
          </w:p>
        </w:tc>
        <w:tc>
          <w:tcPr>
            <w:tcW w:w="2104"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382B8C" w:rsidRPr="006D71C7" w:rsidRDefault="00382B8C" w:rsidP="00B110CA">
            <w:pPr>
              <w:jc w:val="center"/>
              <w:rPr>
                <w:b/>
                <w:bCs/>
                <w:sz w:val="22"/>
              </w:rPr>
            </w:pPr>
            <w:r w:rsidRPr="006D71C7">
              <w:rPr>
                <w:b/>
                <w:bCs/>
                <w:sz w:val="22"/>
              </w:rPr>
              <w:t>Podpisane umowy</w:t>
            </w:r>
          </w:p>
        </w:tc>
        <w:tc>
          <w:tcPr>
            <w:tcW w:w="2104" w:type="dxa"/>
            <w:gridSpan w:val="2"/>
            <w:tcBorders>
              <w:top w:val="single" w:sz="8" w:space="0" w:color="FFFFFF"/>
              <w:left w:val="single" w:sz="8" w:space="0" w:color="FFFFFF"/>
              <w:bottom w:val="single" w:sz="24" w:space="0" w:color="FFFFFF"/>
              <w:right w:val="single" w:sz="8" w:space="0" w:color="FFFFFF"/>
            </w:tcBorders>
            <w:shd w:val="clear" w:color="auto" w:fill="F4B29B" w:themeFill="accent1" w:themeFillTint="66"/>
            <w:vAlign w:val="center"/>
          </w:tcPr>
          <w:p w:rsidR="00382B8C" w:rsidRPr="006D71C7" w:rsidRDefault="00382B8C" w:rsidP="00B110CA">
            <w:pPr>
              <w:jc w:val="center"/>
              <w:rPr>
                <w:b/>
                <w:bCs/>
                <w:sz w:val="22"/>
              </w:rPr>
            </w:pPr>
            <w:r w:rsidRPr="006D71C7">
              <w:rPr>
                <w:b/>
                <w:bCs/>
                <w:sz w:val="22"/>
              </w:rPr>
              <w:t>Płatności</w:t>
            </w:r>
          </w:p>
        </w:tc>
      </w:tr>
      <w:tr w:rsidR="00382B8C" w:rsidRPr="006D71C7" w:rsidTr="0088540C">
        <w:trPr>
          <w:jc w:val="center"/>
        </w:trPr>
        <w:tc>
          <w:tcPr>
            <w:tcW w:w="1149" w:type="dxa"/>
            <w:vMerge/>
            <w:tcBorders>
              <w:top w:val="single" w:sz="8" w:space="0" w:color="FFFFFF"/>
              <w:left w:val="single" w:sz="8" w:space="0" w:color="FFFFFF"/>
              <w:bottom w:val="nil"/>
              <w:right w:val="single" w:sz="24" w:space="0" w:color="FFFFFF"/>
            </w:tcBorders>
            <w:shd w:val="clear" w:color="auto" w:fill="F4B29B" w:themeFill="accent1" w:themeFillTint="66"/>
            <w:vAlign w:val="center"/>
          </w:tcPr>
          <w:p w:rsidR="00382B8C" w:rsidRPr="006D71C7" w:rsidRDefault="00382B8C" w:rsidP="00B110CA">
            <w:pPr>
              <w:jc w:val="center"/>
              <w:rPr>
                <w:b/>
                <w:bCs/>
                <w:sz w:val="22"/>
              </w:rPr>
            </w:pPr>
          </w:p>
        </w:tc>
        <w:tc>
          <w:tcPr>
            <w:tcW w:w="1144" w:type="dxa"/>
            <w:vMerge/>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382B8C" w:rsidRPr="006D71C7" w:rsidRDefault="00382B8C" w:rsidP="00B110CA">
            <w:pPr>
              <w:jc w:val="center"/>
              <w:rPr>
                <w:b/>
                <w:sz w:val="22"/>
              </w:rPr>
            </w:pPr>
          </w:p>
        </w:tc>
        <w:tc>
          <w:tcPr>
            <w:tcW w:w="1736"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382B8C" w:rsidRPr="006D71C7" w:rsidRDefault="00382B8C" w:rsidP="00B110CA">
            <w:pPr>
              <w:jc w:val="center"/>
              <w:rPr>
                <w:b/>
                <w:sz w:val="22"/>
              </w:rPr>
            </w:pPr>
            <w:r w:rsidRPr="006D71C7">
              <w:rPr>
                <w:b/>
                <w:sz w:val="22"/>
              </w:rPr>
              <w:t>mln EUR</w:t>
            </w:r>
          </w:p>
        </w:tc>
        <w:tc>
          <w:tcPr>
            <w:tcW w:w="1051"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382B8C" w:rsidRPr="006D71C7" w:rsidRDefault="00382B8C" w:rsidP="00B110CA">
            <w:pPr>
              <w:jc w:val="center"/>
              <w:rPr>
                <w:b/>
                <w:sz w:val="22"/>
              </w:rPr>
            </w:pPr>
            <w:r w:rsidRPr="006D71C7">
              <w:rPr>
                <w:b/>
                <w:sz w:val="22"/>
              </w:rPr>
              <w:t>%</w:t>
            </w:r>
          </w:p>
        </w:tc>
        <w:tc>
          <w:tcPr>
            <w:tcW w:w="105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382B8C" w:rsidRPr="006D71C7" w:rsidRDefault="00382B8C" w:rsidP="00B110CA">
            <w:pPr>
              <w:jc w:val="center"/>
              <w:rPr>
                <w:b/>
                <w:sz w:val="22"/>
              </w:rPr>
            </w:pPr>
            <w:r w:rsidRPr="006D71C7">
              <w:rPr>
                <w:b/>
                <w:sz w:val="22"/>
              </w:rPr>
              <w:t>mln EUR</w:t>
            </w:r>
          </w:p>
        </w:tc>
        <w:tc>
          <w:tcPr>
            <w:tcW w:w="105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382B8C" w:rsidRPr="006D71C7" w:rsidRDefault="00382B8C" w:rsidP="00B110CA">
            <w:pPr>
              <w:jc w:val="center"/>
              <w:rPr>
                <w:b/>
                <w:sz w:val="22"/>
              </w:rPr>
            </w:pPr>
            <w:r w:rsidRPr="006D71C7">
              <w:rPr>
                <w:b/>
                <w:sz w:val="22"/>
              </w:rPr>
              <w:t>%</w:t>
            </w:r>
          </w:p>
        </w:tc>
        <w:tc>
          <w:tcPr>
            <w:tcW w:w="105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382B8C" w:rsidRPr="006D71C7" w:rsidRDefault="00382B8C" w:rsidP="00B110CA">
            <w:pPr>
              <w:jc w:val="center"/>
              <w:rPr>
                <w:b/>
                <w:sz w:val="22"/>
              </w:rPr>
            </w:pPr>
            <w:r w:rsidRPr="006D71C7">
              <w:rPr>
                <w:b/>
                <w:sz w:val="22"/>
              </w:rPr>
              <w:t>mln EUR</w:t>
            </w:r>
          </w:p>
        </w:tc>
        <w:tc>
          <w:tcPr>
            <w:tcW w:w="1052" w:type="dxa"/>
            <w:tcBorders>
              <w:top w:val="single" w:sz="8" w:space="0" w:color="FFFFFF"/>
              <w:left w:val="single" w:sz="8" w:space="0" w:color="FFFFFF"/>
              <w:bottom w:val="single" w:sz="8" w:space="0" w:color="FFFFFF"/>
              <w:right w:val="single" w:sz="8" w:space="0" w:color="FFFFFF"/>
            </w:tcBorders>
            <w:shd w:val="clear" w:color="auto" w:fill="F4B29B" w:themeFill="accent1" w:themeFillTint="66"/>
            <w:vAlign w:val="center"/>
          </w:tcPr>
          <w:p w:rsidR="00382B8C" w:rsidRPr="006D71C7" w:rsidRDefault="00382B8C" w:rsidP="00B110CA">
            <w:pPr>
              <w:jc w:val="center"/>
              <w:rPr>
                <w:b/>
                <w:sz w:val="22"/>
              </w:rPr>
            </w:pPr>
            <w:r w:rsidRPr="006D71C7">
              <w:rPr>
                <w:b/>
                <w:sz w:val="22"/>
              </w:rPr>
              <w:t>%</w:t>
            </w:r>
          </w:p>
        </w:tc>
      </w:tr>
      <w:tr w:rsidR="00382B8C" w:rsidRPr="006D71C7" w:rsidTr="0088540C">
        <w:trPr>
          <w:jc w:val="center"/>
        </w:trPr>
        <w:tc>
          <w:tcPr>
            <w:tcW w:w="1149" w:type="dxa"/>
            <w:tcBorders>
              <w:left w:val="single" w:sz="8" w:space="0" w:color="FFFFFF"/>
              <w:bottom w:val="nil"/>
              <w:right w:val="single" w:sz="24" w:space="0" w:color="FFFFFF"/>
            </w:tcBorders>
            <w:shd w:val="clear" w:color="auto" w:fill="F4B29B" w:themeFill="accent1" w:themeFillTint="66"/>
            <w:vAlign w:val="center"/>
          </w:tcPr>
          <w:p w:rsidR="00382B8C" w:rsidRPr="006D71C7" w:rsidRDefault="00382B8C" w:rsidP="00B110CA">
            <w:pPr>
              <w:jc w:val="center"/>
              <w:rPr>
                <w:b/>
                <w:bCs/>
                <w:sz w:val="22"/>
              </w:rPr>
            </w:pPr>
            <w:r w:rsidRPr="006D71C7">
              <w:rPr>
                <w:b/>
                <w:bCs/>
                <w:sz w:val="22"/>
              </w:rPr>
              <w:t>9.1</w:t>
            </w:r>
          </w:p>
        </w:tc>
        <w:tc>
          <w:tcPr>
            <w:tcW w:w="1144"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25,20</w:t>
            </w:r>
          </w:p>
        </w:tc>
        <w:tc>
          <w:tcPr>
            <w:tcW w:w="1736"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24,09</w:t>
            </w:r>
          </w:p>
        </w:tc>
        <w:tc>
          <w:tcPr>
            <w:tcW w:w="1051"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96%</w:t>
            </w:r>
          </w:p>
        </w:tc>
        <w:tc>
          <w:tcPr>
            <w:tcW w:w="1052"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22,37</w:t>
            </w:r>
          </w:p>
        </w:tc>
        <w:tc>
          <w:tcPr>
            <w:tcW w:w="1052"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89%</w:t>
            </w:r>
          </w:p>
        </w:tc>
        <w:tc>
          <w:tcPr>
            <w:tcW w:w="1052"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16,27</w:t>
            </w:r>
          </w:p>
        </w:tc>
        <w:tc>
          <w:tcPr>
            <w:tcW w:w="1052"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65%</w:t>
            </w:r>
          </w:p>
        </w:tc>
      </w:tr>
      <w:tr w:rsidR="00382B8C" w:rsidRPr="006D71C7" w:rsidTr="0088540C">
        <w:trPr>
          <w:jc w:val="center"/>
        </w:trPr>
        <w:tc>
          <w:tcPr>
            <w:tcW w:w="1149" w:type="dxa"/>
            <w:tcBorders>
              <w:top w:val="single" w:sz="8" w:space="0" w:color="FFFFFF"/>
              <w:left w:val="single" w:sz="8" w:space="0" w:color="FFFFFF"/>
              <w:bottom w:val="nil"/>
              <w:right w:val="single" w:sz="24" w:space="0" w:color="FFFFFF"/>
            </w:tcBorders>
            <w:shd w:val="clear" w:color="auto" w:fill="F4B29B" w:themeFill="accent1" w:themeFillTint="66"/>
            <w:vAlign w:val="center"/>
          </w:tcPr>
          <w:p w:rsidR="00382B8C" w:rsidRPr="006D71C7" w:rsidRDefault="00382B8C" w:rsidP="00B110CA">
            <w:pPr>
              <w:jc w:val="center"/>
              <w:rPr>
                <w:b/>
                <w:bCs/>
                <w:sz w:val="22"/>
              </w:rPr>
            </w:pPr>
            <w:r w:rsidRPr="006D71C7">
              <w:rPr>
                <w:b/>
                <w:bCs/>
                <w:sz w:val="22"/>
              </w:rPr>
              <w:t>9.2</w:t>
            </w:r>
          </w:p>
        </w:tc>
        <w:tc>
          <w:tcPr>
            <w:tcW w:w="1144"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12,08</w:t>
            </w:r>
          </w:p>
        </w:tc>
        <w:tc>
          <w:tcPr>
            <w:tcW w:w="1736"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11,79</w:t>
            </w:r>
          </w:p>
        </w:tc>
        <w:tc>
          <w:tcPr>
            <w:tcW w:w="1051"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96%</w:t>
            </w:r>
          </w:p>
        </w:tc>
        <w:tc>
          <w:tcPr>
            <w:tcW w:w="105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10,80</w:t>
            </w:r>
          </w:p>
        </w:tc>
        <w:tc>
          <w:tcPr>
            <w:tcW w:w="105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89%</w:t>
            </w:r>
          </w:p>
        </w:tc>
        <w:tc>
          <w:tcPr>
            <w:tcW w:w="105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9,55</w:t>
            </w:r>
          </w:p>
        </w:tc>
        <w:tc>
          <w:tcPr>
            <w:tcW w:w="1052" w:type="dxa"/>
            <w:tcBorders>
              <w:top w:val="single" w:sz="8" w:space="0" w:color="FFFFFF"/>
              <w:left w:val="single" w:sz="8" w:space="0" w:color="FFFFFF"/>
              <w:bottom w:val="single" w:sz="8" w:space="0" w:color="FFFFFF"/>
              <w:right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79%</w:t>
            </w:r>
          </w:p>
        </w:tc>
      </w:tr>
      <w:tr w:rsidR="00382B8C" w:rsidRPr="006D71C7" w:rsidTr="0088540C">
        <w:trPr>
          <w:jc w:val="center"/>
        </w:trPr>
        <w:tc>
          <w:tcPr>
            <w:tcW w:w="1149" w:type="dxa"/>
            <w:tcBorders>
              <w:left w:val="single" w:sz="8" w:space="0" w:color="FFFFFF"/>
              <w:bottom w:val="single" w:sz="8" w:space="0" w:color="FFFFFF"/>
              <w:right w:val="single" w:sz="24" w:space="0" w:color="FFFFFF"/>
            </w:tcBorders>
            <w:shd w:val="clear" w:color="auto" w:fill="F4B29B" w:themeFill="accent1" w:themeFillTint="66"/>
            <w:vAlign w:val="center"/>
          </w:tcPr>
          <w:p w:rsidR="00382B8C" w:rsidRPr="006D71C7" w:rsidRDefault="00382B8C" w:rsidP="00B110CA">
            <w:pPr>
              <w:jc w:val="center"/>
              <w:rPr>
                <w:b/>
                <w:bCs/>
                <w:sz w:val="22"/>
              </w:rPr>
            </w:pPr>
            <w:r w:rsidRPr="006D71C7">
              <w:rPr>
                <w:b/>
                <w:bCs/>
                <w:sz w:val="22"/>
              </w:rPr>
              <w:t>9.3</w:t>
            </w:r>
          </w:p>
        </w:tc>
        <w:tc>
          <w:tcPr>
            <w:tcW w:w="1144"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20,47</w:t>
            </w:r>
          </w:p>
        </w:tc>
        <w:tc>
          <w:tcPr>
            <w:tcW w:w="1736"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21,30</w:t>
            </w:r>
          </w:p>
        </w:tc>
        <w:tc>
          <w:tcPr>
            <w:tcW w:w="1051"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104%</w:t>
            </w:r>
            <w:r w:rsidRPr="006D71C7">
              <w:rPr>
                <w:rStyle w:val="Odwoanieprzypisudolnego"/>
                <w:sz w:val="22"/>
              </w:rPr>
              <w:footnoteReference w:id="2"/>
            </w:r>
          </w:p>
        </w:tc>
        <w:tc>
          <w:tcPr>
            <w:tcW w:w="1052"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16,40</w:t>
            </w:r>
          </w:p>
        </w:tc>
        <w:tc>
          <w:tcPr>
            <w:tcW w:w="1052"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80%</w:t>
            </w:r>
          </w:p>
        </w:tc>
        <w:tc>
          <w:tcPr>
            <w:tcW w:w="1052"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12,65</w:t>
            </w:r>
          </w:p>
        </w:tc>
        <w:tc>
          <w:tcPr>
            <w:tcW w:w="1052" w:type="dxa"/>
            <w:tcBorders>
              <w:top w:val="single" w:sz="8" w:space="0" w:color="FFFFFF"/>
              <w:bottom w:val="single" w:sz="8" w:space="0" w:color="FFFFFF"/>
            </w:tcBorders>
            <w:shd w:val="clear" w:color="auto" w:fill="F9D8CD" w:themeFill="accent1" w:themeFillTint="33"/>
            <w:vAlign w:val="center"/>
          </w:tcPr>
          <w:p w:rsidR="00382B8C" w:rsidRPr="006D71C7" w:rsidRDefault="00382B8C" w:rsidP="00B110CA">
            <w:pPr>
              <w:jc w:val="center"/>
              <w:rPr>
                <w:sz w:val="22"/>
              </w:rPr>
            </w:pPr>
            <w:r w:rsidRPr="006D71C7">
              <w:rPr>
                <w:sz w:val="22"/>
              </w:rPr>
              <w:t>62%</w:t>
            </w:r>
          </w:p>
        </w:tc>
      </w:tr>
    </w:tbl>
    <w:p w:rsidR="00382B8C" w:rsidRPr="006D71C7" w:rsidRDefault="00382B8C" w:rsidP="006D71C7">
      <w:pPr>
        <w:shd w:val="clear" w:color="auto" w:fill="FFFFFF"/>
        <w:jc w:val="both"/>
        <w:rPr>
          <w:szCs w:val="24"/>
        </w:rPr>
      </w:pPr>
    </w:p>
    <w:p w:rsidR="00382B8C" w:rsidRPr="006D71C7" w:rsidRDefault="00382B8C" w:rsidP="006D71C7">
      <w:pPr>
        <w:spacing w:after="0"/>
        <w:jc w:val="both"/>
        <w:rPr>
          <w:szCs w:val="24"/>
        </w:rPr>
      </w:pPr>
      <w:r w:rsidRPr="006D71C7">
        <w:rPr>
          <w:szCs w:val="24"/>
        </w:rPr>
        <w:t xml:space="preserve">W ramach </w:t>
      </w:r>
      <w:r w:rsidR="009428B6" w:rsidRPr="006D71C7">
        <w:rPr>
          <w:szCs w:val="24"/>
        </w:rPr>
        <w:t>p</w:t>
      </w:r>
      <w:r w:rsidRPr="006D71C7">
        <w:rPr>
          <w:szCs w:val="24"/>
        </w:rPr>
        <w:t>riorytetu IX występuje tylko konkursowa procedura oceny i wyboru projektów. Do końca okresu sprawozdawczego podpisano 164 umowy na łączną kwotę dofinansowania środków pochodzących z EFRR 49,58 mln EUR</w:t>
      </w:r>
      <w:r w:rsidR="0088540C" w:rsidRPr="006D71C7">
        <w:rPr>
          <w:szCs w:val="24"/>
        </w:rPr>
        <w:t xml:space="preserve">. </w:t>
      </w:r>
      <w:r w:rsidRPr="006D71C7">
        <w:rPr>
          <w:szCs w:val="24"/>
        </w:rPr>
        <w:t xml:space="preserve">W sumie zakontraktowano 86% środków, które zostały przewidziane na alokację w ramach </w:t>
      </w:r>
      <w:r w:rsidR="00FE37D7" w:rsidRPr="006D71C7">
        <w:rPr>
          <w:szCs w:val="24"/>
        </w:rPr>
        <w:t>p</w:t>
      </w:r>
      <w:r w:rsidRPr="006D71C7">
        <w:rPr>
          <w:szCs w:val="24"/>
        </w:rPr>
        <w:t>riorytetu IX.</w:t>
      </w:r>
      <w:r w:rsidR="000147E5">
        <w:rPr>
          <w:szCs w:val="24"/>
        </w:rPr>
        <w:t xml:space="preserve"> Poziom płatności jest także na </w:t>
      </w:r>
      <w:r w:rsidRPr="006D71C7">
        <w:rPr>
          <w:szCs w:val="24"/>
        </w:rPr>
        <w:t xml:space="preserve">wyższym poziomie w porównaniu z rokiem ubiegłym, wynosi 38,47 mln EUR, co stanowi 67% całej alokacji przeznaczonej na </w:t>
      </w:r>
      <w:r w:rsidR="00FE37D7" w:rsidRPr="006D71C7">
        <w:rPr>
          <w:szCs w:val="24"/>
        </w:rPr>
        <w:t>p</w:t>
      </w:r>
      <w:r w:rsidRPr="006D71C7">
        <w:rPr>
          <w:szCs w:val="24"/>
        </w:rPr>
        <w:t xml:space="preserve">riorytet IX. </w:t>
      </w:r>
      <w:r w:rsidRPr="006D71C7">
        <w:t>W okresie sprawozdawczym nie ogłoszono już żadnego konkursu w ramach przedmiotowego Priorytetu.</w:t>
      </w:r>
    </w:p>
    <w:p w:rsidR="00245F70" w:rsidRPr="006D71C7" w:rsidRDefault="00B7721A" w:rsidP="006D71C7">
      <w:pPr>
        <w:spacing w:after="0" w:line="240" w:lineRule="auto"/>
        <w:jc w:val="both"/>
        <w:rPr>
          <w:b/>
          <w:i/>
        </w:rPr>
      </w:pPr>
      <w:r w:rsidRPr="006D71C7">
        <w:rPr>
          <w:b/>
          <w:i/>
        </w:rPr>
        <w:br w:type="page"/>
      </w:r>
    </w:p>
    <w:p w:rsidR="00382B8C" w:rsidRPr="006D71C7" w:rsidRDefault="00382B8C" w:rsidP="006D71C7">
      <w:pPr>
        <w:jc w:val="both"/>
        <w:rPr>
          <w:b/>
          <w:i/>
        </w:rPr>
      </w:pPr>
      <w:r w:rsidRPr="006D71C7">
        <w:rPr>
          <w:b/>
          <w:i/>
        </w:rPr>
        <w:t>Rozkład pr</w:t>
      </w:r>
      <w:r w:rsidR="0088540C" w:rsidRPr="006D71C7">
        <w:rPr>
          <w:b/>
          <w:i/>
        </w:rPr>
        <w:t>ojektów realizowanych w ramach p</w:t>
      </w:r>
      <w:r w:rsidRPr="006D71C7">
        <w:rPr>
          <w:b/>
          <w:i/>
        </w:rPr>
        <w:t>riorytetu IX</w:t>
      </w:r>
    </w:p>
    <w:p w:rsidR="00382B8C" w:rsidRPr="006D71C7" w:rsidRDefault="00382B8C" w:rsidP="006D71C7">
      <w:pPr>
        <w:jc w:val="both"/>
      </w:pPr>
      <w:r w:rsidRPr="006D71C7">
        <w:t>Analizując rozkład udzielonego wsparcia według typu beneficjentów, największe grono odbiorców stanowią publiczne zakłady opieki zdrowotnej (44%) i JST (40%). Natomiast biorąc pod uwagę liczbę podpisanych umów to na pierwszym miejscu znalazły się JST. Podpisano również 30 umów z niepublicznymi zakładami opieki zdrowotnej, które stanowiły 8% wszystkich podpisanych umów.</w:t>
      </w:r>
    </w:p>
    <w:p w:rsidR="00382B8C" w:rsidRPr="006D71C7" w:rsidRDefault="00382B8C" w:rsidP="006D71C7">
      <w:pPr>
        <w:tabs>
          <w:tab w:val="left" w:pos="2127"/>
        </w:tabs>
        <w:jc w:val="both"/>
      </w:pPr>
      <w:r w:rsidRPr="006D71C7">
        <w:rPr>
          <w:noProof/>
        </w:rPr>
        <w:drawing>
          <wp:inline distT="0" distB="0" distL="0" distR="0">
            <wp:extent cx="5657452" cy="2841108"/>
            <wp:effectExtent l="38100" t="19050" r="19448" b="0"/>
            <wp:docPr id="22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C43B75" w:rsidRDefault="00C43B75" w:rsidP="00C43B75">
      <w:pPr>
        <w:pStyle w:val="Legenda"/>
        <w:rPr>
          <w:b w:val="0"/>
          <w:i/>
          <w:color w:val="auto"/>
          <w:sz w:val="20"/>
          <w:szCs w:val="20"/>
        </w:rPr>
      </w:pPr>
      <w:bookmarkStart w:id="626" w:name="_Toc324853750"/>
      <w:bookmarkStart w:id="627" w:name="_Toc326055373"/>
      <w:bookmarkStart w:id="628" w:name="_Toc295293501"/>
      <w:bookmarkStart w:id="629" w:name="_Toc292889188"/>
      <w:bookmarkStart w:id="630" w:name="_Toc292796878"/>
      <w:bookmarkStart w:id="631" w:name="_Toc292796384"/>
      <w:bookmarkStart w:id="632" w:name="_Toc292793813"/>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55</w:t>
      </w:r>
      <w:r w:rsidR="008F7228" w:rsidRPr="00C43B75">
        <w:rPr>
          <w:color w:val="auto"/>
          <w:sz w:val="20"/>
          <w:szCs w:val="20"/>
        </w:rPr>
        <w:fldChar w:fldCharType="end"/>
      </w:r>
      <w:r w:rsidR="009F37F1">
        <w:t xml:space="preserve"> </w:t>
      </w:r>
      <w:r w:rsidR="00382B8C" w:rsidRPr="006D71C7">
        <w:rPr>
          <w:b w:val="0"/>
          <w:i/>
          <w:color w:val="auto"/>
          <w:sz w:val="20"/>
          <w:szCs w:val="20"/>
        </w:rPr>
        <w:t xml:space="preserve">Rozkład projektów  realizowanych w ramach </w:t>
      </w:r>
      <w:r w:rsidR="00FE37D7" w:rsidRPr="006D71C7">
        <w:rPr>
          <w:b w:val="0"/>
          <w:i/>
          <w:color w:val="auto"/>
          <w:sz w:val="20"/>
          <w:szCs w:val="20"/>
        </w:rPr>
        <w:t>p</w:t>
      </w:r>
      <w:r w:rsidR="00382B8C" w:rsidRPr="006D71C7">
        <w:rPr>
          <w:b w:val="0"/>
          <w:i/>
          <w:color w:val="auto"/>
          <w:sz w:val="20"/>
          <w:szCs w:val="20"/>
        </w:rPr>
        <w:t>riorytetu IX w podziale na beneficjentów</w:t>
      </w:r>
      <w:bookmarkEnd w:id="626"/>
      <w:bookmarkEnd w:id="627"/>
      <w:r w:rsidR="00382B8C" w:rsidRPr="006D71C7">
        <w:rPr>
          <w:b w:val="0"/>
          <w:i/>
          <w:color w:val="auto"/>
          <w:sz w:val="20"/>
          <w:szCs w:val="20"/>
        </w:rPr>
        <w:t xml:space="preserve"> </w:t>
      </w:r>
      <w:bookmarkEnd w:id="628"/>
      <w:bookmarkEnd w:id="629"/>
      <w:bookmarkEnd w:id="630"/>
      <w:bookmarkEnd w:id="631"/>
      <w:bookmarkEnd w:id="632"/>
    </w:p>
    <w:p w:rsidR="00382B8C" w:rsidRPr="006D71C7" w:rsidRDefault="00382B8C" w:rsidP="006D71C7">
      <w:pPr>
        <w:jc w:val="both"/>
      </w:pPr>
      <w:r w:rsidRPr="006D71C7">
        <w:t>Ponad 80% środków skierowanych zostało na realizacje inwestycji na obszarach miejskich, natomiast około 17% na tereny wiejskie.</w:t>
      </w:r>
    </w:p>
    <w:p w:rsidR="001915C3" w:rsidRPr="006D71C7" w:rsidRDefault="007338BD" w:rsidP="006D71C7">
      <w:pPr>
        <w:pStyle w:val="Legenda"/>
        <w:jc w:val="both"/>
        <w:rPr>
          <w:b w:val="0"/>
          <w:i/>
          <w:color w:val="auto"/>
          <w:sz w:val="20"/>
          <w:szCs w:val="20"/>
        </w:rPr>
      </w:pPr>
      <w:bookmarkStart w:id="633" w:name="_Toc324853751"/>
      <w:bookmarkStart w:id="634" w:name="_Toc326046389"/>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37</w:t>
      </w:r>
      <w:r w:rsidR="008F7228" w:rsidRPr="006D71C7">
        <w:rPr>
          <w:color w:val="auto"/>
          <w:sz w:val="20"/>
          <w:szCs w:val="20"/>
        </w:rPr>
        <w:fldChar w:fldCharType="end"/>
      </w:r>
      <w:r w:rsidR="001B017A" w:rsidRPr="006D71C7">
        <w:rPr>
          <w:color w:val="auto"/>
        </w:rPr>
        <w:t xml:space="preserve"> </w:t>
      </w:r>
      <w:r w:rsidR="00382B8C" w:rsidRPr="006D71C7">
        <w:rPr>
          <w:b w:val="0"/>
          <w:i/>
          <w:color w:val="auto"/>
          <w:sz w:val="20"/>
          <w:szCs w:val="20"/>
        </w:rPr>
        <w:t xml:space="preserve">Rozkład projektów realizowanych w ramach </w:t>
      </w:r>
      <w:r w:rsidR="00FE37D7" w:rsidRPr="006D71C7">
        <w:rPr>
          <w:b w:val="0"/>
          <w:i/>
          <w:color w:val="auto"/>
          <w:sz w:val="20"/>
          <w:szCs w:val="20"/>
        </w:rPr>
        <w:t>p</w:t>
      </w:r>
      <w:r w:rsidR="00382B8C" w:rsidRPr="006D71C7">
        <w:rPr>
          <w:b w:val="0"/>
          <w:i/>
          <w:color w:val="auto"/>
          <w:sz w:val="20"/>
          <w:szCs w:val="20"/>
        </w:rPr>
        <w:t xml:space="preserve">riorytetu IX w podziale na obszar (wartość </w:t>
      </w:r>
      <w:r w:rsidR="00FE37D7" w:rsidRPr="006D71C7">
        <w:rPr>
          <w:b w:val="0"/>
          <w:i/>
          <w:color w:val="auto"/>
          <w:sz w:val="20"/>
          <w:szCs w:val="20"/>
        </w:rPr>
        <w:t>w mln EUR</w:t>
      </w:r>
      <w:r w:rsidR="00DC1059" w:rsidRPr="006D71C7">
        <w:rPr>
          <w:b w:val="0"/>
          <w:i/>
          <w:color w:val="auto"/>
          <w:sz w:val="20"/>
          <w:szCs w:val="20"/>
        </w:rPr>
        <w:t xml:space="preserve"> </w:t>
      </w:r>
      <w:r w:rsidR="00382B8C" w:rsidRPr="006D71C7">
        <w:rPr>
          <w:b w:val="0"/>
          <w:i/>
          <w:color w:val="auto"/>
          <w:sz w:val="20"/>
          <w:szCs w:val="20"/>
        </w:rPr>
        <w:t>i liczba)</w:t>
      </w:r>
      <w:bookmarkEnd w:id="633"/>
      <w:bookmarkEnd w:id="634"/>
    </w:p>
    <w:tbl>
      <w:tblPr>
        <w:tblStyle w:val="redniasiatka3akcent1"/>
        <w:tblW w:w="0" w:type="auto"/>
        <w:shd w:val="clear" w:color="auto" w:fill="F4B29B" w:themeFill="accent1" w:themeFillTint="66"/>
        <w:tblLook w:val="04A0" w:firstRow="1" w:lastRow="0" w:firstColumn="1" w:lastColumn="0" w:noHBand="0" w:noVBand="1"/>
      </w:tblPr>
      <w:tblGrid>
        <w:gridCol w:w="2303"/>
        <w:gridCol w:w="2303"/>
        <w:gridCol w:w="2303"/>
        <w:gridCol w:w="2303"/>
      </w:tblGrid>
      <w:tr w:rsidR="00382B8C" w:rsidRPr="009F37F1" w:rsidTr="00733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OBSZAR</w:t>
            </w:r>
          </w:p>
        </w:tc>
        <w:tc>
          <w:tcPr>
            <w:tcW w:w="2303" w:type="dxa"/>
            <w:shd w:val="clear" w:color="auto" w:fill="F4B29B" w:themeFill="accent1" w:themeFillTint="66"/>
            <w:vAlign w:val="center"/>
          </w:tcPr>
          <w:p w:rsidR="00C43B75" w:rsidRPr="00C43B75" w:rsidRDefault="00C43B75" w:rsidP="00C43B75">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LICZBA</w:t>
            </w:r>
          </w:p>
        </w:tc>
        <w:tc>
          <w:tcPr>
            <w:tcW w:w="2303" w:type="dxa"/>
            <w:shd w:val="clear" w:color="auto" w:fill="F4B29B" w:themeFill="accent1" w:themeFillTint="66"/>
            <w:vAlign w:val="center"/>
          </w:tcPr>
          <w:p w:rsidR="00C43B75" w:rsidRPr="00C43B75" w:rsidRDefault="00C43B75" w:rsidP="00C43B75">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WARTOŚĆ OGÓŁEM</w:t>
            </w:r>
          </w:p>
        </w:tc>
        <w:tc>
          <w:tcPr>
            <w:tcW w:w="2303" w:type="dxa"/>
            <w:shd w:val="clear" w:color="auto" w:fill="F4B29B" w:themeFill="accent1" w:themeFillTint="66"/>
            <w:vAlign w:val="center"/>
          </w:tcPr>
          <w:p w:rsidR="00C43B75" w:rsidRPr="00C43B75" w:rsidRDefault="00C43B75" w:rsidP="00C43B75">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C43B75">
              <w:rPr>
                <w:color w:val="auto"/>
                <w:sz w:val="20"/>
                <w:szCs w:val="20"/>
              </w:rPr>
              <w:t>DOFINANSOWANIE UE</w:t>
            </w:r>
          </w:p>
        </w:tc>
      </w:tr>
      <w:tr w:rsidR="00382B8C" w:rsidRPr="009F37F1" w:rsidTr="0073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MIEJSKI</w:t>
            </w:r>
          </w:p>
        </w:tc>
        <w:tc>
          <w:tcPr>
            <w:tcW w:w="2303" w:type="dxa"/>
            <w:tcBorders>
              <w:top w:val="single" w:sz="24" w:space="0" w:color="FFFFFF" w:themeColor="background1"/>
            </w:tcBorders>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120</w:t>
            </w:r>
          </w:p>
        </w:tc>
        <w:tc>
          <w:tcPr>
            <w:tcW w:w="2303" w:type="dxa"/>
            <w:tcBorders>
              <w:top w:val="single" w:sz="24" w:space="0" w:color="FFFFFF" w:themeColor="background1"/>
            </w:tcBorders>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72,08</w:t>
            </w:r>
          </w:p>
        </w:tc>
        <w:tc>
          <w:tcPr>
            <w:tcW w:w="2303" w:type="dxa"/>
            <w:tcBorders>
              <w:top w:val="single" w:sz="24" w:space="0" w:color="FFFFFF" w:themeColor="background1"/>
            </w:tcBorders>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43B75">
              <w:rPr>
                <w:sz w:val="20"/>
                <w:szCs w:val="20"/>
              </w:rPr>
              <w:t>39,94</w:t>
            </w:r>
          </w:p>
        </w:tc>
      </w:tr>
      <w:tr w:rsidR="00382B8C" w:rsidRPr="009F37F1" w:rsidTr="00733548">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WIEJSKI</w:t>
            </w:r>
          </w:p>
        </w:tc>
        <w:tc>
          <w:tcPr>
            <w:tcW w:w="2303"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43B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39</w:t>
            </w:r>
          </w:p>
        </w:tc>
        <w:tc>
          <w:tcPr>
            <w:tcW w:w="2303"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43B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43B75">
              <w:rPr>
                <w:sz w:val="20"/>
                <w:szCs w:val="20"/>
              </w:rPr>
              <w:t>17,43</w:t>
            </w:r>
          </w:p>
        </w:tc>
        <w:tc>
          <w:tcPr>
            <w:tcW w:w="2303" w:type="dxa"/>
            <w:tcBorders>
              <w:top w:val="single" w:sz="8" w:space="0" w:color="FFFFFF" w:themeColor="background1"/>
              <w:bottom w:val="single" w:sz="8" w:space="0" w:color="FFFFFF" w:themeColor="background1"/>
            </w:tcBorders>
            <w:shd w:val="clear" w:color="auto" w:fill="F9D8CD" w:themeFill="accent1" w:themeFillTint="33"/>
            <w:vAlign w:val="center"/>
          </w:tcPr>
          <w:p w:rsidR="00C43B75" w:rsidRDefault="00C43B75" w:rsidP="00C43B75">
            <w:pPr>
              <w:jc w:val="center"/>
              <w:cnfStyle w:val="000000000000" w:firstRow="0" w:lastRow="0" w:firstColumn="0" w:lastColumn="0" w:oddVBand="0" w:evenVBand="0" w:oddHBand="0" w:evenHBand="0" w:firstRowFirstColumn="0" w:firstRowLastColumn="0" w:lastRowFirstColumn="0" w:lastRowLastColumn="0"/>
              <w:rPr>
                <w:rFonts w:cstheme="majorBidi"/>
                <w:b/>
                <w:bCs/>
                <w:color w:val="D34817" w:themeColor="accent1"/>
                <w:sz w:val="20"/>
                <w:szCs w:val="20"/>
              </w:rPr>
            </w:pPr>
            <w:r w:rsidRPr="00C43B75">
              <w:rPr>
                <w:sz w:val="20"/>
                <w:szCs w:val="20"/>
              </w:rPr>
              <w:t>8,45</w:t>
            </w:r>
          </w:p>
        </w:tc>
      </w:tr>
      <w:tr w:rsidR="00382B8C" w:rsidRPr="009F37F1" w:rsidTr="0073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4B29B" w:themeFill="accent1" w:themeFillTint="66"/>
            <w:vAlign w:val="center"/>
          </w:tcPr>
          <w:p w:rsidR="00C43B75" w:rsidRPr="00C43B75" w:rsidRDefault="00C43B75" w:rsidP="00C43B75">
            <w:pPr>
              <w:jc w:val="center"/>
              <w:rPr>
                <w:bCs w:val="0"/>
                <w:color w:val="auto"/>
                <w:sz w:val="20"/>
                <w:szCs w:val="20"/>
              </w:rPr>
            </w:pPr>
            <w:r w:rsidRPr="00C43B75">
              <w:rPr>
                <w:color w:val="auto"/>
                <w:sz w:val="20"/>
                <w:szCs w:val="20"/>
              </w:rPr>
              <w:t>GÓRSKI</w:t>
            </w:r>
          </w:p>
        </w:tc>
        <w:tc>
          <w:tcPr>
            <w:tcW w:w="2303" w:type="dxa"/>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rFonts w:cstheme="majorBidi"/>
                <w:b/>
                <w:bCs/>
                <w:color w:val="D34817" w:themeColor="accent1"/>
                <w:sz w:val="20"/>
                <w:szCs w:val="20"/>
              </w:rPr>
            </w:pPr>
            <w:r w:rsidRPr="00C43B75">
              <w:rPr>
                <w:sz w:val="20"/>
                <w:szCs w:val="20"/>
              </w:rPr>
              <w:t>5</w:t>
            </w:r>
          </w:p>
        </w:tc>
        <w:tc>
          <w:tcPr>
            <w:tcW w:w="2303" w:type="dxa"/>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rFonts w:cstheme="majorBidi"/>
                <w:b/>
                <w:bCs/>
                <w:color w:val="D34817" w:themeColor="accent1"/>
                <w:sz w:val="20"/>
                <w:szCs w:val="20"/>
              </w:rPr>
            </w:pPr>
            <w:r w:rsidRPr="00C43B75">
              <w:rPr>
                <w:sz w:val="20"/>
                <w:szCs w:val="20"/>
              </w:rPr>
              <w:t>3,55</w:t>
            </w:r>
          </w:p>
        </w:tc>
        <w:tc>
          <w:tcPr>
            <w:tcW w:w="2303" w:type="dxa"/>
            <w:shd w:val="clear" w:color="auto" w:fill="F9D8CD" w:themeFill="accent1" w:themeFillTint="33"/>
            <w:vAlign w:val="center"/>
          </w:tcPr>
          <w:p w:rsidR="00C43B75" w:rsidRDefault="00C43B75" w:rsidP="00C43B75">
            <w:pPr>
              <w:jc w:val="center"/>
              <w:cnfStyle w:val="000000100000" w:firstRow="0" w:lastRow="0" w:firstColumn="0" w:lastColumn="0" w:oddVBand="0" w:evenVBand="0" w:oddHBand="1" w:evenHBand="0" w:firstRowFirstColumn="0" w:firstRowLastColumn="0" w:lastRowFirstColumn="0" w:lastRowLastColumn="0"/>
              <w:rPr>
                <w:rFonts w:cstheme="majorBidi"/>
                <w:b/>
                <w:bCs/>
                <w:color w:val="D34817" w:themeColor="accent1"/>
                <w:sz w:val="20"/>
                <w:szCs w:val="20"/>
              </w:rPr>
            </w:pPr>
            <w:r w:rsidRPr="00C43B75">
              <w:rPr>
                <w:sz w:val="20"/>
                <w:szCs w:val="20"/>
              </w:rPr>
              <w:t>1,18</w:t>
            </w:r>
          </w:p>
        </w:tc>
      </w:tr>
    </w:tbl>
    <w:p w:rsidR="00382B8C" w:rsidRPr="006D71C7" w:rsidRDefault="00382B8C" w:rsidP="006D71C7">
      <w:pPr>
        <w:jc w:val="both"/>
      </w:pPr>
    </w:p>
    <w:p w:rsidR="00382B8C" w:rsidRPr="006D71C7" w:rsidRDefault="00382B8C" w:rsidP="006D71C7">
      <w:pPr>
        <w:spacing w:after="120"/>
        <w:jc w:val="both"/>
        <w:rPr>
          <w:szCs w:val="24"/>
        </w:rPr>
      </w:pPr>
      <w:r w:rsidRPr="006D71C7">
        <w:rPr>
          <w:szCs w:val="24"/>
        </w:rPr>
        <w:t>W ramach priorytetu realizowane są projekty, których wartość dofinansowania kształtuje się w przedziale od 60 991,36 EUR do 757 675,36 EUR. Średnia wartość dofinansowania dla projektu wynosi 302 306,66 EUR, a średnia wartość całkowita projektu to 303 232,99 EUR.</w:t>
      </w:r>
    </w:p>
    <w:p w:rsidR="00382B8C" w:rsidRPr="006D71C7" w:rsidRDefault="00BB5457" w:rsidP="006D71C7">
      <w:pPr>
        <w:spacing w:after="120"/>
        <w:jc w:val="both"/>
        <w:rPr>
          <w:bCs/>
          <w:iCs/>
          <w:szCs w:val="24"/>
        </w:rPr>
      </w:pPr>
      <w:r w:rsidRPr="006D71C7">
        <w:rPr>
          <w:bCs/>
          <w:iCs/>
          <w:szCs w:val="24"/>
        </w:rPr>
        <w:t xml:space="preserve">Najaktywniejszymi beneficjentami są </w:t>
      </w:r>
      <w:r w:rsidR="00085743" w:rsidRPr="006D71C7">
        <w:rPr>
          <w:bCs/>
          <w:iCs/>
          <w:szCs w:val="24"/>
        </w:rPr>
        <w:t xml:space="preserve">podmioty </w:t>
      </w:r>
      <w:r w:rsidRPr="006D71C7">
        <w:rPr>
          <w:bCs/>
          <w:iCs/>
          <w:szCs w:val="24"/>
        </w:rPr>
        <w:t>powi</w:t>
      </w:r>
      <w:r w:rsidR="00085743" w:rsidRPr="006D71C7">
        <w:rPr>
          <w:bCs/>
          <w:iCs/>
          <w:szCs w:val="24"/>
        </w:rPr>
        <w:t>atu</w:t>
      </w:r>
      <w:r w:rsidRPr="006D71C7">
        <w:rPr>
          <w:bCs/>
          <w:iCs/>
          <w:szCs w:val="24"/>
        </w:rPr>
        <w:t xml:space="preserve"> cieszyński</w:t>
      </w:r>
      <w:r w:rsidR="00085743" w:rsidRPr="006D71C7">
        <w:rPr>
          <w:bCs/>
          <w:iCs/>
          <w:szCs w:val="24"/>
        </w:rPr>
        <w:t>ego</w:t>
      </w:r>
      <w:r w:rsidRPr="006D71C7">
        <w:rPr>
          <w:bCs/>
          <w:iCs/>
          <w:szCs w:val="24"/>
        </w:rPr>
        <w:t xml:space="preserve"> (14 projektów) oraz powi</w:t>
      </w:r>
      <w:r w:rsidR="00085743" w:rsidRPr="006D71C7">
        <w:rPr>
          <w:bCs/>
          <w:iCs/>
          <w:szCs w:val="24"/>
        </w:rPr>
        <w:t>atu</w:t>
      </w:r>
      <w:r w:rsidRPr="006D71C7">
        <w:rPr>
          <w:bCs/>
          <w:iCs/>
          <w:szCs w:val="24"/>
        </w:rPr>
        <w:t xml:space="preserve"> zawierciański</w:t>
      </w:r>
      <w:r w:rsidR="00085743" w:rsidRPr="006D71C7">
        <w:rPr>
          <w:bCs/>
          <w:iCs/>
          <w:szCs w:val="24"/>
        </w:rPr>
        <w:t>ego</w:t>
      </w:r>
      <w:r w:rsidRPr="006D71C7">
        <w:rPr>
          <w:bCs/>
          <w:iCs/>
          <w:szCs w:val="24"/>
        </w:rPr>
        <w:t xml:space="preserve"> (10 projektów).</w:t>
      </w:r>
      <w:r w:rsidR="00A15D6D" w:rsidRPr="006D71C7">
        <w:rPr>
          <w:bCs/>
          <w:iCs/>
          <w:szCs w:val="24"/>
        </w:rPr>
        <w:t xml:space="preserve"> Największe dofinansowanie w ramach przedmiotowego priorytetu otrzymali: Miasto Katowice </w:t>
      </w:r>
      <w:r w:rsidR="00085743" w:rsidRPr="006D71C7">
        <w:rPr>
          <w:bCs/>
          <w:iCs/>
          <w:szCs w:val="24"/>
        </w:rPr>
        <w:t>(</w:t>
      </w:r>
      <w:r w:rsidR="00A15D6D" w:rsidRPr="006D71C7">
        <w:rPr>
          <w:bCs/>
          <w:iCs/>
          <w:szCs w:val="24"/>
        </w:rPr>
        <w:t>3,25 mln EUR</w:t>
      </w:r>
      <w:r w:rsidR="00085743" w:rsidRPr="006D71C7">
        <w:rPr>
          <w:bCs/>
          <w:iCs/>
          <w:szCs w:val="24"/>
        </w:rPr>
        <w:t>)</w:t>
      </w:r>
      <w:r w:rsidR="00A15D6D" w:rsidRPr="006D71C7">
        <w:rPr>
          <w:bCs/>
          <w:iCs/>
          <w:szCs w:val="24"/>
        </w:rPr>
        <w:t xml:space="preserve">, Miasto Ruda Śląska </w:t>
      </w:r>
      <w:r w:rsidR="00085743" w:rsidRPr="006D71C7">
        <w:rPr>
          <w:bCs/>
          <w:iCs/>
          <w:szCs w:val="24"/>
        </w:rPr>
        <w:t>(</w:t>
      </w:r>
      <w:r w:rsidR="00A15D6D" w:rsidRPr="006D71C7">
        <w:rPr>
          <w:bCs/>
          <w:iCs/>
          <w:szCs w:val="24"/>
        </w:rPr>
        <w:t>3,28 mln EUR</w:t>
      </w:r>
      <w:r w:rsidR="00085743" w:rsidRPr="006D71C7">
        <w:rPr>
          <w:bCs/>
          <w:iCs/>
          <w:szCs w:val="24"/>
        </w:rPr>
        <w:t>)</w:t>
      </w:r>
      <w:r w:rsidR="00A15D6D" w:rsidRPr="006D71C7">
        <w:rPr>
          <w:bCs/>
          <w:iCs/>
          <w:szCs w:val="24"/>
        </w:rPr>
        <w:t xml:space="preserve"> oraz powiat cieszyński </w:t>
      </w:r>
      <w:r w:rsidR="00085743" w:rsidRPr="006D71C7">
        <w:rPr>
          <w:bCs/>
          <w:iCs/>
          <w:szCs w:val="24"/>
        </w:rPr>
        <w:t>(</w:t>
      </w:r>
      <w:r w:rsidR="00A15D6D" w:rsidRPr="006D71C7">
        <w:rPr>
          <w:bCs/>
          <w:iCs/>
          <w:szCs w:val="24"/>
        </w:rPr>
        <w:t>3,70 mln EUR</w:t>
      </w:r>
      <w:r w:rsidR="00085743" w:rsidRPr="006D71C7">
        <w:rPr>
          <w:bCs/>
          <w:iCs/>
          <w:szCs w:val="24"/>
        </w:rPr>
        <w:t>)</w:t>
      </w:r>
      <w:r w:rsidR="00A15D6D" w:rsidRPr="006D71C7">
        <w:rPr>
          <w:bCs/>
          <w:iCs/>
          <w:szCs w:val="24"/>
        </w:rPr>
        <w:t>.</w:t>
      </w:r>
    </w:p>
    <w:p w:rsidR="00C43B75" w:rsidRPr="00C43B75" w:rsidRDefault="004B131A" w:rsidP="00C43B75">
      <w:pPr>
        <w:pStyle w:val="Legenda"/>
        <w:rPr>
          <w:i/>
          <w:iCs/>
          <w:color w:val="auto"/>
          <w:sz w:val="20"/>
          <w:szCs w:val="20"/>
        </w:rPr>
      </w:pPr>
      <w:r>
        <w:rPr>
          <w:b w:val="0"/>
          <w:bCs w:val="0"/>
          <w:i/>
          <w:iCs/>
          <w:noProof/>
          <w:color w:val="auto"/>
          <w:sz w:val="20"/>
          <w:szCs w:val="20"/>
        </w:rPr>
        <w:drawing>
          <wp:inline distT="0" distB="0" distL="0" distR="0">
            <wp:extent cx="5759450" cy="5091168"/>
            <wp:effectExtent l="19050" t="0" r="0" b="0"/>
            <wp:docPr id="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srcRect/>
                    <a:stretch>
                      <a:fillRect/>
                    </a:stretch>
                  </pic:blipFill>
                  <pic:spPr bwMode="auto">
                    <a:xfrm>
                      <a:off x="0" y="0"/>
                      <a:ext cx="5759450" cy="5091168"/>
                    </a:xfrm>
                    <a:prstGeom prst="rect">
                      <a:avLst/>
                    </a:prstGeom>
                    <a:noFill/>
                    <a:ln w="9525">
                      <a:noFill/>
                      <a:miter lim="800000"/>
                      <a:headEnd/>
                      <a:tailEnd/>
                    </a:ln>
                  </pic:spPr>
                </pic:pic>
              </a:graphicData>
            </a:graphic>
          </wp:inline>
        </w:drawing>
      </w:r>
      <w:bookmarkStart w:id="635" w:name="_Toc324786950"/>
      <w:bookmarkStart w:id="636" w:name="_Toc324854716"/>
      <w:bookmarkStart w:id="637" w:name="_Toc324854780"/>
      <w:r w:rsidR="00C43B75" w:rsidRPr="00C43B75">
        <w:rPr>
          <w:sz w:val="20"/>
          <w:szCs w:val="20"/>
        </w:rPr>
        <w:t xml:space="preserve"> </w:t>
      </w:r>
      <w:bookmarkStart w:id="638" w:name="_Toc326055374"/>
      <w:r w:rsidR="00C43B75" w:rsidRPr="00C43B75">
        <w:rPr>
          <w:color w:val="auto"/>
          <w:sz w:val="20"/>
          <w:szCs w:val="20"/>
        </w:rPr>
        <w:t xml:space="preserve">Rysunek </w:t>
      </w:r>
      <w:r w:rsidR="008F7228" w:rsidRPr="00C43B75">
        <w:rPr>
          <w:color w:val="auto"/>
          <w:sz w:val="20"/>
          <w:szCs w:val="20"/>
        </w:rPr>
        <w:fldChar w:fldCharType="begin"/>
      </w:r>
      <w:r w:rsidR="00C43B75"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56</w:t>
      </w:r>
      <w:r w:rsidR="008F7228" w:rsidRPr="00C43B75">
        <w:rPr>
          <w:color w:val="auto"/>
          <w:sz w:val="20"/>
          <w:szCs w:val="20"/>
        </w:rPr>
        <w:fldChar w:fldCharType="end"/>
      </w:r>
      <w:r w:rsidR="00C43B75" w:rsidRPr="00C43B75">
        <w:rPr>
          <w:color w:val="auto"/>
          <w:sz w:val="20"/>
          <w:szCs w:val="20"/>
        </w:rPr>
        <w:t xml:space="preserve"> </w:t>
      </w:r>
      <w:r w:rsidR="00C43B75" w:rsidRPr="00C43B75">
        <w:rPr>
          <w:b w:val="0"/>
          <w:i/>
          <w:color w:val="auto"/>
          <w:sz w:val="20"/>
          <w:szCs w:val="20"/>
        </w:rPr>
        <w:t>Rozkład projektów w podziale na powiaty</w:t>
      </w:r>
      <w:bookmarkEnd w:id="635"/>
      <w:bookmarkEnd w:id="636"/>
      <w:bookmarkEnd w:id="637"/>
      <w:bookmarkEnd w:id="638"/>
      <w:r w:rsidR="00C43B75" w:rsidRPr="00C43B75">
        <w:rPr>
          <w:i/>
          <w:color w:val="auto"/>
          <w:sz w:val="20"/>
          <w:szCs w:val="20"/>
        </w:rPr>
        <w:t xml:space="preserve"> </w:t>
      </w:r>
    </w:p>
    <w:p w:rsidR="00A53A2A" w:rsidRPr="006D71C7" w:rsidRDefault="00382B8C" w:rsidP="006D71C7">
      <w:pPr>
        <w:spacing w:after="120" w:line="240" w:lineRule="auto"/>
        <w:jc w:val="both"/>
        <w:rPr>
          <w:b/>
          <w:bCs/>
          <w:i/>
          <w:iCs/>
          <w:szCs w:val="24"/>
        </w:rPr>
      </w:pPr>
      <w:r w:rsidRPr="006D71C7">
        <w:rPr>
          <w:b/>
          <w:bCs/>
          <w:i/>
          <w:iCs/>
          <w:szCs w:val="24"/>
        </w:rPr>
        <w:t>Analiza wskaźnikowa</w:t>
      </w:r>
    </w:p>
    <w:p w:rsidR="00A53A2A" w:rsidRPr="006D71C7" w:rsidRDefault="00A53A2A" w:rsidP="006D71C7">
      <w:pPr>
        <w:jc w:val="both"/>
      </w:pPr>
      <w:r w:rsidRPr="006D71C7">
        <w:t xml:space="preserve">W </w:t>
      </w:r>
      <w:r w:rsidR="002225B5" w:rsidRPr="006D71C7">
        <w:t>p</w:t>
      </w:r>
      <w:r w:rsidRPr="006D71C7">
        <w:t>riorytecie IX w okresie sprawozdawczym nastąpił po</w:t>
      </w:r>
      <w:r w:rsidR="000147E5">
        <w:t>stęp w realizacji w stosunku do </w:t>
      </w:r>
      <w:r w:rsidR="002225B5" w:rsidRPr="006D71C7">
        <w:t xml:space="preserve">trzech </w:t>
      </w:r>
      <w:r w:rsidRPr="006D71C7">
        <w:t xml:space="preserve">spośród wszystkich </w:t>
      </w:r>
      <w:r w:rsidR="00085743" w:rsidRPr="006D71C7">
        <w:t xml:space="preserve">3 </w:t>
      </w:r>
      <w:r w:rsidRPr="006D71C7">
        <w:t xml:space="preserve">wskaźników produktu. Największą realizację, osiągając wartość stanowiącą 53% wartości docelowej dla 2015 roku, uzyskał wskaźnik </w:t>
      </w:r>
      <w:r w:rsidR="002225B5" w:rsidRPr="006D71C7">
        <w:rPr>
          <w:i/>
        </w:rPr>
        <w:t>Liczba projektów z </w:t>
      </w:r>
      <w:r w:rsidRPr="006D71C7">
        <w:rPr>
          <w:i/>
        </w:rPr>
        <w:t>zakresu ochrony zdrowia, w tym: dot. wyłącznie zakupu aparatury i sprzętu medycznego</w:t>
      </w:r>
      <w:r w:rsidRPr="006D71C7">
        <w:t>.</w:t>
      </w:r>
      <w:r w:rsidR="002225B5" w:rsidRPr="006D71C7">
        <w:t xml:space="preserve"> W </w:t>
      </w:r>
      <w:r w:rsidRPr="006D71C7">
        <w:t>okresie sprawozdawczym również dla wszystkich wskaźni</w:t>
      </w:r>
      <w:r w:rsidR="002225B5" w:rsidRPr="006D71C7">
        <w:t>ków rezultatu nastąpił postęp w </w:t>
      </w:r>
      <w:r w:rsidRPr="006D71C7">
        <w:t xml:space="preserve">realizacji. Największą realizację osiągnął wskaźnik </w:t>
      </w:r>
      <w:r w:rsidR="002225B5" w:rsidRPr="006D71C7">
        <w:rPr>
          <w:i/>
        </w:rPr>
        <w:t>Liczba osób korzystających z </w:t>
      </w:r>
      <w:r w:rsidRPr="006D71C7">
        <w:rPr>
          <w:i/>
        </w:rPr>
        <w:t>infrastruktury sportowej objętej wsparciem</w:t>
      </w:r>
      <w:r w:rsidRPr="006D71C7">
        <w:t>, którego realizacja ponad dwukrotnie przekroczyła wartość docelową wskaźnika osiągając realizację odpowiadającą 223% wartości docelowej wskaźnika dla roku 2015. Wskaźnik ten jest jedynym wskaźnikiem obrazującym postęp rzeczowy działania 9.3.</w:t>
      </w:r>
      <w:r w:rsidR="002225B5" w:rsidRPr="006D71C7">
        <w:t xml:space="preserve"> </w:t>
      </w:r>
      <w:r w:rsidRPr="006D71C7">
        <w:t>Jak wskazują prognozy z umów podpisanych do końca 2011</w:t>
      </w:r>
      <w:r w:rsidR="002225B5" w:rsidRPr="006D71C7">
        <w:t xml:space="preserve"> roku w p</w:t>
      </w:r>
      <w:r w:rsidRPr="006D71C7">
        <w:t xml:space="preserve">riorytecie IX swoją wartość docelową oprócz </w:t>
      </w:r>
      <w:r w:rsidR="002225B5" w:rsidRPr="006D71C7">
        <w:t xml:space="preserve">ww. </w:t>
      </w:r>
      <w:r w:rsidRPr="006D71C7">
        <w:t xml:space="preserve">wskaźnika osiągnie wyłącznie wskaźnik </w:t>
      </w:r>
      <w:r w:rsidRPr="006D71C7">
        <w:rPr>
          <w:i/>
        </w:rPr>
        <w:t>Liczba porad udzielonych z wykorzystaniem infrastruktury ochrony zdrowia objętej wsparciem w ramach programu</w:t>
      </w:r>
      <w:r w:rsidRPr="006D71C7">
        <w:t>. Za gorszy stan realizacji ws</w:t>
      </w:r>
      <w:r w:rsidR="002225B5" w:rsidRPr="006D71C7">
        <w:t>kaźników w p</w:t>
      </w:r>
      <w:r w:rsidRPr="006D71C7">
        <w:t>riorytecie IX odpowiadają działania z zakresu i</w:t>
      </w:r>
      <w:r w:rsidR="002225B5" w:rsidRPr="006D71C7">
        <w:t>nfrastruktury ochrony zdrowia t</w:t>
      </w:r>
      <w:r w:rsidRPr="006D71C7">
        <w:t>j. działanie 9.1 oraz 9.2</w:t>
      </w:r>
      <w:r w:rsidR="002225B5" w:rsidRPr="006D71C7">
        <w:t>. Na </w:t>
      </w:r>
      <w:r w:rsidRPr="006D71C7">
        <w:t>nieosiągnięcie wartości docelowych wskaźników</w:t>
      </w:r>
      <w:r w:rsidR="002225B5" w:rsidRPr="006D71C7">
        <w:t xml:space="preserve"> p</w:t>
      </w:r>
      <w:r w:rsidRPr="006D71C7">
        <w:t xml:space="preserve">riorytetu IX, a zwłaszcza wskaźników produktu typu „liczba projektów...” wpływ mogą mieć przeszacowane wartości docelowe, gdzie nie uwzględniono specyfiki działania 9.1, w którym realizowane są projekty o dużej wartości (średnia wartość całkowita projektu równa </w:t>
      </w:r>
      <w:r w:rsidR="002225B5" w:rsidRPr="006D71C7">
        <w:t>900 634,87 EUR</w:t>
      </w:r>
      <w:r w:rsidRPr="006D71C7">
        <w:t>)</w:t>
      </w:r>
      <w:r w:rsidR="00085743" w:rsidRPr="006D71C7">
        <w:t>,</w:t>
      </w:r>
      <w:r w:rsidRPr="006D71C7">
        <w:t xml:space="preserve"> co </w:t>
      </w:r>
      <w:r w:rsidR="002225B5" w:rsidRPr="006D71C7">
        <w:t>przy dostępnej na </w:t>
      </w:r>
      <w:r w:rsidRPr="006D71C7">
        <w:t xml:space="preserve">działanie alokacji powoduje, że nie ma możliwości zrealizowania </w:t>
      </w:r>
      <w:r w:rsidR="00085743" w:rsidRPr="006D71C7">
        <w:t xml:space="preserve">wartości </w:t>
      </w:r>
      <w:r w:rsidR="002225B5" w:rsidRPr="006D71C7">
        <w:t>zaplanowanych na początku programowania RPO WSL</w:t>
      </w:r>
      <w:r w:rsidRPr="006D71C7">
        <w:t>.</w:t>
      </w:r>
    </w:p>
    <w:p w:rsidR="00A53A2A" w:rsidRPr="006D71C7" w:rsidRDefault="00A53A2A" w:rsidP="006D71C7">
      <w:pPr>
        <w:jc w:val="both"/>
      </w:pPr>
      <w:r w:rsidRPr="006D71C7">
        <w:t xml:space="preserve">Postęp wskaźnika </w:t>
      </w:r>
      <w:r w:rsidRPr="006D71C7">
        <w:rPr>
          <w:rFonts w:eastAsia="Arial" w:cs="Arial"/>
          <w:i/>
        </w:rPr>
        <w:t xml:space="preserve">Liczba ośrodków zdrowia, w których przeprowadzono prace remontowe/ modernizacyjne lub zakupiono/ zmodernizowano sprzęt medycznym </w:t>
      </w:r>
      <w:r w:rsidR="002225B5" w:rsidRPr="006D71C7">
        <w:t>stanowi odpowiedź na </w:t>
      </w:r>
      <w:r w:rsidRPr="006D71C7">
        <w:t>wskazaną w analizie SWOT słabą stronę „niedoinwestowanie i zły stan infrastruktury zdrowotnej”. W chwili obecnej spodziewany poziom s</w:t>
      </w:r>
      <w:r w:rsidR="002225B5" w:rsidRPr="006D71C7">
        <w:t>zacownej realizacji wskazuje na </w:t>
      </w:r>
      <w:r w:rsidRPr="006D71C7">
        <w:t>osiągnięcie wartości realizacji wskaźnika na poziomie 119 sztuk.</w:t>
      </w:r>
    </w:p>
    <w:p w:rsidR="00A53A2A" w:rsidRPr="006D71C7" w:rsidRDefault="002225B5" w:rsidP="006D71C7">
      <w:pPr>
        <w:spacing w:after="0"/>
        <w:jc w:val="both"/>
      </w:pPr>
      <w:r w:rsidRPr="006D71C7">
        <w:t>W ramach p</w:t>
      </w:r>
      <w:r w:rsidR="00A53A2A" w:rsidRPr="006D71C7">
        <w:t xml:space="preserve">riorytetu realizowane są wskaźniki Komisji Europejskiej tzw. </w:t>
      </w:r>
      <w:r w:rsidR="00A53A2A" w:rsidRPr="006D71C7">
        <w:rPr>
          <w:i/>
        </w:rPr>
        <w:t>Core Indicators</w:t>
      </w:r>
      <w:r w:rsidR="00A53A2A" w:rsidRPr="006D71C7">
        <w:t>, są to</w:t>
      </w:r>
      <w:r w:rsidRPr="006D71C7">
        <w:t>:</w:t>
      </w:r>
    </w:p>
    <w:p w:rsidR="002225B5" w:rsidRPr="006D71C7" w:rsidRDefault="00A53A2A" w:rsidP="00BA2FE7">
      <w:pPr>
        <w:pStyle w:val="Akapitzlist"/>
        <w:numPr>
          <w:ilvl w:val="0"/>
          <w:numId w:val="95"/>
        </w:numPr>
        <w:spacing w:after="0"/>
        <w:jc w:val="both"/>
        <w:rPr>
          <w:rFonts w:eastAsia="Arial" w:cs="Arial"/>
          <w:i/>
        </w:rPr>
      </w:pPr>
      <w:r w:rsidRPr="006D71C7">
        <w:rPr>
          <w:rFonts w:eastAsia="Arial" w:cs="Arial"/>
          <w:i/>
        </w:rPr>
        <w:t>Liczba projektów z zakresu ochrony zdrowia</w:t>
      </w:r>
      <w:r w:rsidR="002225B5" w:rsidRPr="006D71C7">
        <w:rPr>
          <w:rFonts w:eastAsia="Arial" w:cs="Arial"/>
          <w:i/>
        </w:rPr>
        <w:t>,</w:t>
      </w:r>
    </w:p>
    <w:p w:rsidR="00A53A2A" w:rsidRPr="006D71C7" w:rsidRDefault="00A53A2A" w:rsidP="00BA2FE7">
      <w:pPr>
        <w:pStyle w:val="Akapitzlist"/>
        <w:numPr>
          <w:ilvl w:val="0"/>
          <w:numId w:val="95"/>
        </w:numPr>
        <w:spacing w:after="0"/>
        <w:jc w:val="both"/>
        <w:rPr>
          <w:rFonts w:eastAsia="Arial" w:cs="Arial"/>
          <w:i/>
        </w:rPr>
      </w:pPr>
      <w:r w:rsidRPr="006D71C7">
        <w:rPr>
          <w:rFonts w:eastAsia="Arial" w:cs="Arial"/>
          <w:i/>
        </w:rPr>
        <w:t xml:space="preserve">Liczba projektów </w:t>
      </w:r>
      <w:r w:rsidR="00341D42">
        <w:rPr>
          <w:rFonts w:eastAsia="Arial" w:cs="Arial"/>
          <w:i/>
        </w:rPr>
        <w:t>dot. infrastruktury</w:t>
      </w:r>
      <w:r w:rsidRPr="006D71C7">
        <w:rPr>
          <w:rFonts w:eastAsia="Arial" w:cs="Arial"/>
          <w:i/>
        </w:rPr>
        <w:t xml:space="preserve"> społeczeństwa informacyjnego</w:t>
      </w:r>
      <w:r w:rsidR="002225B5" w:rsidRPr="006D71C7">
        <w:rPr>
          <w:rFonts w:eastAsia="Arial" w:cs="Arial"/>
          <w:i/>
        </w:rPr>
        <w:t>.</w:t>
      </w:r>
    </w:p>
    <w:p w:rsidR="00382B8C" w:rsidRPr="006D71C7" w:rsidRDefault="00382B8C" w:rsidP="006D71C7">
      <w:pPr>
        <w:spacing w:after="120" w:line="240" w:lineRule="auto"/>
        <w:jc w:val="both"/>
        <w:rPr>
          <w:b/>
          <w:bCs/>
          <w:i/>
          <w:iCs/>
          <w:szCs w:val="24"/>
        </w:rPr>
      </w:pPr>
    </w:p>
    <w:p w:rsidR="00382B8C" w:rsidRPr="006D71C7" w:rsidRDefault="00382B8C" w:rsidP="006D71C7">
      <w:pPr>
        <w:spacing w:after="120"/>
        <w:jc w:val="both"/>
        <w:rPr>
          <w:b/>
          <w:bCs/>
          <w:i/>
          <w:szCs w:val="24"/>
        </w:rPr>
      </w:pPr>
      <w:r w:rsidRPr="006D71C7">
        <w:rPr>
          <w:b/>
          <w:bCs/>
          <w:i/>
          <w:szCs w:val="24"/>
        </w:rPr>
        <w:t xml:space="preserve">Realizacja ewentualnych zaleceń i rekomendacji KE odnoszące się do </w:t>
      </w:r>
      <w:r w:rsidR="002225B5" w:rsidRPr="006D71C7">
        <w:rPr>
          <w:b/>
          <w:bCs/>
          <w:i/>
          <w:szCs w:val="24"/>
        </w:rPr>
        <w:t>priorytetu</w:t>
      </w:r>
      <w:r w:rsidRPr="006D71C7">
        <w:rPr>
          <w:b/>
          <w:bCs/>
          <w:i/>
          <w:szCs w:val="24"/>
        </w:rPr>
        <w:t>:</w:t>
      </w:r>
    </w:p>
    <w:p w:rsidR="00382B8C" w:rsidRPr="006D71C7" w:rsidRDefault="00382B8C" w:rsidP="00BA2FE7">
      <w:pPr>
        <w:pStyle w:val="Akapitzlist"/>
        <w:numPr>
          <w:ilvl w:val="0"/>
          <w:numId w:val="92"/>
        </w:numPr>
        <w:spacing w:after="0"/>
        <w:ind w:left="714" w:hanging="357"/>
        <w:jc w:val="both"/>
        <w:rPr>
          <w:bCs/>
          <w:szCs w:val="24"/>
        </w:rPr>
      </w:pPr>
      <w:r w:rsidRPr="006D71C7">
        <w:rPr>
          <w:spacing w:val="-4"/>
          <w:szCs w:val="24"/>
        </w:rPr>
        <w:t>analiza ko</w:t>
      </w:r>
      <w:r w:rsidR="003D7DA6" w:rsidRPr="006D71C7">
        <w:rPr>
          <w:spacing w:val="-4"/>
          <w:szCs w:val="24"/>
        </w:rPr>
        <w:t>ncentruje się wokół celu/celów p</w:t>
      </w:r>
      <w:r w:rsidRPr="006D71C7">
        <w:rPr>
          <w:spacing w:val="-4"/>
          <w:szCs w:val="24"/>
        </w:rPr>
        <w:t>riorytetu IX,</w:t>
      </w:r>
    </w:p>
    <w:p w:rsidR="00382B8C" w:rsidRPr="006D71C7" w:rsidRDefault="00382B8C" w:rsidP="00BA2FE7">
      <w:pPr>
        <w:numPr>
          <w:ilvl w:val="0"/>
          <w:numId w:val="92"/>
        </w:numPr>
        <w:spacing w:after="0"/>
        <w:ind w:left="714" w:hanging="357"/>
        <w:jc w:val="both"/>
        <w:rPr>
          <w:szCs w:val="24"/>
        </w:rPr>
      </w:pPr>
      <w:r w:rsidRPr="006D71C7">
        <w:rPr>
          <w:szCs w:val="24"/>
        </w:rPr>
        <w:t>informacje na temat potencjalnych nieprawidłowości, wynikających z niepodpisania kontraktów z Narodowym Funduszem Zdrowia prz</w:t>
      </w:r>
      <w:r w:rsidR="003D7DA6" w:rsidRPr="006D71C7">
        <w:rPr>
          <w:szCs w:val="24"/>
        </w:rPr>
        <w:t>ez Beneficjentów działających w </w:t>
      </w:r>
      <w:r w:rsidRPr="006D71C7">
        <w:rPr>
          <w:szCs w:val="24"/>
        </w:rPr>
        <w:t xml:space="preserve">sektorze ochrony zdrowia, zostały przedstawione w analizie regionalnej przedmiotowego priorytetu. </w:t>
      </w:r>
    </w:p>
    <w:p w:rsidR="003D7DA6" w:rsidRPr="006D71C7" w:rsidRDefault="003D7DA6" w:rsidP="006D71C7">
      <w:pPr>
        <w:pStyle w:val="Akapitzlist"/>
        <w:spacing w:after="120"/>
        <w:ind w:left="0"/>
        <w:jc w:val="both"/>
        <w:rPr>
          <w:b/>
          <w:bCs/>
          <w:i/>
          <w:szCs w:val="24"/>
        </w:rPr>
      </w:pPr>
    </w:p>
    <w:p w:rsidR="00382B8C" w:rsidRPr="006D71C7" w:rsidRDefault="00382B8C" w:rsidP="006D71C7">
      <w:pPr>
        <w:pStyle w:val="Akapitzlist"/>
        <w:spacing w:after="240"/>
        <w:ind w:left="0"/>
        <w:jc w:val="both"/>
        <w:rPr>
          <w:b/>
          <w:bCs/>
          <w:i/>
          <w:szCs w:val="24"/>
        </w:rPr>
      </w:pPr>
      <w:r w:rsidRPr="006D71C7">
        <w:rPr>
          <w:b/>
          <w:bCs/>
          <w:i/>
          <w:szCs w:val="24"/>
        </w:rPr>
        <w:t>Rekomendacje IZ odnośnie do dalszego przebiegu rea</w:t>
      </w:r>
      <w:r w:rsidR="003D7DA6" w:rsidRPr="006D71C7">
        <w:rPr>
          <w:b/>
          <w:bCs/>
          <w:i/>
          <w:szCs w:val="24"/>
        </w:rPr>
        <w:t>lizacji p</w:t>
      </w:r>
      <w:r w:rsidRPr="006D71C7">
        <w:rPr>
          <w:b/>
          <w:bCs/>
          <w:i/>
          <w:szCs w:val="24"/>
        </w:rPr>
        <w:t>riorytetu:</w:t>
      </w:r>
    </w:p>
    <w:p w:rsidR="00382B8C" w:rsidRPr="006D71C7" w:rsidRDefault="003D7DA6" w:rsidP="006D71C7">
      <w:pPr>
        <w:pStyle w:val="Akapitzlist"/>
        <w:spacing w:before="120" w:after="240"/>
        <w:ind w:left="0"/>
        <w:jc w:val="both"/>
        <w:rPr>
          <w:rFonts w:eastAsia="Calibri"/>
          <w:i/>
          <w:szCs w:val="24"/>
        </w:rPr>
      </w:pPr>
      <w:r w:rsidRPr="006D71C7">
        <w:rPr>
          <w:rFonts w:eastAsia="Calibri"/>
          <w:szCs w:val="24"/>
        </w:rPr>
        <w:t xml:space="preserve">IZ RPO WSL na bieżąco monitoruje postęp wdrażania priorytetu </w:t>
      </w:r>
      <w:r w:rsidR="007D0937" w:rsidRPr="006D71C7">
        <w:rPr>
          <w:rFonts w:eastAsia="Calibri"/>
          <w:szCs w:val="24"/>
        </w:rPr>
        <w:t>IX</w:t>
      </w:r>
      <w:r w:rsidRPr="006D71C7">
        <w:rPr>
          <w:rFonts w:eastAsia="Calibri"/>
          <w:szCs w:val="24"/>
        </w:rPr>
        <w:t xml:space="preserve"> zarówno w zakresie postępu finansowego jak i rzeczowego. Biorąc pod uwagę projekty wybrane do dofinansowania, IZ RPO WSL uznaje że przekazane wsparcie w pełni realizuje cele, jakie zostały założone na etapie programowania uwzględniając wyniki diagnozy społeczno-gospodarczej ujętej w </w:t>
      </w:r>
      <w:r w:rsidRPr="006D71C7">
        <w:rPr>
          <w:rFonts w:eastAsia="Calibri"/>
          <w:i/>
          <w:szCs w:val="24"/>
        </w:rPr>
        <w:t>Programie.</w:t>
      </w:r>
      <w:r w:rsidR="00AF1772" w:rsidRPr="006D71C7">
        <w:rPr>
          <w:rFonts w:eastAsia="Calibri"/>
          <w:szCs w:val="24"/>
        </w:rPr>
        <w:t xml:space="preserve"> W kolejnym okresie sprawozdawczym IZ RPO WSL</w:t>
      </w:r>
      <w:r w:rsidR="00AF1772" w:rsidRPr="006D71C7">
        <w:rPr>
          <w:rFonts w:eastAsia="Calibri"/>
          <w:i/>
          <w:szCs w:val="24"/>
        </w:rPr>
        <w:t xml:space="preserve"> </w:t>
      </w:r>
      <w:r w:rsidR="00AF1772" w:rsidRPr="006D71C7">
        <w:rPr>
          <w:rFonts w:eastAsia="Calibri"/>
          <w:szCs w:val="24"/>
        </w:rPr>
        <w:t xml:space="preserve">na bieżąco będzie monitorować postęp rzeczowy i finansowy priorytetu w celu sprawnego i efektywnego wdrażania, </w:t>
      </w:r>
      <w:r w:rsidR="00BE0BFE" w:rsidRPr="006D71C7">
        <w:rPr>
          <w:rFonts w:eastAsia="Calibri"/>
          <w:szCs w:val="24"/>
        </w:rPr>
        <w:t xml:space="preserve">ponadto </w:t>
      </w:r>
      <w:r w:rsidR="00AF1772" w:rsidRPr="006D71C7">
        <w:rPr>
          <w:rFonts w:eastAsia="Calibri"/>
          <w:szCs w:val="24"/>
        </w:rPr>
        <w:t>na bieżąco będzie kontaktować się z beneficjentami</w:t>
      </w:r>
    </w:p>
    <w:p w:rsidR="00382B8C" w:rsidRPr="006D71C7" w:rsidRDefault="00382B8C" w:rsidP="006D71C7">
      <w:pPr>
        <w:spacing w:after="120"/>
        <w:jc w:val="both"/>
        <w:outlineLvl w:val="1"/>
        <w:rPr>
          <w:b/>
          <w:i/>
        </w:rPr>
      </w:pPr>
      <w:bookmarkStart w:id="639" w:name="_Toc324786885"/>
      <w:bookmarkStart w:id="640" w:name="_Toc324853946"/>
      <w:bookmarkStart w:id="641" w:name="_Toc327259298"/>
      <w:bookmarkStart w:id="642" w:name="_Toc292889017"/>
      <w:bookmarkStart w:id="643" w:name="_Toc292793635"/>
      <w:bookmarkStart w:id="644" w:name="_Toc292789334"/>
      <w:r w:rsidRPr="006D71C7">
        <w:rPr>
          <w:b/>
          <w:i/>
        </w:rPr>
        <w:t xml:space="preserve">Analiza </w:t>
      </w:r>
      <w:r w:rsidR="000D2128" w:rsidRPr="006D71C7">
        <w:rPr>
          <w:b/>
          <w:i/>
        </w:rPr>
        <w:t>jakościowa</w:t>
      </w:r>
      <w:bookmarkEnd w:id="639"/>
      <w:bookmarkEnd w:id="640"/>
      <w:bookmarkEnd w:id="641"/>
    </w:p>
    <w:p w:rsidR="009E615F" w:rsidRPr="006D71C7" w:rsidRDefault="00382B8C" w:rsidP="006D71C7">
      <w:pPr>
        <w:pStyle w:val="Default"/>
        <w:spacing w:line="276" w:lineRule="auto"/>
        <w:jc w:val="both"/>
        <w:rPr>
          <w:color w:val="auto"/>
        </w:rPr>
      </w:pPr>
      <w:r w:rsidRPr="006D71C7">
        <w:rPr>
          <w:color w:val="auto"/>
        </w:rPr>
        <w:t xml:space="preserve">Stan zdrowia jest istotnym wyznacznikiem jakości życia w </w:t>
      </w:r>
      <w:r w:rsidR="004979BD" w:rsidRPr="006D71C7">
        <w:rPr>
          <w:color w:val="auto"/>
        </w:rPr>
        <w:t xml:space="preserve">każdym </w:t>
      </w:r>
      <w:r w:rsidRPr="006D71C7">
        <w:rPr>
          <w:color w:val="auto"/>
        </w:rPr>
        <w:t>regionie, wpływa również bezpośrednio na wartość zasobów ludzkich, w tym wydajność pracy. Kondycja zdrowotna mieszkańców województwa śląskiego jest znacznie gorsza, oceniając średnie wskaźniki zapadalności i umieralności chorobowej, niż mieszkańców pozostałej części kraju.</w:t>
      </w:r>
      <w:bookmarkStart w:id="645" w:name="_Toc292889018"/>
      <w:bookmarkStart w:id="646" w:name="_Toc292793636"/>
      <w:bookmarkStart w:id="647" w:name="_Toc292789335"/>
      <w:bookmarkEnd w:id="642"/>
      <w:bookmarkEnd w:id="643"/>
      <w:bookmarkEnd w:id="644"/>
      <w:r w:rsidR="009E615F" w:rsidRPr="006D71C7">
        <w:rPr>
          <w:rFonts w:eastAsia="Calibri"/>
          <w:color w:val="auto"/>
        </w:rPr>
        <w:t xml:space="preserve"> Sektor ochrony zdrowia jest w </w:t>
      </w:r>
      <w:r w:rsidR="00D16D6D" w:rsidRPr="006D71C7">
        <w:rPr>
          <w:rFonts w:eastAsia="Calibri"/>
          <w:color w:val="auto"/>
        </w:rPr>
        <w:t>regionie</w:t>
      </w:r>
      <w:r w:rsidR="009E615F" w:rsidRPr="006D71C7">
        <w:rPr>
          <w:rFonts w:eastAsia="Calibri"/>
          <w:color w:val="auto"/>
        </w:rPr>
        <w:t xml:space="preserve"> dosyć dobrze rozwinięty, jednakże z drugiej strony wymagający doinwestowania, w szczególności w zakresie technicznym i modernizacyjnym, jak również w zakresie wyposażenia placówek w sprzęt medyczny.</w:t>
      </w:r>
      <w:r w:rsidR="009E615F" w:rsidRPr="006D71C7">
        <w:rPr>
          <w:color w:val="auto"/>
        </w:rPr>
        <w:t xml:space="preserve"> Na potrzeby powyższych wyzwań w RPO WSL został wpisany priorytet IX, którego celem jest </w:t>
      </w:r>
      <w:r w:rsidR="009E615F" w:rsidRPr="006D71C7">
        <w:rPr>
          <w:i/>
          <w:color w:val="auto"/>
        </w:rPr>
        <w:t>poprawa stanu zdrowia mieszkańców regionu</w:t>
      </w:r>
      <w:r w:rsidR="009E615F" w:rsidRPr="006D71C7">
        <w:rPr>
          <w:color w:val="auto"/>
        </w:rPr>
        <w:t xml:space="preserve">. </w:t>
      </w:r>
    </w:p>
    <w:p w:rsidR="006A60CE" w:rsidRPr="006D71C7" w:rsidRDefault="006A60CE" w:rsidP="006D71C7">
      <w:pPr>
        <w:pStyle w:val="Default"/>
        <w:spacing w:line="276" w:lineRule="auto"/>
        <w:jc w:val="both"/>
        <w:rPr>
          <w:color w:val="auto"/>
        </w:rPr>
      </w:pPr>
    </w:p>
    <w:p w:rsidR="009E615F" w:rsidRPr="006D71C7" w:rsidRDefault="006A60CE" w:rsidP="006D71C7">
      <w:pPr>
        <w:pStyle w:val="Default"/>
        <w:spacing w:line="276" w:lineRule="auto"/>
        <w:jc w:val="both"/>
        <w:rPr>
          <w:rFonts w:eastAsia="Calibri"/>
          <w:color w:val="auto"/>
        </w:rPr>
      </w:pPr>
      <w:r w:rsidRPr="006D71C7">
        <w:rPr>
          <w:color w:val="auto"/>
        </w:rPr>
        <w:t xml:space="preserve">W ramach priorytetu beneficjenci najwięcej projektów </w:t>
      </w:r>
      <w:r w:rsidR="00085743" w:rsidRPr="006D71C7">
        <w:rPr>
          <w:color w:val="auto"/>
        </w:rPr>
        <w:t>z</w:t>
      </w:r>
      <w:r w:rsidRPr="006D71C7">
        <w:rPr>
          <w:color w:val="auto"/>
        </w:rPr>
        <w:t xml:space="preserve">realizowali w zakresie modernizacji </w:t>
      </w:r>
      <w:r w:rsidR="008F2B80" w:rsidRPr="006D71C7">
        <w:rPr>
          <w:color w:val="auto"/>
        </w:rPr>
        <w:t xml:space="preserve">starego sprzętu </w:t>
      </w:r>
      <w:r w:rsidRPr="006D71C7">
        <w:rPr>
          <w:color w:val="auto"/>
        </w:rPr>
        <w:t xml:space="preserve">lub zakupu </w:t>
      </w:r>
      <w:r w:rsidR="008F2B80" w:rsidRPr="006D71C7">
        <w:rPr>
          <w:color w:val="auto"/>
        </w:rPr>
        <w:t>nowego</w:t>
      </w:r>
      <w:r w:rsidRPr="006D71C7">
        <w:rPr>
          <w:color w:val="auto"/>
        </w:rPr>
        <w:t xml:space="preserve"> (ok. 30%).</w:t>
      </w:r>
      <w:bookmarkEnd w:id="645"/>
      <w:bookmarkEnd w:id="646"/>
      <w:bookmarkEnd w:id="647"/>
      <w:r w:rsidRPr="006D71C7">
        <w:rPr>
          <w:color w:val="auto"/>
        </w:rPr>
        <w:t xml:space="preserve"> </w:t>
      </w:r>
      <w:r w:rsidR="009E615F" w:rsidRPr="006D71C7">
        <w:rPr>
          <w:color w:val="auto"/>
        </w:rPr>
        <w:t xml:space="preserve">Od uruchomienia </w:t>
      </w:r>
      <w:r w:rsidR="009E615F" w:rsidRPr="006D71C7">
        <w:rPr>
          <w:i/>
          <w:color w:val="auto"/>
        </w:rPr>
        <w:t>Programu</w:t>
      </w:r>
      <w:r w:rsidR="009E615F" w:rsidRPr="006D71C7">
        <w:rPr>
          <w:color w:val="auto"/>
        </w:rPr>
        <w:t xml:space="preserve"> zakupiono 1424 szt. sprzętu medycznego. </w:t>
      </w:r>
      <w:r w:rsidR="009E615F" w:rsidRPr="006D71C7">
        <w:rPr>
          <w:rFonts w:eastAsia="Calibri"/>
          <w:color w:val="auto"/>
        </w:rPr>
        <w:t>Zakupiony sprzęt medyczny należał</w:t>
      </w:r>
      <w:r w:rsidR="00B922F5" w:rsidRPr="006D71C7">
        <w:rPr>
          <w:rFonts w:eastAsia="Calibri"/>
          <w:color w:val="auto"/>
        </w:rPr>
        <w:t xml:space="preserve"> głównie</w:t>
      </w:r>
      <w:r w:rsidR="009E615F" w:rsidRPr="006D71C7">
        <w:rPr>
          <w:rFonts w:eastAsia="Calibri"/>
          <w:color w:val="auto"/>
        </w:rPr>
        <w:t xml:space="preserve"> do grupy: sprzęt diagnostyczny (np. </w:t>
      </w:r>
      <w:r w:rsidR="00B922F5" w:rsidRPr="006D71C7">
        <w:rPr>
          <w:b/>
          <w:i/>
          <w:color w:val="auto"/>
        </w:rPr>
        <w:t>Poprawa jakości i </w:t>
      </w:r>
      <w:r w:rsidR="009E615F" w:rsidRPr="006D71C7">
        <w:rPr>
          <w:b/>
          <w:i/>
          <w:color w:val="auto"/>
        </w:rPr>
        <w:t>dostępności usług medycznych poprzez zakup nowej aparatury medycznej w postaci tomografu komputerowego przez</w:t>
      </w:r>
      <w:r w:rsidRPr="006D71C7">
        <w:rPr>
          <w:b/>
          <w:i/>
          <w:color w:val="auto"/>
        </w:rPr>
        <w:t xml:space="preserve"> Szpital Specjalistyczny Nr 2 w </w:t>
      </w:r>
      <w:r w:rsidR="009E615F" w:rsidRPr="006D71C7">
        <w:rPr>
          <w:b/>
          <w:i/>
          <w:color w:val="auto"/>
        </w:rPr>
        <w:t>Bytomiu)</w:t>
      </w:r>
      <w:r w:rsidR="009E615F" w:rsidRPr="006D71C7">
        <w:rPr>
          <w:rFonts w:eastAsia="Calibri"/>
          <w:color w:val="auto"/>
        </w:rPr>
        <w:t xml:space="preserve"> oraz pompy infuzyjne. W następnej kolejności zakupiono sprzęt medyczny dla oddziałów ratunkowych, takich jak OIOM oraz pozostały sprzęt medyczny, w szczególności sprzęt laboratoryjny.</w:t>
      </w:r>
    </w:p>
    <w:p w:rsidR="00CC6A18" w:rsidRPr="006D71C7" w:rsidRDefault="006A60CE" w:rsidP="006D71C7">
      <w:pPr>
        <w:pStyle w:val="NormalnyWeb"/>
        <w:jc w:val="both"/>
      </w:pPr>
      <w:r w:rsidRPr="006D71C7">
        <w:rPr>
          <w:rFonts w:eastAsia="Calibri"/>
        </w:rPr>
        <w:t xml:space="preserve">Kolejna grupa projektów, które cieszyły się powodzeniem wśród beneficjentów to rozbudowa obiektów wraz z zakupem sprzętu medycznego (ok. 20%). Na uwagę zasługuje m.in. projekt: </w:t>
      </w:r>
      <w:r w:rsidR="00CC6A18" w:rsidRPr="006D71C7">
        <w:rPr>
          <w:b/>
          <w:i/>
        </w:rPr>
        <w:t>Modernizacja Oddziału Urologii i Oddziału Chirurg</w:t>
      </w:r>
      <w:r w:rsidR="00F239C0" w:rsidRPr="006D71C7">
        <w:rPr>
          <w:b/>
          <w:i/>
        </w:rPr>
        <w:t>ii Urazowo-Ortopedycznej wraz z </w:t>
      </w:r>
      <w:r w:rsidR="00CC6A18" w:rsidRPr="006D71C7">
        <w:rPr>
          <w:b/>
          <w:i/>
        </w:rPr>
        <w:t>dostawą wyposażenia dla tych oddziałów SPZOZ Mi</w:t>
      </w:r>
      <w:r w:rsidR="00F239C0" w:rsidRPr="006D71C7">
        <w:rPr>
          <w:b/>
          <w:i/>
        </w:rPr>
        <w:t>ejskiego Szpitala Zespolonego w </w:t>
      </w:r>
      <w:r w:rsidR="00CC6A18" w:rsidRPr="006D71C7">
        <w:rPr>
          <w:b/>
          <w:i/>
        </w:rPr>
        <w:t>Częstochowie</w:t>
      </w:r>
      <w:r w:rsidRPr="006D71C7">
        <w:rPr>
          <w:b/>
          <w:i/>
        </w:rPr>
        <w:t xml:space="preserve">- </w:t>
      </w:r>
      <w:r w:rsidR="00CC6A18" w:rsidRPr="006D71C7">
        <w:t xml:space="preserve">przedmiotem projektu jest modernizacja Oddziału Urologii oraz Oddziału Chirurgii Urazowo-Ortopedycznej w Miejskim Szpitalu Zespolonym w Częstochowie. Projekt przewiduje również zakup niezbędnego wyposażenia modernizowanych oddziałów. </w:t>
      </w:r>
      <w:r w:rsidR="00F239C0" w:rsidRPr="006D71C7">
        <w:t>Prace remontowe na Oddziale Chirurgii Urazowo-Ortop</w:t>
      </w:r>
      <w:r w:rsidR="000147E5">
        <w:t>edycznej nie były prowadzone od </w:t>
      </w:r>
      <w:r w:rsidR="00F239C0" w:rsidRPr="006D71C7">
        <w:t>8 lat, co w konsekwencji doprowadziło do obniżenia jakości infrastruktury na jego terenie. Obydwa oddziały są silnie eksploatowane co dodatkowo wymusza konieczność szybkiej poprawy stanu ich infrastruktury. Ponadto wyposażenie na terenie oddziałów jest przestarzałe, spowalnia pracę personelu medycznego i zmniejsza komfort pacjentów.</w:t>
      </w:r>
    </w:p>
    <w:p w:rsidR="000D2128" w:rsidRPr="006D71C7" w:rsidRDefault="00DE0D01" w:rsidP="006D71C7">
      <w:pPr>
        <w:pStyle w:val="NormalnyWeb"/>
        <w:jc w:val="both"/>
      </w:pPr>
      <w:bookmarkStart w:id="648" w:name="_Toc292889022"/>
      <w:bookmarkStart w:id="649" w:name="_Toc292793640"/>
      <w:bookmarkStart w:id="650" w:name="_Toc292789339"/>
      <w:r w:rsidRPr="006D71C7">
        <w:rPr>
          <w:rFonts w:eastAsia="Calibri"/>
        </w:rPr>
        <w:t>Ponadto w wyniku realizacji projektów</w:t>
      </w:r>
      <w:r w:rsidR="000D2128" w:rsidRPr="006D71C7">
        <w:rPr>
          <w:rFonts w:eastAsia="Calibri"/>
        </w:rPr>
        <w:t xml:space="preserve"> w ramach RPO WSL</w:t>
      </w:r>
      <w:r w:rsidRPr="006D71C7">
        <w:rPr>
          <w:rFonts w:eastAsia="Calibri"/>
        </w:rPr>
        <w:t xml:space="preserve"> budynki </w:t>
      </w:r>
      <w:r w:rsidR="000D2128" w:rsidRPr="006D71C7">
        <w:rPr>
          <w:rFonts w:eastAsia="Calibri"/>
        </w:rPr>
        <w:t>medyczne zostały dostosowane do </w:t>
      </w:r>
      <w:r w:rsidRPr="006D71C7">
        <w:rPr>
          <w:rFonts w:eastAsia="Calibri"/>
        </w:rPr>
        <w:t>obowiązujących standardów i przepisów prawa określających wymagania</w:t>
      </w:r>
      <w:r w:rsidR="00085743" w:rsidRPr="006D71C7">
        <w:rPr>
          <w:rFonts w:eastAsia="Calibri"/>
        </w:rPr>
        <w:t>,</w:t>
      </w:r>
      <w:r w:rsidRPr="006D71C7">
        <w:rPr>
          <w:rFonts w:eastAsia="Calibri"/>
        </w:rPr>
        <w:t xml:space="preserve"> jakim powinny odpowiadać pomieszczenia</w:t>
      </w:r>
      <w:r w:rsidR="000D2128" w:rsidRPr="006D71C7">
        <w:rPr>
          <w:rFonts w:eastAsia="Calibri"/>
        </w:rPr>
        <w:t xml:space="preserve"> </w:t>
      </w:r>
      <w:r w:rsidRPr="006D71C7">
        <w:rPr>
          <w:rFonts w:eastAsia="Calibri"/>
        </w:rPr>
        <w:t>i urządz</w:t>
      </w:r>
      <w:r w:rsidR="000D2128" w:rsidRPr="006D71C7">
        <w:rPr>
          <w:rFonts w:eastAsia="Calibri"/>
        </w:rPr>
        <w:t xml:space="preserve">enia zakładu opieki zdrowotnej. </w:t>
      </w:r>
      <w:r w:rsidRPr="006D71C7">
        <w:t xml:space="preserve">Na uwagę zasługuje zrealizowany projekt </w:t>
      </w:r>
      <w:r w:rsidRPr="006D71C7">
        <w:rPr>
          <w:b/>
          <w:i/>
        </w:rPr>
        <w:t>Dostosowanie Oddziału Reumat</w:t>
      </w:r>
      <w:r w:rsidR="000D2128" w:rsidRPr="006D71C7">
        <w:rPr>
          <w:b/>
          <w:i/>
        </w:rPr>
        <w:t>ologicznego Centrum Pediatrii w </w:t>
      </w:r>
      <w:r w:rsidRPr="006D71C7">
        <w:rPr>
          <w:b/>
          <w:i/>
        </w:rPr>
        <w:t>Sosnowcu do wymagań prawnych Ministra Zdrowia</w:t>
      </w:r>
      <w:r w:rsidR="000D2128" w:rsidRPr="006D71C7">
        <w:rPr>
          <w:i/>
        </w:rPr>
        <w:t xml:space="preserve">, </w:t>
      </w:r>
      <w:r w:rsidR="000D2128" w:rsidRPr="006D71C7">
        <w:t xml:space="preserve">który ma na celu dostosowanie jedynego Oddziału Reumatologicznego dla dzieci i młodzieży w województwie śląskim do wymagań </w:t>
      </w:r>
      <w:r w:rsidR="000D2128" w:rsidRPr="006D71C7">
        <w:rPr>
          <w:i/>
        </w:rPr>
        <w:t>Rozporządzenia Ministra Zdrowia z dnia 10 listopada 2006 r.</w:t>
      </w:r>
      <w:r w:rsidR="000D2128" w:rsidRPr="006D71C7">
        <w:t xml:space="preserve"> Jedynym rozwiązaniem bez szkody dla pacjentów i szpitala była rozbudowa budynku i przeniesienie Oddziału do nowych pomieszczeń o pow. 986 mkw. (obecnie 232 mkw.) Projekt poległ na rozbudowie i nadbudowie fragmentu budynku Centrum Pediatrii im. Jana Pawła II w Sosnowcu przy ul .G. Zapolskiej 3. Inwestycja obejmowała rozbudowanie 3 piętra i dobudowanie do fragmentu budynku 4 piętra. W efekcie realizacji projektu w Centrum będzie funkcjonował nowoczesny, spełniający wymagania ww. </w:t>
      </w:r>
      <w:r w:rsidR="000D2128" w:rsidRPr="006D71C7">
        <w:rPr>
          <w:i/>
        </w:rPr>
        <w:t xml:space="preserve">Rozporządzenia </w:t>
      </w:r>
      <w:r w:rsidR="000D2128" w:rsidRPr="006D71C7">
        <w:t>oddział reumatologiczny dla dzieci.</w:t>
      </w:r>
    </w:p>
    <w:p w:rsidR="001803F7" w:rsidRPr="006D71C7" w:rsidRDefault="001803F7" w:rsidP="006D71C7">
      <w:pPr>
        <w:autoSpaceDE w:val="0"/>
        <w:autoSpaceDN w:val="0"/>
        <w:adjustRightInd w:val="0"/>
        <w:spacing w:after="0"/>
        <w:jc w:val="both"/>
        <w:rPr>
          <w:szCs w:val="24"/>
        </w:rPr>
      </w:pPr>
    </w:p>
    <w:p w:rsidR="008F2B80" w:rsidRPr="006D71C7" w:rsidRDefault="007064DD" w:rsidP="006D71C7">
      <w:pPr>
        <w:pStyle w:val="Default"/>
        <w:spacing w:after="240" w:line="276" w:lineRule="auto"/>
        <w:jc w:val="both"/>
        <w:rPr>
          <w:color w:val="auto"/>
        </w:rPr>
      </w:pPr>
      <w:bookmarkStart w:id="651" w:name="_Toc292889024"/>
      <w:bookmarkStart w:id="652" w:name="_Toc292793642"/>
      <w:bookmarkStart w:id="653" w:name="_Toc292789341"/>
      <w:bookmarkEnd w:id="648"/>
      <w:bookmarkEnd w:id="649"/>
      <w:bookmarkEnd w:id="650"/>
      <w:r w:rsidRPr="006D71C7">
        <w:rPr>
          <w:color w:val="auto"/>
        </w:rPr>
        <w:t xml:space="preserve">Kolejnym obszarem wspieranym w ramach przedmiotowego priorytetu jest infrastruktura sportowa i rekreacyjna, która wspierana jest przez </w:t>
      </w:r>
      <w:r w:rsidRPr="006D71C7">
        <w:rPr>
          <w:i/>
          <w:color w:val="auto"/>
        </w:rPr>
        <w:t xml:space="preserve">działanie 9.3. </w:t>
      </w:r>
      <w:r w:rsidRPr="006D71C7">
        <w:rPr>
          <w:color w:val="auto"/>
        </w:rPr>
        <w:t>Efektem realizowanych inwestycji jest wybudowanie 35 obiektów sportowych oraz zakup ponad 1 500 szt. sprzętu sportowego, które zwiększyły także dostępność dla osób niepełnosprawnych. Zwiększając możliwości spędzania czasu wolnego na terenie województwa śląskiego, zmieni</w:t>
      </w:r>
      <w:r w:rsidR="00085743" w:rsidRPr="006D71C7">
        <w:rPr>
          <w:color w:val="auto"/>
        </w:rPr>
        <w:t>a</w:t>
      </w:r>
      <w:r w:rsidRPr="006D71C7">
        <w:rPr>
          <w:color w:val="auto"/>
        </w:rPr>
        <w:t xml:space="preserve"> się styl życia społeczności regionu, co przyczyni</w:t>
      </w:r>
      <w:r w:rsidR="00085743" w:rsidRPr="006D71C7">
        <w:rPr>
          <w:color w:val="auto"/>
        </w:rPr>
        <w:t>a</w:t>
      </w:r>
      <w:r w:rsidRPr="006D71C7">
        <w:rPr>
          <w:color w:val="auto"/>
        </w:rPr>
        <w:t xml:space="preserve"> się do redukcji zachorowalności na choroby cywilizacyjne oraz minimalizacji kosztów opieki zdrowotnej. </w:t>
      </w:r>
      <w:bookmarkStart w:id="654" w:name="_Toc292889021"/>
      <w:bookmarkStart w:id="655" w:name="_Toc292793639"/>
      <w:bookmarkStart w:id="656" w:name="_Toc292789338"/>
      <w:r w:rsidR="008F2B80" w:rsidRPr="006D71C7">
        <w:rPr>
          <w:color w:val="auto"/>
        </w:rPr>
        <w:t xml:space="preserve">Aktywny styl życia i podnoszenie sprawności fizycznej jest elementem profilaktyki chorób cywilizacyjnych i wpływa na poprawę stanu zdrowia mieszkańców regionu. </w:t>
      </w:r>
      <w:bookmarkEnd w:id="654"/>
      <w:bookmarkEnd w:id="655"/>
      <w:bookmarkEnd w:id="656"/>
      <w:r w:rsidR="008F2B80" w:rsidRPr="006D71C7">
        <w:rPr>
          <w:color w:val="auto"/>
        </w:rPr>
        <w:t>W ramach RPO WSL do końca okresu sprawozdawczego zorganizowano 254 imprezy sportowo – rekreacyjne.</w:t>
      </w:r>
    </w:p>
    <w:bookmarkEnd w:id="651"/>
    <w:bookmarkEnd w:id="652"/>
    <w:bookmarkEnd w:id="653"/>
    <w:p w:rsidR="00382B8C" w:rsidRPr="006D71C7" w:rsidRDefault="00382B8C" w:rsidP="006D71C7">
      <w:pPr>
        <w:spacing w:after="120"/>
        <w:jc w:val="both"/>
        <w:rPr>
          <w:szCs w:val="24"/>
        </w:rPr>
      </w:pPr>
      <w:r w:rsidRPr="006D71C7">
        <w:rPr>
          <w:szCs w:val="24"/>
        </w:rPr>
        <w:t xml:space="preserve">Komisja Europejska </w:t>
      </w:r>
      <w:r w:rsidR="007064DD" w:rsidRPr="006D71C7">
        <w:rPr>
          <w:szCs w:val="24"/>
        </w:rPr>
        <w:t xml:space="preserve">w przekazanych uwagach do poprzedniego sprawozdania rocznego </w:t>
      </w:r>
      <w:r w:rsidRPr="006D71C7">
        <w:rPr>
          <w:szCs w:val="24"/>
        </w:rPr>
        <w:t xml:space="preserve">zwróciła uwagę na problem związany z występowaniem potencjalnych nieprawidłowości, wynikających z niepodpisania kontraktów z Narodowym Funduszem Zdrowia przez Beneficjentów działających w sektorze ochrony zdrowia. </w:t>
      </w:r>
      <w:r w:rsidR="00085743" w:rsidRPr="006D71C7">
        <w:rPr>
          <w:szCs w:val="24"/>
        </w:rPr>
        <w:t>W przypadku RPO WSL z</w:t>
      </w:r>
      <w:r w:rsidRPr="006D71C7">
        <w:rPr>
          <w:szCs w:val="24"/>
        </w:rPr>
        <w:t>ostały ogłoszone trzy konkursy w zakresie ochrony zdrowia, w których warunkiem uzyskania wsparcia było świadczenie usług w publicznym sektorze ochrony zdro</w:t>
      </w:r>
      <w:r w:rsidR="00292669" w:rsidRPr="006D71C7">
        <w:rPr>
          <w:szCs w:val="24"/>
        </w:rPr>
        <w:t>wia – podpisanie i utrzymanie w </w:t>
      </w:r>
      <w:r w:rsidRPr="006D71C7">
        <w:rPr>
          <w:szCs w:val="24"/>
        </w:rPr>
        <w:t xml:space="preserve">okresie trwałości projektów kontraktów z NFZ. Dotychczas w ramach dofinansowanych </w:t>
      </w:r>
      <w:r w:rsidR="00292669" w:rsidRPr="006D71C7">
        <w:rPr>
          <w:szCs w:val="24"/>
        </w:rPr>
        <w:t>z </w:t>
      </w:r>
      <w:r w:rsidRPr="006D71C7">
        <w:rPr>
          <w:szCs w:val="24"/>
        </w:rPr>
        <w:t>RPO WSL projektów wystąpiły dwa przypadki, w których Narodowy Fundusz Zdrowia nie podpisał kontraktu:</w:t>
      </w:r>
      <w:r w:rsidR="00292669" w:rsidRPr="006D71C7">
        <w:rPr>
          <w:szCs w:val="24"/>
        </w:rPr>
        <w:t xml:space="preserve"> p</w:t>
      </w:r>
      <w:r w:rsidRPr="006D71C7">
        <w:rPr>
          <w:szCs w:val="24"/>
        </w:rPr>
        <w:t>ierwszy przypadek – w związku z nieosiągnięciem założonych wskaźników produktu i rezultatu realizacji projektu Instytucja Zarządzająca RPO WSL planuje zmn</w:t>
      </w:r>
      <w:r w:rsidR="00292669" w:rsidRPr="006D71C7">
        <w:rPr>
          <w:szCs w:val="24"/>
        </w:rPr>
        <w:t>iejszyć przyznane dofinansowania</w:t>
      </w:r>
      <w:r w:rsidRPr="006D71C7">
        <w:rPr>
          <w:szCs w:val="24"/>
        </w:rPr>
        <w:t xml:space="preserve"> lub rozwiązać umowę o dofinansowanie (sprawa w trakcie uzgodnień z Beneficjentem). Drugi przypadek dotyczył braku podpisania kontraktu z NFZ dla części zakresu projektu (trzy urządzania medyczne). Z</w:t>
      </w:r>
      <w:r w:rsidR="00292669" w:rsidRPr="006D71C7">
        <w:rPr>
          <w:szCs w:val="24"/>
        </w:rPr>
        <w:t>godnie z </w:t>
      </w:r>
      <w:r w:rsidRPr="006D71C7">
        <w:rPr>
          <w:szCs w:val="24"/>
        </w:rPr>
        <w:t>wyjaśnieniami Beneficjenta realizacja założonych wskaźników rezultatu nie jest zagrożona. Zakupiony sprzęt, na który NFZ nie podpisał kontraktu, może być wykorzystywany na</w:t>
      </w:r>
      <w:r w:rsidR="00FE37D7" w:rsidRPr="006D71C7">
        <w:rPr>
          <w:szCs w:val="24"/>
        </w:rPr>
        <w:t> </w:t>
      </w:r>
      <w:r w:rsidRPr="006D71C7">
        <w:rPr>
          <w:szCs w:val="24"/>
        </w:rPr>
        <w:t>potrzeby innych poradni specjalistycznych (rozwiązanie przejściowe). Jednocześnie Beneficjent dąży do podpisania kontraktu z NFZ – zgodnie z założeniami przyjętymi we</w:t>
      </w:r>
      <w:r w:rsidR="00FE37D7" w:rsidRPr="006D71C7">
        <w:rPr>
          <w:szCs w:val="24"/>
        </w:rPr>
        <w:t> </w:t>
      </w:r>
      <w:r w:rsidRPr="006D71C7">
        <w:rPr>
          <w:szCs w:val="24"/>
        </w:rPr>
        <w:t>wniosku o dofinansowanie. Instytucja Zarządzająca RPO WSL prowadzi czynności wyjaśniające przedmiotową sprawę.</w:t>
      </w:r>
      <w:r w:rsidR="00292669" w:rsidRPr="006D71C7">
        <w:rPr>
          <w:szCs w:val="24"/>
        </w:rPr>
        <w:t xml:space="preserve"> </w:t>
      </w:r>
      <w:r w:rsidRPr="006D71C7">
        <w:rPr>
          <w:szCs w:val="24"/>
        </w:rPr>
        <w:t xml:space="preserve">Istnieje także istotny problem związany z ograniczaniem kontraktów NFZ, który ma wpływ na dofinansowane projekty w ramach </w:t>
      </w:r>
      <w:r w:rsidR="00292669" w:rsidRPr="006D71C7">
        <w:rPr>
          <w:szCs w:val="24"/>
        </w:rPr>
        <w:t>RPO WSL.</w:t>
      </w:r>
      <w:r w:rsidR="003957F3" w:rsidRPr="006D71C7">
        <w:rPr>
          <w:szCs w:val="24"/>
        </w:rPr>
        <w:t xml:space="preserve"> </w:t>
      </w:r>
      <w:r w:rsidRPr="006D71C7">
        <w:rPr>
          <w:szCs w:val="24"/>
        </w:rPr>
        <w:t>Zgodnie z prowadzoną analizą projektów dofinansowanych w sektorze ochrony zdrowia, nieosiągnięcie założonych wskaźników rezultatu (liczby świadczonych usług medycznych) wynika wyłącznie z niskich limitów świadczeń wyznaczanych przez NFZ, w porównaniu do</w:t>
      </w:r>
      <w:r w:rsidR="00FE37D7" w:rsidRPr="006D71C7">
        <w:rPr>
          <w:szCs w:val="24"/>
        </w:rPr>
        <w:t> </w:t>
      </w:r>
      <w:r w:rsidRPr="006D71C7">
        <w:rPr>
          <w:szCs w:val="24"/>
        </w:rPr>
        <w:t>lat w których były opracowywane założenia projektowe i wnioski aplikacyjne. Jednocze</w:t>
      </w:r>
      <w:r w:rsidR="00D75778" w:rsidRPr="006D71C7">
        <w:rPr>
          <w:szCs w:val="24"/>
        </w:rPr>
        <w:t>śnie Beneficjenci informują, iż </w:t>
      </w:r>
      <w:r w:rsidRPr="006D71C7">
        <w:rPr>
          <w:szCs w:val="24"/>
        </w:rPr>
        <w:t>wskaźniki rezultatu mogłyby zostać zwiększone oraz osiągnięte zgodnie z założeniami w</w:t>
      </w:r>
      <w:r w:rsidR="00D75778" w:rsidRPr="006D71C7">
        <w:rPr>
          <w:szCs w:val="24"/>
        </w:rPr>
        <w:t> </w:t>
      </w:r>
      <w:r w:rsidRPr="006D71C7">
        <w:rPr>
          <w:szCs w:val="24"/>
        </w:rPr>
        <w:t>przypadku gdyby NFZ zwiększył przyznane kontrakty lub w</w:t>
      </w:r>
      <w:r w:rsidR="00FE37D7" w:rsidRPr="006D71C7">
        <w:rPr>
          <w:szCs w:val="24"/>
        </w:rPr>
        <w:t> </w:t>
      </w:r>
      <w:r w:rsidRPr="006D71C7">
        <w:rPr>
          <w:szCs w:val="24"/>
        </w:rPr>
        <w:t>przypadku finansowania usług medycznych z innych źródeł niż NFZ.</w:t>
      </w:r>
      <w:r w:rsidR="007064DD" w:rsidRPr="006D71C7">
        <w:rPr>
          <w:szCs w:val="24"/>
        </w:rPr>
        <w:t xml:space="preserve"> </w:t>
      </w:r>
      <w:r w:rsidRPr="006D71C7">
        <w:rPr>
          <w:szCs w:val="24"/>
        </w:rPr>
        <w:t>W związku z</w:t>
      </w:r>
      <w:r w:rsidR="00FE37D7" w:rsidRPr="006D71C7">
        <w:rPr>
          <w:szCs w:val="24"/>
        </w:rPr>
        <w:t> </w:t>
      </w:r>
      <w:r w:rsidRPr="006D71C7">
        <w:rPr>
          <w:szCs w:val="24"/>
        </w:rPr>
        <w:t>charakterem inwestycji finansowanych w obszarze ochrony zdrowia, rozwiązanie umowy o</w:t>
      </w:r>
      <w:r w:rsidR="00FE37D7" w:rsidRPr="006D71C7">
        <w:rPr>
          <w:szCs w:val="24"/>
        </w:rPr>
        <w:t> </w:t>
      </w:r>
      <w:r w:rsidRPr="006D71C7">
        <w:rPr>
          <w:szCs w:val="24"/>
        </w:rPr>
        <w:t>dofinansowanie ze względu na zmniejszenie kontraktów z NFZ (oraz zwrot środków wraz z</w:t>
      </w:r>
      <w:r w:rsidR="00FE37D7" w:rsidRPr="006D71C7">
        <w:rPr>
          <w:szCs w:val="24"/>
        </w:rPr>
        <w:t> </w:t>
      </w:r>
      <w:r w:rsidRPr="006D71C7">
        <w:rPr>
          <w:szCs w:val="24"/>
        </w:rPr>
        <w:t xml:space="preserve">odsetkami, jak dla zaległości podatkowych) powinno być rozwiązaniem ostatecznym (dopiero wówczas, gdy pozostałe możliwości osiągnięcia wskaźników rezultatu zostaną wyczerpane). </w:t>
      </w:r>
    </w:p>
    <w:p w:rsidR="00382B8C" w:rsidRPr="006D71C7" w:rsidRDefault="00382B8C" w:rsidP="006D71C7">
      <w:pPr>
        <w:spacing w:after="120"/>
        <w:jc w:val="both"/>
        <w:rPr>
          <w:szCs w:val="24"/>
        </w:rPr>
      </w:pPr>
      <w:r w:rsidRPr="006D71C7">
        <w:rPr>
          <w:i/>
          <w:szCs w:val="24"/>
        </w:rPr>
        <w:t>Działania 9.1 i 9.2</w:t>
      </w:r>
      <w:r w:rsidRPr="006D71C7">
        <w:rPr>
          <w:szCs w:val="24"/>
        </w:rPr>
        <w:t xml:space="preserve"> finansujące inwestycje w publicznym systemie ochrony zdrowia, stanowią 2,30 % budżetu RPO WSL, a zidentyfikowane nieprawidłowości w zakresie dwóch przypadków stanowią znikomą wartość przyznanego dofinansowania 22 089 EUR (ok. 100 tys. PLN). Sprawa kontraktów z NFZ będzie szczegółowo badana w okresie trwałości projektów.</w:t>
      </w:r>
    </w:p>
    <w:p w:rsidR="0005410E" w:rsidRPr="006D71C7" w:rsidRDefault="0005410E" w:rsidP="00BA2FE7">
      <w:pPr>
        <w:pStyle w:val="Nagwek1"/>
        <w:numPr>
          <w:ilvl w:val="2"/>
          <w:numId w:val="63"/>
        </w:numPr>
        <w:tabs>
          <w:tab w:val="left" w:pos="1418"/>
        </w:tabs>
        <w:spacing w:before="240" w:after="120"/>
        <w:ind w:left="1134" w:hanging="283"/>
        <w:jc w:val="both"/>
        <w:rPr>
          <w:bCs w:val="0"/>
          <w:szCs w:val="24"/>
        </w:rPr>
      </w:pPr>
      <w:bookmarkStart w:id="657" w:name="_Toc324853947"/>
      <w:bookmarkStart w:id="658" w:name="_Toc327259299"/>
      <w:r w:rsidRPr="006D71C7">
        <w:rPr>
          <w:bCs w:val="0"/>
          <w:szCs w:val="24"/>
        </w:rPr>
        <w:t>Opis istotnych problemów we wdrażaniu wraz z podjętymi środkami zaradczymi</w:t>
      </w:r>
      <w:bookmarkEnd w:id="614"/>
      <w:bookmarkEnd w:id="615"/>
      <w:bookmarkEnd w:id="616"/>
      <w:bookmarkEnd w:id="657"/>
      <w:bookmarkEnd w:id="658"/>
    </w:p>
    <w:p w:rsidR="0005410E" w:rsidRPr="006D71C7" w:rsidRDefault="00ED4432" w:rsidP="006D71C7">
      <w:pPr>
        <w:widowControl w:val="0"/>
        <w:autoSpaceDE w:val="0"/>
        <w:autoSpaceDN w:val="0"/>
        <w:adjustRightInd w:val="0"/>
        <w:spacing w:after="0"/>
        <w:jc w:val="both"/>
        <w:rPr>
          <w:b/>
          <w:szCs w:val="24"/>
        </w:rPr>
      </w:pPr>
      <w:r w:rsidRPr="006D71C7">
        <w:rPr>
          <w:szCs w:val="24"/>
        </w:rPr>
        <w:t xml:space="preserve">Zidentyfikowano zagrożenie </w:t>
      </w:r>
      <w:r w:rsidR="003957F3" w:rsidRPr="006D71C7">
        <w:rPr>
          <w:szCs w:val="24"/>
        </w:rPr>
        <w:t>związan</w:t>
      </w:r>
      <w:r w:rsidRPr="006D71C7">
        <w:rPr>
          <w:szCs w:val="24"/>
        </w:rPr>
        <w:t>e</w:t>
      </w:r>
      <w:r w:rsidR="003957F3" w:rsidRPr="006D71C7">
        <w:rPr>
          <w:szCs w:val="24"/>
        </w:rPr>
        <w:t xml:space="preserve"> z występowaniem potencjalnych nieprawidłowości, wynikających z niepodpisania kontraktów z Narodowym Funduszem Zdrowia przez Beneficjentów działających w sektorze ochrony zdrowia. Zgodnie z </w:t>
      </w:r>
      <w:r w:rsidRPr="006D71C7">
        <w:rPr>
          <w:szCs w:val="24"/>
        </w:rPr>
        <w:t>stałym monitoringiem i</w:t>
      </w:r>
      <w:r w:rsidR="00866A66" w:rsidRPr="006D71C7">
        <w:rPr>
          <w:szCs w:val="24"/>
        </w:rPr>
        <w:t> </w:t>
      </w:r>
      <w:r w:rsidRPr="006D71C7">
        <w:rPr>
          <w:szCs w:val="24"/>
        </w:rPr>
        <w:t xml:space="preserve">analizą </w:t>
      </w:r>
      <w:r w:rsidR="003957F3" w:rsidRPr="006D71C7">
        <w:rPr>
          <w:szCs w:val="24"/>
        </w:rPr>
        <w:t>projektów dofinansowanych w sektorze ochrony zdrowia, nieosiągnięcie założonych wskaźników rezultatu (liczby świadczonych usług medycznych) wynika wyłącznie z niskich limitów świadczeń wyznaczanych przez NFZ, w porównaniu do lat w których były opracowywane założenia projektowe i wnioski aplikacyjne.</w:t>
      </w:r>
    </w:p>
    <w:p w:rsidR="002B224A" w:rsidRPr="006D71C7" w:rsidRDefault="0005410E" w:rsidP="00BA2FE7">
      <w:pPr>
        <w:pStyle w:val="Nagwek1"/>
        <w:numPr>
          <w:ilvl w:val="1"/>
          <w:numId w:val="35"/>
        </w:numPr>
        <w:pBdr>
          <w:top w:val="single" w:sz="24" w:space="1" w:color="DE6A5C" w:themeColor="accent2" w:themeTint="99"/>
          <w:left w:val="single" w:sz="24" w:space="4" w:color="DE6A5C" w:themeColor="accent2" w:themeTint="99"/>
          <w:bottom w:val="single" w:sz="24" w:space="1" w:color="DE6A5C" w:themeColor="accent2" w:themeTint="99"/>
          <w:right w:val="single" w:sz="24" w:space="4" w:color="DE6A5C" w:themeColor="accent2" w:themeTint="99"/>
        </w:pBdr>
        <w:tabs>
          <w:tab w:val="left" w:pos="567"/>
          <w:tab w:val="left" w:pos="709"/>
          <w:tab w:val="left" w:pos="1843"/>
          <w:tab w:val="left" w:pos="2694"/>
          <w:tab w:val="left" w:pos="2835"/>
          <w:tab w:val="left" w:pos="3402"/>
        </w:tabs>
        <w:spacing w:before="240" w:after="120"/>
        <w:jc w:val="both"/>
        <w:rPr>
          <w:szCs w:val="24"/>
        </w:rPr>
      </w:pPr>
      <w:bookmarkStart w:id="659" w:name="_Toc262032002"/>
      <w:bookmarkStart w:id="660" w:name="_Toc292789345"/>
      <w:bookmarkStart w:id="661" w:name="_Toc292793646"/>
      <w:bookmarkStart w:id="662" w:name="_Toc327259300"/>
      <w:r w:rsidRPr="006D71C7">
        <w:rPr>
          <w:szCs w:val="24"/>
        </w:rPr>
        <w:t>Priorytet X – Pomoc techniczna</w:t>
      </w:r>
      <w:bookmarkEnd w:id="659"/>
      <w:bookmarkEnd w:id="660"/>
      <w:bookmarkEnd w:id="661"/>
      <w:bookmarkEnd w:id="662"/>
    </w:p>
    <w:p w:rsidR="00245F70" w:rsidRPr="006D71C7" w:rsidRDefault="004A2760" w:rsidP="00BA2FE7">
      <w:pPr>
        <w:pStyle w:val="Nagwek1"/>
        <w:numPr>
          <w:ilvl w:val="2"/>
          <w:numId w:val="100"/>
        </w:numPr>
        <w:tabs>
          <w:tab w:val="left" w:pos="567"/>
          <w:tab w:val="left" w:pos="709"/>
        </w:tabs>
        <w:spacing w:before="240" w:after="120"/>
        <w:ind w:left="0" w:firstLine="0"/>
        <w:jc w:val="both"/>
      </w:pPr>
      <w:bookmarkStart w:id="663" w:name="_Toc292793647"/>
      <w:bookmarkStart w:id="664" w:name="_Toc324853949"/>
      <w:bookmarkStart w:id="665" w:name="_Toc327259301"/>
      <w:r w:rsidRPr="006D71C7">
        <w:t>Osiągnięcie celów i analiza postępów</w:t>
      </w:r>
      <w:bookmarkEnd w:id="663"/>
      <w:bookmarkEnd w:id="664"/>
      <w:bookmarkEnd w:id="665"/>
    </w:p>
    <w:p w:rsidR="00245F70" w:rsidRPr="006D71C7" w:rsidRDefault="002B224A" w:rsidP="00BA2FE7">
      <w:pPr>
        <w:pStyle w:val="Nagwek1"/>
        <w:numPr>
          <w:ilvl w:val="3"/>
          <w:numId w:val="100"/>
        </w:numPr>
        <w:tabs>
          <w:tab w:val="left" w:pos="567"/>
          <w:tab w:val="left" w:pos="709"/>
        </w:tabs>
        <w:spacing w:before="240" w:after="120"/>
        <w:ind w:left="426" w:hanging="426"/>
        <w:jc w:val="both"/>
      </w:pPr>
      <w:bookmarkStart w:id="666" w:name="_Toc324853950"/>
      <w:bookmarkStart w:id="667" w:name="_Toc327259302"/>
      <w:r w:rsidRPr="006D71C7">
        <w:t>Informacje na temat fizycznych i finansowych postępów priorytetu</w:t>
      </w:r>
      <w:bookmarkEnd w:id="666"/>
      <w:bookmarkEnd w:id="667"/>
    </w:p>
    <w:p w:rsidR="002B224A" w:rsidRPr="006D71C7" w:rsidRDefault="000C05F2" w:rsidP="006D71C7">
      <w:pPr>
        <w:pStyle w:val="Nagwek2"/>
        <w:numPr>
          <w:ilvl w:val="0"/>
          <w:numId w:val="0"/>
        </w:numPr>
        <w:spacing w:before="0" w:beforeAutospacing="0" w:after="120" w:afterAutospacing="0" w:line="276" w:lineRule="auto"/>
        <w:jc w:val="both"/>
        <w:rPr>
          <w:b w:val="0"/>
          <w:sz w:val="24"/>
          <w:szCs w:val="24"/>
        </w:rPr>
      </w:pPr>
      <w:bookmarkStart w:id="668" w:name="_Toc324786890"/>
      <w:bookmarkStart w:id="669" w:name="_Toc324853951"/>
      <w:bookmarkStart w:id="670" w:name="_Toc327259303"/>
      <w:r w:rsidRPr="006D71C7">
        <w:rPr>
          <w:b w:val="0"/>
          <w:sz w:val="24"/>
          <w:szCs w:val="24"/>
        </w:rPr>
        <w:t>W załącznik</w:t>
      </w:r>
      <w:r w:rsidR="00ED4432" w:rsidRPr="006D71C7">
        <w:rPr>
          <w:b w:val="0"/>
          <w:sz w:val="24"/>
          <w:szCs w:val="24"/>
        </w:rPr>
        <w:t>u</w:t>
      </w:r>
      <w:r w:rsidRPr="006D71C7">
        <w:rPr>
          <w:b w:val="0"/>
          <w:sz w:val="24"/>
          <w:szCs w:val="24"/>
        </w:rPr>
        <w:t xml:space="preserve"> IV do niniejszego </w:t>
      </w:r>
      <w:r w:rsidRPr="006D71C7">
        <w:rPr>
          <w:b w:val="0"/>
          <w:i/>
          <w:sz w:val="24"/>
          <w:szCs w:val="24"/>
        </w:rPr>
        <w:t>Sprawozdania</w:t>
      </w:r>
      <w:r w:rsidRPr="006D71C7">
        <w:rPr>
          <w:b w:val="0"/>
          <w:sz w:val="24"/>
          <w:szCs w:val="24"/>
        </w:rPr>
        <w:t xml:space="preserve"> zostały przedstawione programowe wskaźniki produktu i rezultatu dla priorytetu X, dla kolejnych lat w ujęciu kumulatywnym. Przedstawione informacje prezentowane według stanu na koniec 2011 roku oparte </w:t>
      </w:r>
      <w:r w:rsidR="00CC230E" w:rsidRPr="006D71C7">
        <w:rPr>
          <w:b w:val="0"/>
          <w:sz w:val="24"/>
          <w:szCs w:val="24"/>
        </w:rPr>
        <w:t xml:space="preserve">zostały </w:t>
      </w:r>
      <w:r w:rsidRPr="006D71C7">
        <w:rPr>
          <w:b w:val="0"/>
          <w:sz w:val="24"/>
          <w:szCs w:val="24"/>
        </w:rPr>
        <w:t>na danych dotyczących operacji zakończonych. Określone zostały wartości docelowe dla 2010, 2013 i 2015 roku oraz zaprezentowano szacowaną wartość na podstawie podpisanych umów o dofinansowanie. Przedstawiono także wskaźniki przedmiotowego priorytetu w podziale na działania i poddziałania.</w:t>
      </w:r>
      <w:bookmarkEnd w:id="668"/>
      <w:bookmarkEnd w:id="669"/>
      <w:bookmarkEnd w:id="670"/>
    </w:p>
    <w:p w:rsidR="00245F70" w:rsidRPr="006D71C7" w:rsidRDefault="002B224A" w:rsidP="00BA2FE7">
      <w:pPr>
        <w:pStyle w:val="Nagwek1"/>
        <w:numPr>
          <w:ilvl w:val="3"/>
          <w:numId w:val="100"/>
        </w:numPr>
        <w:tabs>
          <w:tab w:val="left" w:pos="567"/>
          <w:tab w:val="left" w:pos="709"/>
        </w:tabs>
        <w:spacing w:before="240" w:after="120"/>
        <w:ind w:left="426" w:hanging="426"/>
        <w:jc w:val="both"/>
      </w:pPr>
      <w:bookmarkStart w:id="671" w:name="_Toc324853952"/>
      <w:bookmarkStart w:id="672" w:name="_Toc327259304"/>
      <w:r w:rsidRPr="006D71C7">
        <w:t>Analiza jakościowa</w:t>
      </w:r>
      <w:r w:rsidR="00B7721A" w:rsidRPr="006D71C7">
        <w:t xml:space="preserve"> (poziom priorytetu)</w:t>
      </w:r>
      <w:bookmarkEnd w:id="671"/>
      <w:bookmarkEnd w:id="672"/>
    </w:p>
    <w:p w:rsidR="00245F70" w:rsidRPr="006D71C7" w:rsidRDefault="007338BD" w:rsidP="006D71C7">
      <w:pPr>
        <w:jc w:val="both"/>
        <w:rPr>
          <w:i/>
        </w:rPr>
      </w:pPr>
      <w:r w:rsidRPr="006D71C7">
        <w:rPr>
          <w:b/>
          <w:i/>
        </w:rPr>
        <w:t>Informacje ogólne</w:t>
      </w:r>
    </w:p>
    <w:p w:rsidR="002B224A" w:rsidRPr="006D71C7" w:rsidRDefault="002B224A" w:rsidP="006D71C7">
      <w:pPr>
        <w:spacing w:before="240"/>
        <w:jc w:val="both"/>
        <w:rPr>
          <w:szCs w:val="24"/>
        </w:rPr>
      </w:pPr>
      <w:r w:rsidRPr="006D71C7">
        <w:rPr>
          <w:szCs w:val="24"/>
        </w:rPr>
        <w:t xml:space="preserve">Celem głównym Priorytetu X jest </w:t>
      </w:r>
      <w:r w:rsidRPr="006D71C7">
        <w:rPr>
          <w:i/>
          <w:szCs w:val="24"/>
        </w:rPr>
        <w:t>skuteczna absorpcja środków w ramach Regionalnego Programu Operacyjnego Województwa Śląskiego na lata 2007 – 2013</w:t>
      </w:r>
      <w:r w:rsidRPr="006D71C7">
        <w:rPr>
          <w:szCs w:val="24"/>
        </w:rPr>
        <w:t xml:space="preserve">. W ramach priorytetu wspierane </w:t>
      </w:r>
      <w:r w:rsidR="00ED4432" w:rsidRPr="006D71C7">
        <w:rPr>
          <w:szCs w:val="24"/>
        </w:rPr>
        <w:t>są</w:t>
      </w:r>
      <w:r w:rsidR="001B017A" w:rsidRPr="006D71C7">
        <w:rPr>
          <w:szCs w:val="24"/>
        </w:rPr>
        <w:t xml:space="preserve"> </w:t>
      </w:r>
      <w:r w:rsidRPr="006D71C7">
        <w:rPr>
          <w:szCs w:val="24"/>
        </w:rPr>
        <w:t>procesy związane z przygotowaniem, zarządzaniem, monitorowaniem, oceną, kontrolą i ewaluacją realizacji RPO, działania mające na celu zwiększenie zdolności administracyjnych do wdrażania funduszy oraz informacja i promocja odnośnie Programu.</w:t>
      </w:r>
    </w:p>
    <w:p w:rsidR="002B224A" w:rsidRPr="006D71C7" w:rsidRDefault="002B224A" w:rsidP="006D71C7">
      <w:pPr>
        <w:spacing w:after="0"/>
        <w:jc w:val="both"/>
        <w:rPr>
          <w:szCs w:val="24"/>
        </w:rPr>
      </w:pPr>
      <w:r w:rsidRPr="006D71C7">
        <w:rPr>
          <w:szCs w:val="24"/>
        </w:rPr>
        <w:t>Realizacji priorytetu służyć mają dwa działania:</w:t>
      </w:r>
    </w:p>
    <w:p w:rsidR="002B224A" w:rsidRPr="006D71C7" w:rsidRDefault="002B224A" w:rsidP="00BA2FE7">
      <w:pPr>
        <w:pStyle w:val="Akapitzlist"/>
        <w:numPr>
          <w:ilvl w:val="0"/>
          <w:numId w:val="14"/>
        </w:numPr>
        <w:spacing w:after="0"/>
        <w:jc w:val="both"/>
        <w:rPr>
          <w:i/>
          <w:szCs w:val="24"/>
        </w:rPr>
      </w:pPr>
      <w:r w:rsidRPr="006D71C7">
        <w:rPr>
          <w:i/>
          <w:szCs w:val="24"/>
        </w:rPr>
        <w:t>10.1 Wsparcie procesu zarządzania i wdrażania,</w:t>
      </w:r>
    </w:p>
    <w:p w:rsidR="002B224A" w:rsidRPr="006D71C7" w:rsidRDefault="002B224A" w:rsidP="00BA2FE7">
      <w:pPr>
        <w:pStyle w:val="Akapitzlist"/>
        <w:numPr>
          <w:ilvl w:val="0"/>
          <w:numId w:val="14"/>
        </w:numPr>
        <w:spacing w:after="0"/>
        <w:jc w:val="both"/>
        <w:rPr>
          <w:i/>
          <w:szCs w:val="24"/>
        </w:rPr>
      </w:pPr>
      <w:r w:rsidRPr="006D71C7">
        <w:rPr>
          <w:i/>
          <w:szCs w:val="24"/>
        </w:rPr>
        <w:t>10.2 Działania informacyjne i promocyjne.</w:t>
      </w:r>
    </w:p>
    <w:p w:rsidR="000C05F2" w:rsidRPr="006D71C7" w:rsidRDefault="000C05F2" w:rsidP="006D71C7">
      <w:pPr>
        <w:spacing w:after="0"/>
        <w:jc w:val="both"/>
        <w:rPr>
          <w:szCs w:val="24"/>
        </w:rPr>
      </w:pPr>
    </w:p>
    <w:p w:rsidR="002B224A" w:rsidRPr="006D71C7" w:rsidRDefault="002B224A" w:rsidP="006D71C7">
      <w:pPr>
        <w:spacing w:after="0"/>
        <w:jc w:val="both"/>
        <w:rPr>
          <w:szCs w:val="24"/>
        </w:rPr>
      </w:pPr>
      <w:r w:rsidRPr="006D71C7">
        <w:rPr>
          <w:szCs w:val="24"/>
        </w:rPr>
        <w:t xml:space="preserve">Na realizację </w:t>
      </w:r>
      <w:r w:rsidR="00FE37D7" w:rsidRPr="006D71C7">
        <w:rPr>
          <w:szCs w:val="24"/>
        </w:rPr>
        <w:t>p</w:t>
      </w:r>
      <w:r w:rsidRPr="006D71C7">
        <w:rPr>
          <w:szCs w:val="24"/>
        </w:rPr>
        <w:t xml:space="preserve">riorytetu X alokowano </w:t>
      </w:r>
      <w:r w:rsidR="000C05F2" w:rsidRPr="006D71C7">
        <w:rPr>
          <w:szCs w:val="24"/>
        </w:rPr>
        <w:t>43 196 934</w:t>
      </w:r>
      <w:r w:rsidR="000C05F2" w:rsidRPr="006D71C7">
        <w:rPr>
          <w:b/>
          <w:szCs w:val="24"/>
        </w:rPr>
        <w:t xml:space="preserve"> </w:t>
      </w:r>
      <w:r w:rsidRPr="006D71C7">
        <w:rPr>
          <w:szCs w:val="24"/>
        </w:rPr>
        <w:t xml:space="preserve">EUR pochodzących z EFRR, co stanowi 2,5% wartości </w:t>
      </w:r>
      <w:r w:rsidR="007338BD" w:rsidRPr="006D71C7">
        <w:rPr>
          <w:i/>
          <w:szCs w:val="24"/>
        </w:rPr>
        <w:t>Programu.</w:t>
      </w:r>
    </w:p>
    <w:p w:rsidR="000C05F2" w:rsidRPr="006D71C7" w:rsidRDefault="000C05F2" w:rsidP="006D71C7">
      <w:pPr>
        <w:spacing w:after="0"/>
        <w:jc w:val="both"/>
        <w:rPr>
          <w:szCs w:val="24"/>
        </w:rPr>
      </w:pPr>
    </w:p>
    <w:p w:rsidR="000C05F2" w:rsidRPr="006D71C7" w:rsidRDefault="000C05F2" w:rsidP="006D71C7">
      <w:pPr>
        <w:pStyle w:val="Legenda"/>
        <w:spacing w:line="276" w:lineRule="auto"/>
        <w:jc w:val="both"/>
        <w:rPr>
          <w:bCs w:val="0"/>
          <w:i/>
          <w:color w:val="auto"/>
          <w:sz w:val="24"/>
          <w:szCs w:val="24"/>
        </w:rPr>
      </w:pPr>
      <w:r w:rsidRPr="006D71C7">
        <w:rPr>
          <w:bCs w:val="0"/>
          <w:i/>
          <w:color w:val="auto"/>
          <w:sz w:val="24"/>
          <w:szCs w:val="24"/>
        </w:rPr>
        <w:t>Postęp wdrażania priorytetu X</w:t>
      </w:r>
    </w:p>
    <w:p w:rsidR="000C05F2" w:rsidRPr="006D71C7" w:rsidRDefault="000C05F2" w:rsidP="006D71C7">
      <w:pPr>
        <w:pStyle w:val="Default"/>
        <w:spacing w:line="276" w:lineRule="auto"/>
        <w:jc w:val="both"/>
        <w:rPr>
          <w:rFonts w:eastAsia="Calibri"/>
          <w:i/>
          <w:color w:val="auto"/>
        </w:rPr>
      </w:pPr>
      <w:r w:rsidRPr="006D71C7">
        <w:rPr>
          <w:bCs/>
          <w:color w:val="auto"/>
        </w:rPr>
        <w:t xml:space="preserve">Wszystkie zmienne przedstawione na poniższym wykresie wykazują dodatnią dynamikę wzrostu. W okresie sprawozdawczym szczególnie widoczne było to na poziomie kontraktowania środków. Na koniec 2011 r. poziom kontraktacji w ramach priorytetu wyniósł 40%. </w:t>
      </w:r>
      <w:r w:rsidRPr="006D71C7">
        <w:rPr>
          <w:rFonts w:eastAsia="Calibri"/>
          <w:color w:val="auto"/>
        </w:rPr>
        <w:t xml:space="preserve">W wyniku przyznania województwu śląskiemu dodatkowych środków alokacja </w:t>
      </w:r>
      <w:r w:rsidR="00594DBA" w:rsidRPr="006D71C7">
        <w:rPr>
          <w:rFonts w:eastAsia="Calibri"/>
          <w:color w:val="auto"/>
        </w:rPr>
        <w:t xml:space="preserve">w ramach priorytetu została powiększona o 2% (196 934 EUR). Środki </w:t>
      </w:r>
      <w:r w:rsidRPr="006D71C7">
        <w:rPr>
          <w:color w:val="auto"/>
        </w:rPr>
        <w:t xml:space="preserve">zostały </w:t>
      </w:r>
      <w:r w:rsidR="00594DBA" w:rsidRPr="006D71C7">
        <w:rPr>
          <w:color w:val="auto"/>
        </w:rPr>
        <w:t xml:space="preserve">przeznaczone na </w:t>
      </w:r>
      <w:r w:rsidR="00594DBA" w:rsidRPr="006D71C7">
        <w:rPr>
          <w:i/>
          <w:color w:val="auto"/>
        </w:rPr>
        <w:t xml:space="preserve">działanie 10.1 </w:t>
      </w:r>
      <w:r w:rsidRPr="006D71C7">
        <w:rPr>
          <w:i/>
          <w:color w:val="auto"/>
        </w:rPr>
        <w:t xml:space="preserve"> </w:t>
      </w:r>
      <w:r w:rsidR="00594DBA" w:rsidRPr="006D71C7">
        <w:rPr>
          <w:rFonts w:eastAsia="Calibri"/>
          <w:i/>
          <w:color w:val="auto"/>
        </w:rPr>
        <w:t>Wsparcie procesu zarządzania i wdrażania.</w:t>
      </w:r>
    </w:p>
    <w:p w:rsidR="000C05F2" w:rsidRPr="006D71C7" w:rsidRDefault="000C05F2" w:rsidP="006D71C7">
      <w:pPr>
        <w:autoSpaceDE w:val="0"/>
        <w:autoSpaceDN w:val="0"/>
        <w:adjustRightInd w:val="0"/>
        <w:spacing w:after="0"/>
        <w:jc w:val="both"/>
        <w:rPr>
          <w:szCs w:val="24"/>
        </w:rPr>
      </w:pPr>
    </w:p>
    <w:p w:rsidR="000C05F2" w:rsidRPr="006D71C7" w:rsidRDefault="000C05F2" w:rsidP="006D71C7">
      <w:pPr>
        <w:autoSpaceDE w:val="0"/>
        <w:autoSpaceDN w:val="0"/>
        <w:adjustRightInd w:val="0"/>
        <w:spacing w:after="0"/>
        <w:jc w:val="both"/>
        <w:rPr>
          <w:rFonts w:eastAsia="Calibri"/>
          <w:sz w:val="23"/>
          <w:szCs w:val="23"/>
        </w:rPr>
      </w:pPr>
      <w:r w:rsidRPr="006D71C7">
        <w:rPr>
          <w:noProof/>
        </w:rPr>
        <w:drawing>
          <wp:inline distT="0" distB="0" distL="0" distR="0">
            <wp:extent cx="6284463" cy="2743200"/>
            <wp:effectExtent l="38100" t="19050" r="21087" b="0"/>
            <wp:docPr id="42"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0C05F2" w:rsidRPr="006D71C7" w:rsidRDefault="000C05F2" w:rsidP="006D71C7">
      <w:pPr>
        <w:spacing w:after="0"/>
        <w:jc w:val="both"/>
        <w:rPr>
          <w:szCs w:val="24"/>
        </w:rPr>
      </w:pPr>
    </w:p>
    <w:p w:rsidR="00C43B75" w:rsidRDefault="00C43B75" w:rsidP="00C43B75">
      <w:pPr>
        <w:pStyle w:val="Legenda"/>
        <w:rPr>
          <w:b w:val="0"/>
          <w:i/>
          <w:color w:val="auto"/>
          <w:sz w:val="20"/>
          <w:szCs w:val="20"/>
        </w:rPr>
      </w:pPr>
      <w:bookmarkStart w:id="673" w:name="_Toc324853752"/>
      <w:bookmarkStart w:id="674" w:name="_Toc324855921"/>
      <w:bookmarkStart w:id="675" w:name="_Toc326055375"/>
      <w:r w:rsidRPr="00C43B75">
        <w:rPr>
          <w:color w:val="auto"/>
          <w:sz w:val="20"/>
          <w:szCs w:val="20"/>
        </w:rPr>
        <w:t xml:space="preserve">Rysunek </w:t>
      </w:r>
      <w:r w:rsidR="008F7228" w:rsidRPr="00C43B75">
        <w:rPr>
          <w:color w:val="auto"/>
          <w:sz w:val="20"/>
          <w:szCs w:val="20"/>
        </w:rPr>
        <w:fldChar w:fldCharType="begin"/>
      </w:r>
      <w:r w:rsidRPr="00C43B75">
        <w:rPr>
          <w:color w:val="auto"/>
          <w:sz w:val="20"/>
          <w:szCs w:val="20"/>
        </w:rPr>
        <w:instrText xml:space="preserve"> SEQ Rysunek \* ARABIC </w:instrText>
      </w:r>
      <w:r w:rsidR="008F7228" w:rsidRPr="00C43B75">
        <w:rPr>
          <w:color w:val="auto"/>
          <w:sz w:val="20"/>
          <w:szCs w:val="20"/>
        </w:rPr>
        <w:fldChar w:fldCharType="separate"/>
      </w:r>
      <w:r w:rsidR="006667B3">
        <w:rPr>
          <w:noProof/>
          <w:color w:val="auto"/>
          <w:sz w:val="20"/>
          <w:szCs w:val="20"/>
        </w:rPr>
        <w:t>57</w:t>
      </w:r>
      <w:r w:rsidR="008F7228" w:rsidRPr="00C43B75">
        <w:rPr>
          <w:color w:val="auto"/>
          <w:sz w:val="20"/>
          <w:szCs w:val="20"/>
        </w:rPr>
        <w:fldChar w:fldCharType="end"/>
      </w:r>
      <w:r w:rsidR="009F37F1">
        <w:t xml:space="preserve"> </w:t>
      </w:r>
      <w:r w:rsidR="001B017A" w:rsidRPr="006D71C7">
        <w:rPr>
          <w:color w:val="auto"/>
        </w:rPr>
        <w:t xml:space="preserve"> </w:t>
      </w:r>
      <w:r w:rsidR="00594DBA" w:rsidRPr="006D71C7">
        <w:rPr>
          <w:b w:val="0"/>
          <w:i/>
          <w:color w:val="auto"/>
          <w:sz w:val="20"/>
          <w:szCs w:val="20"/>
        </w:rPr>
        <w:t>Realizacja priorytetu X w okresie sprawozdawczym i od uruchomienia Programu</w:t>
      </w:r>
      <w:bookmarkEnd w:id="673"/>
      <w:bookmarkEnd w:id="674"/>
      <w:bookmarkEnd w:id="675"/>
      <w:r w:rsidR="009F37F1">
        <w:rPr>
          <w:b w:val="0"/>
          <w:i/>
          <w:color w:val="auto"/>
          <w:sz w:val="20"/>
          <w:szCs w:val="20"/>
        </w:rPr>
        <w:t xml:space="preserve"> </w:t>
      </w:r>
    </w:p>
    <w:p w:rsidR="00594DBA" w:rsidRPr="006D71C7" w:rsidRDefault="00594DBA" w:rsidP="006D71C7">
      <w:pPr>
        <w:jc w:val="both"/>
        <w:rPr>
          <w:b/>
          <w:i/>
        </w:rPr>
      </w:pPr>
      <w:r w:rsidRPr="006D71C7">
        <w:rPr>
          <w:b/>
          <w:i/>
        </w:rPr>
        <w:t>Analiza wskaźnikowa</w:t>
      </w:r>
    </w:p>
    <w:p w:rsidR="00245F70" w:rsidRPr="006D71C7" w:rsidRDefault="00F340CB" w:rsidP="006D71C7">
      <w:pPr>
        <w:jc w:val="both"/>
        <w:rPr>
          <w:szCs w:val="24"/>
        </w:rPr>
      </w:pPr>
      <w:r w:rsidRPr="006D71C7">
        <w:rPr>
          <w:szCs w:val="24"/>
        </w:rPr>
        <w:t>Wśród wskaźników produktu p</w:t>
      </w:r>
      <w:r w:rsidR="00CF7E36" w:rsidRPr="006D71C7">
        <w:rPr>
          <w:szCs w:val="24"/>
        </w:rPr>
        <w:t xml:space="preserve">riorytetu X w przypadku </w:t>
      </w:r>
      <w:r w:rsidRPr="006D71C7">
        <w:rPr>
          <w:szCs w:val="24"/>
        </w:rPr>
        <w:t>czterech</w:t>
      </w:r>
      <w:r w:rsidR="00CF7E36" w:rsidRPr="006D71C7">
        <w:rPr>
          <w:szCs w:val="24"/>
        </w:rPr>
        <w:t xml:space="preserve"> z ogólnej liczby</w:t>
      </w:r>
      <w:r w:rsidR="00BE6B6B" w:rsidRPr="006D71C7">
        <w:rPr>
          <w:szCs w:val="24"/>
        </w:rPr>
        <w:t xml:space="preserve"> siedmiu</w:t>
      </w:r>
      <w:r w:rsidR="00ED4432" w:rsidRPr="006D71C7">
        <w:rPr>
          <w:szCs w:val="24"/>
        </w:rPr>
        <w:t xml:space="preserve"> </w:t>
      </w:r>
      <w:r w:rsidR="00CF7E36" w:rsidRPr="006D71C7">
        <w:rPr>
          <w:szCs w:val="24"/>
        </w:rPr>
        <w:t xml:space="preserve">wskaźników posiada szacowaną realizację przekraczającą ich końcowe wartości </w:t>
      </w:r>
      <w:r w:rsidR="00C81A59" w:rsidRPr="006D71C7">
        <w:rPr>
          <w:szCs w:val="24"/>
        </w:rPr>
        <w:t xml:space="preserve">docelowe. Największą realizację uzyskał wskaźnik </w:t>
      </w:r>
      <w:r w:rsidR="00C81A59" w:rsidRPr="006D71C7">
        <w:rPr>
          <w:i/>
          <w:szCs w:val="24"/>
        </w:rPr>
        <w:t>Liczba zakupionego sprzętu komputerowego</w:t>
      </w:r>
      <w:r w:rsidR="00C81A59" w:rsidRPr="006D71C7">
        <w:rPr>
          <w:szCs w:val="24"/>
        </w:rPr>
        <w:t xml:space="preserve"> osiągając 196% wartości docelowej z 2015 roku. Wskaźnik rezultatu, który nie osiągnie wartości docelowej to </w:t>
      </w:r>
      <w:r w:rsidR="00C81A59" w:rsidRPr="006D71C7">
        <w:rPr>
          <w:i/>
          <w:szCs w:val="24"/>
        </w:rPr>
        <w:t>Liczba beneficjentów uczestniczących w szkoleniach, seminariach, konferencjach, spotkaniach informacyjnych nt. RPO.</w:t>
      </w:r>
      <w:r w:rsidR="00BE6B6B" w:rsidRPr="006D71C7">
        <w:rPr>
          <w:szCs w:val="24"/>
        </w:rPr>
        <w:t xml:space="preserve"> Ww. sy</w:t>
      </w:r>
      <w:r w:rsidR="007338BD" w:rsidRPr="006D71C7">
        <w:rPr>
          <w:szCs w:val="24"/>
        </w:rPr>
        <w:t>tuacja,</w:t>
      </w:r>
      <w:r w:rsidR="007338BD" w:rsidRPr="006D71C7">
        <w:rPr>
          <w:rStyle w:val="Pogrubienie"/>
          <w:b w:val="0"/>
          <w:szCs w:val="24"/>
        </w:rPr>
        <w:t xml:space="preserve"> spowodowana jest mniejszą od spodziewanej liczby osób </w:t>
      </w:r>
      <w:r w:rsidR="00BE6B6B" w:rsidRPr="006D71C7">
        <w:rPr>
          <w:rStyle w:val="Pogrubienie"/>
          <w:b w:val="0"/>
          <w:szCs w:val="24"/>
        </w:rPr>
        <w:t>uczestniczących</w:t>
      </w:r>
      <w:r w:rsidR="007338BD" w:rsidRPr="006D71C7">
        <w:rPr>
          <w:rStyle w:val="Pogrubienie"/>
          <w:b w:val="0"/>
          <w:szCs w:val="24"/>
        </w:rPr>
        <w:t xml:space="preserve"> w zorganizowanych przez IZ oraz IP2 RPO WSL spotkaniach zwłaszcza w poprzednich latach wdrażania </w:t>
      </w:r>
      <w:r w:rsidR="007338BD" w:rsidRPr="006D71C7">
        <w:rPr>
          <w:rStyle w:val="Uwydatnienie"/>
          <w:bCs/>
          <w:szCs w:val="24"/>
        </w:rPr>
        <w:t>Programu</w:t>
      </w:r>
      <w:r w:rsidR="007338BD" w:rsidRPr="006D71C7">
        <w:rPr>
          <w:rStyle w:val="Pogrubienie"/>
          <w:b w:val="0"/>
          <w:szCs w:val="24"/>
        </w:rPr>
        <w:t>, kiedy organizowanych było dużo konkursów, co pociągało za sobą konieczność przygotowania wielu spotkań informacyjnych z Beneficjentami </w:t>
      </w:r>
      <w:r w:rsidR="007338BD" w:rsidRPr="006D71C7">
        <w:rPr>
          <w:rStyle w:val="Uwydatnienie"/>
          <w:bCs/>
          <w:szCs w:val="24"/>
        </w:rPr>
        <w:t xml:space="preserve">. </w:t>
      </w:r>
      <w:r w:rsidR="007338BD" w:rsidRPr="006D71C7">
        <w:rPr>
          <w:rStyle w:val="Pogrubienie"/>
          <w:b w:val="0"/>
          <w:szCs w:val="24"/>
        </w:rPr>
        <w:t xml:space="preserve">Natomiast w fazie jakiej obecnie znajduje się RPO WSL, w związku z </w:t>
      </w:r>
      <w:r w:rsidR="00BE6B6B" w:rsidRPr="006D71C7">
        <w:rPr>
          <w:rStyle w:val="Pogrubienie"/>
          <w:b w:val="0"/>
          <w:szCs w:val="24"/>
        </w:rPr>
        <w:t>niewielką liczbą pozostałych do </w:t>
      </w:r>
      <w:r w:rsidR="007338BD" w:rsidRPr="006D71C7">
        <w:rPr>
          <w:rStyle w:val="Pogrubienie"/>
          <w:b w:val="0"/>
          <w:szCs w:val="24"/>
        </w:rPr>
        <w:t xml:space="preserve">przeprowadzenia konkursów, a także mniejszymi potrzebami szkoleniowymi Beneficjentów, którzy w dużej mierze posiadają już niezbędną do aplikowania i korzystania ze środków </w:t>
      </w:r>
      <w:r w:rsidR="007338BD" w:rsidRPr="006D71C7">
        <w:rPr>
          <w:rStyle w:val="Uwydatnienie"/>
          <w:bCs/>
          <w:szCs w:val="24"/>
        </w:rPr>
        <w:t>Programu</w:t>
      </w:r>
      <w:r w:rsidR="007338BD" w:rsidRPr="006D71C7">
        <w:rPr>
          <w:rStyle w:val="Pogrubienie"/>
          <w:b w:val="0"/>
          <w:szCs w:val="24"/>
        </w:rPr>
        <w:t xml:space="preserve"> wiedzę, nie można liczyć na znaczący wzrost realizacji wskaźnika pozwalający osiągnąć wartość docelową wskaźnika.</w:t>
      </w:r>
      <w:r w:rsidR="007338BD" w:rsidRPr="006D71C7">
        <w:rPr>
          <w:szCs w:val="24"/>
        </w:rPr>
        <w:t xml:space="preserve"> </w:t>
      </w:r>
    </w:p>
    <w:p w:rsidR="00F340CB" w:rsidRPr="006D71C7" w:rsidRDefault="00CF7E36" w:rsidP="006D71C7">
      <w:pPr>
        <w:jc w:val="both"/>
        <w:rPr>
          <w:rFonts w:eastAsia="Calibri" w:cs="Calibri"/>
        </w:rPr>
      </w:pPr>
      <w:r w:rsidRPr="006D71C7">
        <w:t xml:space="preserve">Zadowalający postęp w realizacji wskaźników produktu jaki nastąpił w okresie sprawozdawczym zawdzięczany jest w głównej mierze </w:t>
      </w:r>
      <w:r w:rsidR="00F340CB" w:rsidRPr="006D71C7">
        <w:t>realizacji</w:t>
      </w:r>
      <w:r w:rsidRPr="006D71C7">
        <w:t xml:space="preserve"> </w:t>
      </w:r>
      <w:r w:rsidRPr="006D71C7">
        <w:rPr>
          <w:i/>
        </w:rPr>
        <w:t>działani</w:t>
      </w:r>
      <w:r w:rsidR="00F340CB" w:rsidRPr="006D71C7">
        <w:rPr>
          <w:i/>
        </w:rPr>
        <w:t>a</w:t>
      </w:r>
      <w:r w:rsidRPr="006D71C7">
        <w:rPr>
          <w:i/>
        </w:rPr>
        <w:t xml:space="preserve"> 10.1 Wsparcie procesu zarządzania i wdrażania</w:t>
      </w:r>
      <w:r w:rsidRPr="006D71C7">
        <w:t xml:space="preserve">. W przypadku wskaźników </w:t>
      </w:r>
      <w:r w:rsidRPr="006D71C7">
        <w:rPr>
          <w:i/>
        </w:rPr>
        <w:t>Liczba miejsc pracy sfinansowanych ze środków programu (pomocy technicznej</w:t>
      </w:r>
      <w:r w:rsidRPr="006D71C7">
        <w:t xml:space="preserve">) i </w:t>
      </w:r>
      <w:r w:rsidRPr="006D71C7">
        <w:rPr>
          <w:i/>
        </w:rPr>
        <w:t>Liczba zakupionego sprzętu komputerowego</w:t>
      </w:r>
      <w:r w:rsidRPr="006D71C7">
        <w:t xml:space="preserve"> stan realizacji przekroczył wartości docelowe pomimo ich powiększenia przy okazji przeglądu śródokresowego </w:t>
      </w:r>
      <w:r w:rsidRPr="006D71C7">
        <w:rPr>
          <w:i/>
        </w:rPr>
        <w:t>Programu.</w:t>
      </w:r>
      <w:r w:rsidRPr="006D71C7">
        <w:t xml:space="preserve"> W przypadku wskaźników mapujących się </w:t>
      </w:r>
      <w:r w:rsidR="000147E5">
        <w:rPr>
          <w:i/>
        </w:rPr>
        <w:t>z </w:t>
      </w:r>
      <w:r w:rsidRPr="006D71C7">
        <w:rPr>
          <w:i/>
        </w:rPr>
        <w:t>działania 10.2 Działania informacyjne i promocyjne</w:t>
      </w:r>
      <w:r w:rsidRPr="006D71C7">
        <w:t>, w ty</w:t>
      </w:r>
      <w:r w:rsidR="00F340CB" w:rsidRPr="006D71C7">
        <w:t>m jedynego wskaźnika rezultatu p</w:t>
      </w:r>
      <w:r w:rsidRPr="006D71C7">
        <w:t xml:space="preserve">riorytetu X </w:t>
      </w:r>
      <w:r w:rsidRPr="006D71C7">
        <w:rPr>
          <w:rFonts w:eastAsia="Calibri" w:cs="Calibri"/>
          <w:i/>
        </w:rPr>
        <w:t xml:space="preserve">Liczba </w:t>
      </w:r>
      <w:r w:rsidR="00F340CB" w:rsidRPr="006D71C7">
        <w:rPr>
          <w:rFonts w:eastAsia="Calibri" w:cs="Calibri"/>
          <w:i/>
        </w:rPr>
        <w:t>beneficjentów uczestniczących w </w:t>
      </w:r>
      <w:r w:rsidRPr="006D71C7">
        <w:rPr>
          <w:rFonts w:eastAsia="Calibri" w:cs="Calibri"/>
          <w:i/>
        </w:rPr>
        <w:t>szkoleniach, seminariach, konferencjach, spotkaniach informacyjnych nt. RPO</w:t>
      </w:r>
      <w:r w:rsidRPr="006D71C7">
        <w:rPr>
          <w:rFonts w:eastAsia="Calibri" w:cs="Calibri"/>
        </w:rPr>
        <w:t xml:space="preserve"> realizacja oraz szacowana realizacja nie zapowiadają osiągnięcia końcowej wartości docelowej </w:t>
      </w:r>
      <w:r w:rsidR="00F340CB" w:rsidRPr="006D71C7">
        <w:rPr>
          <w:rFonts w:eastAsia="Calibri" w:cs="Calibri"/>
        </w:rPr>
        <w:t>wskaźnika, szczególnie, że potrzeby szkoleniowe maleją</w:t>
      </w:r>
      <w:r w:rsidRPr="006D71C7">
        <w:rPr>
          <w:rFonts w:eastAsia="Calibri" w:cs="Calibri"/>
        </w:rPr>
        <w:t xml:space="preserve">. </w:t>
      </w:r>
    </w:p>
    <w:p w:rsidR="008647DE" w:rsidRDefault="00F340CB" w:rsidP="006D71C7">
      <w:pPr>
        <w:jc w:val="both"/>
      </w:pPr>
      <w:r w:rsidRPr="006D71C7">
        <w:t>W</w:t>
      </w:r>
      <w:r w:rsidR="00CF7E36" w:rsidRPr="006D71C7">
        <w:t xml:space="preserve"> wyn</w:t>
      </w:r>
      <w:r w:rsidRPr="006D71C7">
        <w:t>iku przeglądu śródokresowego w p</w:t>
      </w:r>
      <w:r w:rsidR="00CF7E36" w:rsidRPr="006D71C7">
        <w:t xml:space="preserve">riorytecie X zwiększono wartości docelowe wskaźników </w:t>
      </w:r>
      <w:r w:rsidR="00CF7E36" w:rsidRPr="006D71C7">
        <w:rPr>
          <w:i/>
        </w:rPr>
        <w:t>Liczba miejsc pracy sfinansowanych ze środków programu (pomocy technicznej</w:t>
      </w:r>
      <w:r w:rsidR="00CF7E36" w:rsidRPr="006D71C7">
        <w:t xml:space="preserve">) i </w:t>
      </w:r>
      <w:r w:rsidR="00CF7E36" w:rsidRPr="006D71C7">
        <w:rPr>
          <w:i/>
        </w:rPr>
        <w:t xml:space="preserve">Liczba zakupionego sprzętu komputerowego </w:t>
      </w:r>
      <w:r w:rsidR="00CF7E36" w:rsidRPr="006D71C7">
        <w:t xml:space="preserve">dla 2013 i 2015 roku do wartości 250 sztuk oraz odpowiednio wartości docelowe dla 2013 i 2015 roku podwskaźników </w:t>
      </w:r>
      <w:r w:rsidR="00CF7E36" w:rsidRPr="006D71C7">
        <w:rPr>
          <w:i/>
        </w:rPr>
        <w:t>Liczba miejsc pracy sfinansowanych ze środków programu (pomocy technicznej) w tym: kobiety i mężczyźni</w:t>
      </w:r>
      <w:r w:rsidR="00CF7E36" w:rsidRPr="006D71C7">
        <w:t xml:space="preserve"> do wartości 125 sztuk.</w:t>
      </w:r>
      <w:r w:rsidR="008647DE" w:rsidRPr="006D71C7">
        <w:t xml:space="preserve"> Zmiany podyktowane były faktem, </w:t>
      </w:r>
      <w:bookmarkStart w:id="676" w:name="_Toc262032008"/>
      <w:bookmarkStart w:id="677" w:name="_Toc292789346"/>
      <w:bookmarkStart w:id="678" w:name="_Toc292793648"/>
      <w:r w:rsidR="008647DE" w:rsidRPr="006D71C7">
        <w:t xml:space="preserve">iż w trakcie realizacji RPO WSL nastąpiło zwiększenie zadań IZ RPO WSL m.in. w związku z nowelizacją </w:t>
      </w:r>
      <w:r w:rsidR="008647DE" w:rsidRPr="006D71C7">
        <w:rPr>
          <w:i/>
        </w:rPr>
        <w:t>Ustawy o zasadach prowadzenia polityki rozwoju z dnia 7 listopada 2008 roku</w:t>
      </w:r>
      <w:r w:rsidR="008647DE" w:rsidRPr="006D71C7">
        <w:t xml:space="preserve"> przekazano urzędom marszałkowskim kompetencje w zakresie rozpatrywania protestów. Kolejnym powodem zatrudnienia większej liczby pracowników było powołanie, zgodnie z </w:t>
      </w:r>
      <w:r w:rsidR="008647DE" w:rsidRPr="006D71C7">
        <w:rPr>
          <w:i/>
        </w:rPr>
        <w:t>Porozumieniem</w:t>
      </w:r>
      <w:r w:rsidR="008647DE" w:rsidRPr="006D71C7">
        <w:t xml:space="preserve"> w sprawie zasad realizacji RPO WSL zawartym pomiędzy Zarządem Województwa Śląskiego, a Śląskim Centrum Przedsiębiorczości, Instytucji Pośredniczącej Drugiego Stopnia, której powierzono do realizacji część zadań związanych z wdrażaniem RPO WSL. Zatrudnienie w tej instytucji początkowo </w:t>
      </w:r>
      <w:r w:rsidR="00ED4432" w:rsidRPr="006D71C7">
        <w:t>(</w:t>
      </w:r>
      <w:r w:rsidR="008647DE" w:rsidRPr="006D71C7">
        <w:t xml:space="preserve">zgodnie z pierwszą wersją </w:t>
      </w:r>
      <w:r w:rsidR="008647DE" w:rsidRPr="006D71C7">
        <w:rPr>
          <w:i/>
        </w:rPr>
        <w:t>Opisu Systemu Zarządzania i Kontroli RPO WSL z dnia 27 grudnia 2007 roku</w:t>
      </w:r>
      <w:r w:rsidR="00ED4432" w:rsidRPr="006D71C7">
        <w:rPr>
          <w:i/>
        </w:rPr>
        <w:t>)</w:t>
      </w:r>
      <w:r w:rsidR="008647DE" w:rsidRPr="006D71C7">
        <w:t xml:space="preserve"> miało wynosić 40 osób, tymczasem obecnie zatrudnienie jest na poziomie 105 osób. Ponadto, podczas finalizowania negocjacji programu z KE nie była znana forma organizacyjn</w:t>
      </w:r>
      <w:r w:rsidR="00ED4432" w:rsidRPr="006D71C7">
        <w:t>a</w:t>
      </w:r>
      <w:r w:rsidR="008647DE" w:rsidRPr="006D71C7">
        <w:t xml:space="preserve"> IP2, dlatego trudno było oszacować wskaźnik na prawidłowym poziomie. </w:t>
      </w:r>
      <w:r w:rsidR="00ED4432" w:rsidRPr="006D71C7">
        <w:t xml:space="preserve">Zwiększenie poziomu zatrudnienia pracowników wynika z faktu, że </w:t>
      </w:r>
      <w:r w:rsidR="008647DE" w:rsidRPr="006D71C7">
        <w:t xml:space="preserve">w województwie śląskim </w:t>
      </w:r>
      <w:r w:rsidR="00ED4432" w:rsidRPr="006D71C7">
        <w:t xml:space="preserve">składanych </w:t>
      </w:r>
      <w:r w:rsidR="008647DE" w:rsidRPr="006D71C7">
        <w:t xml:space="preserve">jest </w:t>
      </w:r>
      <w:r w:rsidR="00ED4432" w:rsidRPr="006D71C7">
        <w:t xml:space="preserve">najwięcej w kraju </w:t>
      </w:r>
      <w:r w:rsidR="008647DE" w:rsidRPr="006D71C7">
        <w:t xml:space="preserve">projektów o </w:t>
      </w:r>
      <w:r w:rsidR="00ED4432" w:rsidRPr="006D71C7">
        <w:t xml:space="preserve">najniższej dla 16 województw średniej </w:t>
      </w:r>
      <w:r w:rsidR="008647DE" w:rsidRPr="006D71C7">
        <w:t>wartości</w:t>
      </w:r>
      <w:r w:rsidR="00ED4432" w:rsidRPr="006D71C7">
        <w:t>,</w:t>
      </w:r>
      <w:r w:rsidR="008647DE" w:rsidRPr="006D71C7">
        <w:t xml:space="preserve"> co przy jednej z największych alokacji w kraju</w:t>
      </w:r>
      <w:r w:rsidR="00ED4432" w:rsidRPr="006D71C7">
        <w:t xml:space="preserve">  wymusza zatrudnienie większej od planowanej liczby osób do obsługi Programu</w:t>
      </w:r>
      <w:r w:rsidR="008647DE" w:rsidRPr="006D71C7">
        <w:t>.</w:t>
      </w:r>
    </w:p>
    <w:p w:rsidR="006E4456" w:rsidRPr="003030BD" w:rsidRDefault="006E4456" w:rsidP="006E4456">
      <w:pPr>
        <w:autoSpaceDE w:val="0"/>
        <w:autoSpaceDN w:val="0"/>
        <w:adjustRightInd w:val="0"/>
        <w:spacing w:after="0"/>
        <w:jc w:val="both"/>
        <w:rPr>
          <w:iCs/>
        </w:rPr>
      </w:pPr>
      <w:r>
        <w:rPr>
          <w:iCs/>
        </w:rPr>
        <w:t xml:space="preserve">Realizacja wskaźnika </w:t>
      </w:r>
      <w:r w:rsidRPr="00CE21FB">
        <w:rPr>
          <w:i/>
          <w:iCs/>
        </w:rPr>
        <w:t>Liczba bezpośrednio</w:t>
      </w:r>
      <w:r>
        <w:rPr>
          <w:iCs/>
        </w:rPr>
        <w:t xml:space="preserve"> </w:t>
      </w:r>
      <w:r>
        <w:rPr>
          <w:i/>
          <w:iCs/>
        </w:rPr>
        <w:t>utworzonych nowych</w:t>
      </w:r>
      <w:r w:rsidRPr="00D3287B">
        <w:rPr>
          <w:i/>
          <w:iCs/>
        </w:rPr>
        <w:t xml:space="preserve"> miejsca pracy </w:t>
      </w:r>
      <w:r>
        <w:rPr>
          <w:i/>
          <w:iCs/>
        </w:rPr>
        <w:t xml:space="preserve">(EPC) </w:t>
      </w:r>
      <w:r>
        <w:rPr>
          <w:iCs/>
        </w:rPr>
        <w:t xml:space="preserve">w podziale na kobiety i mężczyzn w omawianym priorytecie wskazuje na większą liczbę utworzonych miejsc prac dla kobiet (75 dla mężczyzn, a dla kobiet 236 nowych etatów). </w:t>
      </w:r>
      <w:r w:rsidRPr="0003480C">
        <w:rPr>
          <w:rFonts w:eastAsia="Calibri"/>
          <w:szCs w:val="24"/>
        </w:rPr>
        <w:t>Równość szans kobiet i mężczyzn jest w</w:t>
      </w:r>
      <w:r>
        <w:rPr>
          <w:rFonts w:eastAsia="Calibri"/>
          <w:szCs w:val="24"/>
        </w:rPr>
        <w:t>ażnym</w:t>
      </w:r>
      <w:r w:rsidRPr="0003480C">
        <w:rPr>
          <w:rFonts w:eastAsia="Calibri"/>
          <w:szCs w:val="24"/>
        </w:rPr>
        <w:t xml:space="preserve"> elementem szerszej kwestii równości szans, której przestrzeganie stanowi jedn</w:t>
      </w:r>
      <w:r>
        <w:rPr>
          <w:rFonts w:eastAsia="Calibri"/>
          <w:szCs w:val="24"/>
        </w:rPr>
        <w:t>ą z </w:t>
      </w:r>
      <w:r w:rsidRPr="0003480C">
        <w:rPr>
          <w:rFonts w:eastAsia="Calibri"/>
          <w:szCs w:val="24"/>
        </w:rPr>
        <w:t>podstawowych zasad</w:t>
      </w:r>
      <w:r>
        <w:rPr>
          <w:rFonts w:eastAsia="Calibri"/>
          <w:szCs w:val="24"/>
        </w:rPr>
        <w:t xml:space="preserve"> RPO WSL. Przy programowaniu zostały założone podwskaźniki: miejsca pracy w podziale na płeć na równym poziomie, beneficjenci składając wnioski o dofinansowanie nie deklarują kogo zatrudnią, gdyż zostałaby zaburzona omawiana zasada, każdy ma mieć równy dostęp do zatrudnienia. Analizując omawiany wskaźnik w podziale na priorytety można zaobserwować, że w jednych zatrudnionych zostało więcej kobiet w innych mężczyzn. </w:t>
      </w:r>
      <w:r w:rsidRPr="00DE3312">
        <w:rPr>
          <w:iCs/>
        </w:rPr>
        <w:t>IZ RPO WSL przyjęła odpowiednie kryteria wyboru projektów do dofinansowania dot. polityk horyzontalnych (ok</w:t>
      </w:r>
      <w:r w:rsidRPr="00DE3312">
        <w:t>reślenie stopnia realizacji polityki równych szans, polityki ochrony środowiska, wpływ projektu na utworzenie nowych miejsc pracy</w:t>
      </w:r>
      <w:r>
        <w:t>). P</w:t>
      </w:r>
      <w:r w:rsidRPr="00DE3312">
        <w:t>rojekt mający pozytywny wpływ na realizacje poszczególnych polityk horyzontalnych otrzymuje dodatkowe punkty w trakcie przeprowadzanej oceny merytoryczno-technicznej, co</w:t>
      </w:r>
      <w:r>
        <w:t xml:space="preserve"> </w:t>
      </w:r>
      <w:r w:rsidRPr="00DE3312">
        <w:t>w</w:t>
      </w:r>
      <w:r>
        <w:t xml:space="preserve"> </w:t>
      </w:r>
      <w:r w:rsidRPr="00DE3312">
        <w:t>konsekwencji zwiększa jego szansę na otrzymanie dofinansowania</w:t>
      </w:r>
      <w:r>
        <w:t>.</w:t>
      </w:r>
    </w:p>
    <w:p w:rsidR="006E4456" w:rsidRPr="006D71C7" w:rsidRDefault="006E4456" w:rsidP="006D71C7">
      <w:pPr>
        <w:jc w:val="both"/>
      </w:pPr>
    </w:p>
    <w:p w:rsidR="00594DBA" w:rsidRPr="006D71C7" w:rsidRDefault="00594DBA" w:rsidP="006D71C7">
      <w:pPr>
        <w:jc w:val="both"/>
        <w:rPr>
          <w:i/>
        </w:rPr>
      </w:pPr>
      <w:r w:rsidRPr="006D71C7">
        <w:t xml:space="preserve">Szczegółowe informacje </w:t>
      </w:r>
      <w:r w:rsidR="00F27C64" w:rsidRPr="006D71C7">
        <w:t>dot. realizacji przedmiotowego p</w:t>
      </w:r>
      <w:r w:rsidRPr="006D71C7">
        <w:t xml:space="preserve">riorytetu zostały przedstawione </w:t>
      </w:r>
      <w:r w:rsidR="00F27C64" w:rsidRPr="006D71C7">
        <w:t>w </w:t>
      </w:r>
      <w:r w:rsidRPr="006D71C7">
        <w:t xml:space="preserve">pkt. 6 niniejszego </w:t>
      </w:r>
      <w:r w:rsidRPr="006D71C7">
        <w:rPr>
          <w:i/>
        </w:rPr>
        <w:t>Sprawozdania.</w:t>
      </w:r>
    </w:p>
    <w:p w:rsidR="00245F70" w:rsidRPr="006D71C7" w:rsidRDefault="0005410E" w:rsidP="00BA2FE7">
      <w:pPr>
        <w:pStyle w:val="Nagwek1"/>
        <w:numPr>
          <w:ilvl w:val="2"/>
          <w:numId w:val="100"/>
        </w:numPr>
        <w:tabs>
          <w:tab w:val="left" w:pos="567"/>
          <w:tab w:val="left" w:pos="709"/>
        </w:tabs>
        <w:spacing w:before="240" w:after="120"/>
        <w:jc w:val="both"/>
        <w:rPr>
          <w:bCs w:val="0"/>
          <w:szCs w:val="24"/>
        </w:rPr>
      </w:pPr>
      <w:bookmarkStart w:id="679" w:name="_Toc324853953"/>
      <w:bookmarkStart w:id="680" w:name="_Toc327259305"/>
      <w:r w:rsidRPr="006D71C7">
        <w:rPr>
          <w:bCs w:val="0"/>
          <w:szCs w:val="24"/>
        </w:rPr>
        <w:t>Opis istotnych problemów we wdrażaniu wraz z podjętymi środkami zaradczymi</w:t>
      </w:r>
      <w:bookmarkEnd w:id="676"/>
      <w:bookmarkEnd w:id="677"/>
      <w:bookmarkEnd w:id="678"/>
      <w:bookmarkEnd w:id="679"/>
      <w:bookmarkEnd w:id="680"/>
    </w:p>
    <w:p w:rsidR="00322FB5" w:rsidRPr="006D71C7" w:rsidRDefault="0005410E" w:rsidP="006D71C7">
      <w:pPr>
        <w:widowControl w:val="0"/>
        <w:autoSpaceDE w:val="0"/>
        <w:autoSpaceDN w:val="0"/>
        <w:adjustRightInd w:val="0"/>
        <w:spacing w:after="0"/>
        <w:jc w:val="both"/>
        <w:rPr>
          <w:szCs w:val="24"/>
        </w:rPr>
      </w:pPr>
      <w:r w:rsidRPr="006D71C7">
        <w:rPr>
          <w:szCs w:val="24"/>
        </w:rPr>
        <w:t>W okresie sprawozdawczym nie pojawiły się problemy z wdrażaniem przedmiotowego priorytetu.</w:t>
      </w:r>
      <w:r w:rsidR="00322FB5" w:rsidRPr="006D71C7">
        <w:rPr>
          <w:szCs w:val="24"/>
        </w:rPr>
        <w:t xml:space="preserve"> </w:t>
      </w:r>
    </w:p>
    <w:p w:rsidR="00245F70" w:rsidRPr="006D71C7" w:rsidRDefault="00A80D21" w:rsidP="00BA2FE7">
      <w:pPr>
        <w:pStyle w:val="Nagwek1"/>
        <w:numPr>
          <w:ilvl w:val="0"/>
          <w:numId w:val="100"/>
        </w:numPr>
        <w:tabs>
          <w:tab w:val="left" w:pos="426"/>
          <w:tab w:val="left" w:pos="709"/>
        </w:tabs>
        <w:spacing w:before="240" w:after="120"/>
        <w:ind w:hanging="458"/>
        <w:jc w:val="both"/>
        <w:rPr>
          <w:szCs w:val="24"/>
        </w:rPr>
      </w:pPr>
      <w:bookmarkStart w:id="681" w:name="_Toc327259306"/>
      <w:bookmarkStart w:id="682" w:name="_Toc262032010"/>
      <w:bookmarkStart w:id="683" w:name="_Toc292789347"/>
      <w:bookmarkStart w:id="684" w:name="_Toc292793649"/>
      <w:r w:rsidRPr="006D71C7">
        <w:rPr>
          <w:spacing w:val="-3"/>
          <w:szCs w:val="24"/>
        </w:rPr>
        <w:t xml:space="preserve">PROGRAMY WSPÓŁFINANSOWANE Z </w:t>
      </w:r>
      <w:r w:rsidR="0005410E" w:rsidRPr="006D71C7">
        <w:rPr>
          <w:spacing w:val="1"/>
          <w:szCs w:val="24"/>
        </w:rPr>
        <w:t>E</w:t>
      </w:r>
      <w:r w:rsidR="0005410E" w:rsidRPr="006D71C7">
        <w:rPr>
          <w:spacing w:val="-3"/>
          <w:szCs w:val="24"/>
        </w:rPr>
        <w:t>F</w:t>
      </w:r>
      <w:r w:rsidR="0005410E" w:rsidRPr="006D71C7">
        <w:rPr>
          <w:szCs w:val="24"/>
        </w:rPr>
        <w:t>S</w:t>
      </w:r>
      <w:r w:rsidR="0005410E" w:rsidRPr="006D71C7">
        <w:rPr>
          <w:spacing w:val="1"/>
          <w:szCs w:val="24"/>
        </w:rPr>
        <w:t xml:space="preserve"> </w:t>
      </w:r>
      <w:r w:rsidR="0005410E" w:rsidRPr="006D71C7">
        <w:rPr>
          <w:szCs w:val="24"/>
        </w:rPr>
        <w:t xml:space="preserve">– </w:t>
      </w:r>
      <w:r w:rsidRPr="006D71C7">
        <w:rPr>
          <w:szCs w:val="24"/>
        </w:rPr>
        <w:t>SPÓJNOŚĆ I KONCENTRACJA WSPARCIA</w:t>
      </w:r>
      <w:bookmarkEnd w:id="681"/>
      <w:r w:rsidRPr="006D71C7">
        <w:rPr>
          <w:szCs w:val="24"/>
        </w:rPr>
        <w:t xml:space="preserve"> </w:t>
      </w:r>
      <w:bookmarkEnd w:id="682"/>
      <w:bookmarkEnd w:id="683"/>
      <w:bookmarkEnd w:id="684"/>
    </w:p>
    <w:p w:rsidR="0005410E" w:rsidRPr="006D71C7" w:rsidRDefault="0005410E" w:rsidP="006D71C7">
      <w:pPr>
        <w:widowControl w:val="0"/>
        <w:autoSpaceDE w:val="0"/>
        <w:autoSpaceDN w:val="0"/>
        <w:adjustRightInd w:val="0"/>
        <w:spacing w:after="0"/>
        <w:ind w:left="118" w:right="86"/>
        <w:jc w:val="both"/>
        <w:rPr>
          <w:szCs w:val="24"/>
        </w:rPr>
      </w:pPr>
      <w:r w:rsidRPr="006D71C7">
        <w:rPr>
          <w:szCs w:val="24"/>
        </w:rPr>
        <w:t>Nie dotyczy</w:t>
      </w:r>
    </w:p>
    <w:p w:rsidR="00245F70" w:rsidRPr="006D71C7" w:rsidRDefault="007338BD" w:rsidP="00BA2FE7">
      <w:pPr>
        <w:pStyle w:val="Nagwek1"/>
        <w:numPr>
          <w:ilvl w:val="0"/>
          <w:numId w:val="100"/>
        </w:numPr>
        <w:tabs>
          <w:tab w:val="left" w:pos="426"/>
          <w:tab w:val="left" w:pos="709"/>
        </w:tabs>
        <w:spacing w:before="240" w:after="120"/>
        <w:ind w:hanging="458"/>
        <w:jc w:val="both"/>
        <w:rPr>
          <w:szCs w:val="24"/>
        </w:rPr>
      </w:pPr>
      <w:bookmarkStart w:id="685" w:name="_Toc262032011"/>
      <w:bookmarkStart w:id="686" w:name="_Toc292789348"/>
      <w:bookmarkStart w:id="687" w:name="_Toc292793650"/>
      <w:bookmarkStart w:id="688" w:name="_Toc327259307"/>
      <w:r w:rsidRPr="006D71C7">
        <w:rPr>
          <w:spacing w:val="-3"/>
          <w:szCs w:val="24"/>
        </w:rPr>
        <w:t>EFRR</w:t>
      </w:r>
      <w:r w:rsidR="0005410E" w:rsidRPr="006D71C7">
        <w:rPr>
          <w:spacing w:val="3"/>
          <w:szCs w:val="24"/>
        </w:rPr>
        <w:t>/</w:t>
      </w:r>
      <w:r w:rsidR="0005410E" w:rsidRPr="006D71C7">
        <w:rPr>
          <w:spacing w:val="-3"/>
          <w:szCs w:val="24"/>
        </w:rPr>
        <w:t>F</w:t>
      </w:r>
      <w:r w:rsidR="0005410E" w:rsidRPr="006D71C7">
        <w:rPr>
          <w:szCs w:val="24"/>
        </w:rPr>
        <w:t xml:space="preserve">S – </w:t>
      </w:r>
      <w:bookmarkEnd w:id="685"/>
      <w:bookmarkEnd w:id="686"/>
      <w:bookmarkEnd w:id="687"/>
      <w:r w:rsidR="00A80D21" w:rsidRPr="006D71C7">
        <w:rPr>
          <w:szCs w:val="24"/>
        </w:rPr>
        <w:t>DUŻE PROJEKTY</w:t>
      </w:r>
      <w:bookmarkEnd w:id="688"/>
    </w:p>
    <w:p w:rsidR="00E50A67" w:rsidRPr="006D71C7" w:rsidRDefault="005A1F9A" w:rsidP="006D71C7">
      <w:pPr>
        <w:pStyle w:val="Tekstpodstawowy2"/>
        <w:spacing w:before="120" w:after="120" w:line="276" w:lineRule="auto"/>
        <w:jc w:val="both"/>
        <w:rPr>
          <w:szCs w:val="24"/>
        </w:rPr>
      </w:pPr>
      <w:r w:rsidRPr="006D71C7">
        <w:rPr>
          <w:szCs w:val="24"/>
        </w:rPr>
        <w:t xml:space="preserve">W ramach </w:t>
      </w:r>
      <w:r w:rsidRPr="006D71C7">
        <w:rPr>
          <w:i/>
          <w:szCs w:val="24"/>
        </w:rPr>
        <w:t>Regionalnego Programu Operacyjnego Województwa Śląskiego na lata 2007-2013</w:t>
      </w:r>
      <w:r w:rsidRPr="006D71C7">
        <w:rPr>
          <w:szCs w:val="24"/>
        </w:rPr>
        <w:t xml:space="preserve"> realizowane są cztery duże projekty w ramach dwóch priorytetów. </w:t>
      </w:r>
    </w:p>
    <w:p w:rsidR="00302693" w:rsidRPr="006D71C7" w:rsidRDefault="00002840" w:rsidP="006D71C7">
      <w:pPr>
        <w:pStyle w:val="Tekstpodstawowy2"/>
        <w:spacing w:before="120" w:after="120" w:line="276" w:lineRule="auto"/>
        <w:jc w:val="both"/>
        <w:rPr>
          <w:szCs w:val="24"/>
        </w:rPr>
      </w:pPr>
      <w:r>
        <w:rPr>
          <w:b/>
          <w:i/>
          <w:szCs w:val="24"/>
        </w:rPr>
        <mc:AlternateContent>
          <mc:Choice Requires="wps">
            <w:drawing>
              <wp:anchor distT="0" distB="0" distL="114300" distR="114300" simplePos="0" relativeHeight="251737600" behindDoc="0" locked="0" layoutInCell="1" allowOverlap="1">
                <wp:simplePos x="0" y="0"/>
                <wp:positionH relativeFrom="column">
                  <wp:posOffset>-70485</wp:posOffset>
                </wp:positionH>
                <wp:positionV relativeFrom="paragraph">
                  <wp:posOffset>5080</wp:posOffset>
                </wp:positionV>
                <wp:extent cx="4401820" cy="425450"/>
                <wp:effectExtent l="24765" t="24130" r="21590" b="17145"/>
                <wp:wrapNone/>
                <wp:docPr id="1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1820" cy="42545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91" w:rsidRPr="00680631" w:rsidRDefault="001B5A91" w:rsidP="00302693">
                            <w:pPr>
                              <w:pStyle w:val="Tekstpodstawowy2"/>
                              <w:spacing w:before="120" w:line="276" w:lineRule="auto"/>
                              <w:jc w:val="both"/>
                              <w:rPr>
                                <w:szCs w:val="24"/>
                              </w:rPr>
                            </w:pPr>
                            <w:r w:rsidRPr="008A50F7">
                              <w:rPr>
                                <w:b/>
                                <w:i/>
                                <w:szCs w:val="24"/>
                              </w:rPr>
                              <w:t>Budowa nowoczesnej hali widowiskowo-sportowej Podium</w:t>
                            </w:r>
                          </w:p>
                          <w:p w:rsidR="001B5A91" w:rsidRDefault="001B5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5.55pt;margin-top:.4pt;width:346.6pt;height:3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" fillcolor="white [3201]" strokecolor="#d34817 [3204]" strokeweight="2.5pt">
                <v:shadow color="#868686"/>
                <v:textbox>
                  <w:txbxContent>
                    <w:p w:rsidR="001B5A91" w:rsidRPr="00680631" w:rsidRDefault="001B5A91" w:rsidP="00302693">
                      <w:pPr>
                        <w:pStyle w:val="Tekstpodstawowy2"/>
                        <w:spacing w:before="120" w:line="276" w:lineRule="auto"/>
                        <w:jc w:val="both"/>
                        <w:rPr>
                          <w:szCs w:val="24"/>
                        </w:rPr>
                      </w:pPr>
                      <w:r w:rsidRPr="008A50F7">
                        <w:rPr>
                          <w:b/>
                          <w:i/>
                          <w:szCs w:val="24"/>
                        </w:rPr>
                        <w:t>Budowa nowoczesnej hali widowiskowo-sportowej Podium</w:t>
                      </w:r>
                    </w:p>
                    <w:p w:rsidR="001B5A91" w:rsidRDefault="001B5A91"/>
                  </w:txbxContent>
                </v:textbox>
              </v:roundrect>
            </w:pict>
          </mc:Fallback>
        </mc:AlternateContent>
      </w:r>
    </w:p>
    <w:p w:rsidR="00302693" w:rsidRPr="006D71C7" w:rsidRDefault="00302693" w:rsidP="006D71C7">
      <w:pPr>
        <w:pStyle w:val="Tekstpodstawowy2"/>
        <w:spacing w:before="120" w:after="120" w:line="276" w:lineRule="auto"/>
        <w:jc w:val="both"/>
        <w:rPr>
          <w:b/>
          <w:i/>
          <w:szCs w:val="24"/>
        </w:rPr>
      </w:pPr>
    </w:p>
    <w:p w:rsidR="00302693" w:rsidRPr="006D71C7" w:rsidRDefault="00302693" w:rsidP="006D71C7">
      <w:pPr>
        <w:pStyle w:val="NormalnyWeb"/>
        <w:shd w:val="clear" w:color="auto" w:fill="FFFFFF"/>
        <w:spacing w:after="0"/>
        <w:jc w:val="both"/>
        <w:rPr>
          <w:rFonts w:ascii="Arial" w:hAnsi="Arial" w:cs="Arial"/>
          <w:sz w:val="20"/>
          <w:szCs w:val="20"/>
        </w:rPr>
      </w:pPr>
      <w:r w:rsidRPr="006D71C7">
        <w:rPr>
          <w:b/>
        </w:rPr>
        <w:t xml:space="preserve">Beneficjent: </w:t>
      </w:r>
      <w:r w:rsidRPr="006D71C7">
        <w:t>Miasto Gliwice</w:t>
      </w:r>
    </w:p>
    <w:p w:rsidR="00302693" w:rsidRPr="006D71C7" w:rsidRDefault="00302693" w:rsidP="006D71C7">
      <w:pPr>
        <w:spacing w:after="0"/>
        <w:jc w:val="both"/>
        <w:outlineLvl w:val="1"/>
        <w:rPr>
          <w:b/>
        </w:rPr>
      </w:pPr>
      <w:bookmarkStart w:id="689" w:name="_Toc324786895"/>
      <w:bookmarkStart w:id="690" w:name="_Toc324853956"/>
      <w:bookmarkStart w:id="691" w:name="_Toc327259308"/>
      <w:r w:rsidRPr="006D71C7">
        <w:rPr>
          <w:b/>
        </w:rPr>
        <w:t>Priorytet/działanie:</w:t>
      </w:r>
      <w:r w:rsidRPr="006D71C7">
        <w:rPr>
          <w:i/>
          <w:szCs w:val="24"/>
        </w:rPr>
        <w:t xml:space="preserve"> </w:t>
      </w:r>
      <w:r w:rsidR="00B67293" w:rsidRPr="006D71C7">
        <w:rPr>
          <w:szCs w:val="24"/>
        </w:rPr>
        <w:t xml:space="preserve">VI </w:t>
      </w:r>
      <w:r w:rsidR="00B67293" w:rsidRPr="006D71C7">
        <w:rPr>
          <w:i/>
          <w:szCs w:val="24"/>
        </w:rPr>
        <w:t>Zrównoważony rozwój miast</w:t>
      </w:r>
      <w:r w:rsidR="00B67293" w:rsidRPr="006D71C7">
        <w:rPr>
          <w:szCs w:val="24"/>
        </w:rPr>
        <w:t>/ 6.</w:t>
      </w:r>
      <w:r w:rsidRPr="006D71C7">
        <w:rPr>
          <w:szCs w:val="24"/>
        </w:rPr>
        <w:t xml:space="preserve">1 </w:t>
      </w:r>
      <w:r w:rsidRPr="006D71C7">
        <w:rPr>
          <w:i/>
          <w:szCs w:val="24"/>
        </w:rPr>
        <w:t>Wzmacnianie regionalnych ośrodków wzrostu</w:t>
      </w:r>
      <w:bookmarkEnd w:id="689"/>
      <w:bookmarkEnd w:id="690"/>
      <w:bookmarkEnd w:id="691"/>
    </w:p>
    <w:p w:rsidR="00302693" w:rsidRPr="006D71C7" w:rsidRDefault="00463A8F" w:rsidP="006D71C7">
      <w:pPr>
        <w:spacing w:after="0"/>
        <w:jc w:val="both"/>
        <w:outlineLvl w:val="1"/>
      </w:pPr>
      <w:r w:rsidRPr="006D71C7">
        <w:rPr>
          <w:b/>
          <w:noProof/>
        </w:rPr>
        <w:drawing>
          <wp:anchor distT="0" distB="0" distL="114300" distR="114300" simplePos="0" relativeHeight="251736576" behindDoc="1" locked="0" layoutInCell="1" allowOverlap="1">
            <wp:simplePos x="0" y="0"/>
            <wp:positionH relativeFrom="column">
              <wp:posOffset>-127000</wp:posOffset>
            </wp:positionH>
            <wp:positionV relativeFrom="paragraph">
              <wp:posOffset>-518160</wp:posOffset>
            </wp:positionV>
            <wp:extent cx="3326130" cy="2562225"/>
            <wp:effectExtent l="19050" t="0" r="7620" b="0"/>
            <wp:wrapTight wrapText="bothSides">
              <wp:wrapPolygon edited="0">
                <wp:start x="-124" y="0"/>
                <wp:lineTo x="-124" y="21520"/>
                <wp:lineTo x="21649" y="21520"/>
                <wp:lineTo x="21649" y="0"/>
                <wp:lineTo x="-124" y="0"/>
              </wp:wrapPolygon>
            </wp:wrapTight>
            <wp:docPr id="9" name="Obraz 1" descr="http://gliwice.eu/sites/default/files/imce/podium_wizualizac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iwice.eu/sites/default/files/imce/podium_wizualizacja1.jpg"/>
                    <pic:cNvPicPr>
                      <a:picLocks noChangeAspect="1" noChangeArrowheads="1"/>
                    </pic:cNvPicPr>
                  </pic:nvPicPr>
                  <pic:blipFill>
                    <a:blip r:embed="rId145" cstate="print"/>
                    <a:srcRect/>
                    <a:stretch>
                      <a:fillRect/>
                    </a:stretch>
                  </pic:blipFill>
                  <pic:spPr bwMode="auto">
                    <a:xfrm>
                      <a:off x="0" y="0"/>
                      <a:ext cx="3326130" cy="2562225"/>
                    </a:xfrm>
                    <a:prstGeom prst="rect">
                      <a:avLst/>
                    </a:prstGeom>
                    <a:noFill/>
                    <a:ln w="9525">
                      <a:noFill/>
                      <a:miter lim="800000"/>
                      <a:headEnd/>
                      <a:tailEnd/>
                    </a:ln>
                  </pic:spPr>
                </pic:pic>
              </a:graphicData>
            </a:graphic>
          </wp:anchor>
        </w:drawing>
      </w:r>
      <w:bookmarkStart w:id="692" w:name="_Toc324786896"/>
      <w:bookmarkStart w:id="693" w:name="_Toc324853957"/>
      <w:bookmarkStart w:id="694" w:name="_Toc327259309"/>
      <w:r w:rsidR="00302693" w:rsidRPr="006D71C7">
        <w:rPr>
          <w:b/>
        </w:rPr>
        <w:t>Całkowita wartość projektu:</w:t>
      </w:r>
      <w:r w:rsidR="00302693" w:rsidRPr="006D71C7">
        <w:t xml:space="preserve"> </w:t>
      </w:r>
      <w:r w:rsidR="009A1C83" w:rsidRPr="006D71C7">
        <w:t>80,63</w:t>
      </w:r>
      <w:r w:rsidR="00302693" w:rsidRPr="006D71C7">
        <w:t xml:space="preserve"> mln EUR.</w:t>
      </w:r>
      <w:bookmarkEnd w:id="692"/>
      <w:bookmarkEnd w:id="693"/>
      <w:bookmarkEnd w:id="694"/>
    </w:p>
    <w:p w:rsidR="00302693" w:rsidRPr="006D71C7" w:rsidRDefault="00302693" w:rsidP="006D71C7">
      <w:pPr>
        <w:spacing w:after="0"/>
        <w:jc w:val="both"/>
        <w:outlineLvl w:val="1"/>
      </w:pPr>
      <w:bookmarkStart w:id="695" w:name="_Toc324786897"/>
      <w:bookmarkStart w:id="696" w:name="_Toc324853958"/>
      <w:bookmarkStart w:id="697" w:name="_Toc327259310"/>
      <w:r w:rsidRPr="006D71C7">
        <w:rPr>
          <w:b/>
        </w:rPr>
        <w:t xml:space="preserve">Kwota dofinansowania: </w:t>
      </w:r>
      <w:r w:rsidR="009A1C83" w:rsidRPr="006D71C7">
        <w:t>31,27</w:t>
      </w:r>
      <w:r w:rsidRPr="006D71C7">
        <w:t xml:space="preserve"> mln EUR.</w:t>
      </w:r>
      <w:bookmarkEnd w:id="695"/>
      <w:bookmarkEnd w:id="696"/>
      <w:bookmarkEnd w:id="697"/>
      <w:r w:rsidRPr="006D71C7">
        <w:t xml:space="preserve"> </w:t>
      </w:r>
    </w:p>
    <w:p w:rsidR="00046879" w:rsidRPr="006D71C7" w:rsidRDefault="00046879" w:rsidP="006D71C7">
      <w:pPr>
        <w:spacing w:after="0"/>
        <w:jc w:val="both"/>
        <w:outlineLvl w:val="1"/>
        <w:rPr>
          <w:b/>
        </w:rPr>
      </w:pPr>
      <w:bookmarkStart w:id="698" w:name="_Toc324786898"/>
      <w:bookmarkStart w:id="699" w:name="_Toc324853959"/>
      <w:bookmarkStart w:id="700" w:name="_Toc327259311"/>
      <w:r w:rsidRPr="006D71C7">
        <w:rPr>
          <w:b/>
        </w:rPr>
        <w:t xml:space="preserve">Przewidywany okres realizacji: </w:t>
      </w:r>
      <w:r w:rsidRPr="006D71C7">
        <w:t>2008-2013</w:t>
      </w:r>
      <w:bookmarkEnd w:id="698"/>
      <w:bookmarkEnd w:id="699"/>
      <w:bookmarkEnd w:id="700"/>
    </w:p>
    <w:p w:rsidR="00245F70" w:rsidRPr="006D71C7" w:rsidRDefault="00302693" w:rsidP="006D71C7">
      <w:pPr>
        <w:pStyle w:val="NormalnyWeb"/>
        <w:shd w:val="clear" w:color="auto" w:fill="FFFFFF"/>
        <w:jc w:val="both"/>
      </w:pPr>
      <w:r w:rsidRPr="006D71C7">
        <w:rPr>
          <w:b/>
        </w:rPr>
        <w:t>Opis projektu</w:t>
      </w:r>
      <w:r w:rsidRPr="006D71C7">
        <w:t xml:space="preserve">: </w:t>
      </w:r>
      <w:r w:rsidR="00EA3D68" w:rsidRPr="006D71C7">
        <w:t>Przedmiotem projektu jest budowa nowoczesnej wielofunkcyjnej hali widowiskowo – sportowej, z areną główną przystosowaną do przyjęcia ok. 16 tyś widzów i areną treningową dla max 3018 widzów. Podium ma powstać w Gliwicach między ulicami Akademicką i Kujawską. Lokalizacja inwestycji w tym właśnie miejscu jest ukłonem w stronę sportowych tradycji dzielnicy, gdyż zastąpi istniejący od lat dwudziestych ubiegłego wieku, obecnie jednak nieużytkowany, zdewastowany stadion XX</w:t>
      </w:r>
      <w:r w:rsidR="002B474E" w:rsidRPr="006D71C7">
        <w:t xml:space="preserve"> </w:t>
      </w:r>
      <w:r w:rsidR="00EA3D68" w:rsidRPr="006D71C7">
        <w:t>-</w:t>
      </w:r>
      <w:r w:rsidR="002B474E" w:rsidRPr="006D71C7">
        <w:t xml:space="preserve"> </w:t>
      </w:r>
      <w:r w:rsidR="00EA3D68" w:rsidRPr="006D71C7">
        <w:t>lecia.</w:t>
      </w:r>
      <w:r w:rsidR="009A1C83" w:rsidRPr="006D71C7">
        <w:t xml:space="preserve"> Obiekt będzie spełniał funkcje sportowe i widowiskowo –</w:t>
      </w:r>
      <w:r w:rsidR="002B474E" w:rsidRPr="006D71C7">
        <w:t xml:space="preserve"> </w:t>
      </w:r>
      <w:r w:rsidR="009A1C83" w:rsidRPr="006D71C7">
        <w:t>estradowe, wystawienniczo – ekspozycyjn</w:t>
      </w:r>
      <w:r w:rsidR="00FE0245" w:rsidRPr="006D71C7">
        <w:t>e</w:t>
      </w:r>
      <w:r w:rsidR="009A1C83" w:rsidRPr="006D71C7">
        <w:t xml:space="preserve"> i targowe oraz rekreacyjne ogólnodostępne. </w:t>
      </w:r>
      <w:r w:rsidR="00EA3D68" w:rsidRPr="006D71C7">
        <w:t>Projekt obejmuje również przygotowanie terenu wokół hali: budowę parkingów podziemnych i naziemnych, zagospodarowanie zieleni, oświetlenie. Obiekt będzie w pełni przystosowany dla osób niepełnosprawnych.</w:t>
      </w:r>
      <w:r w:rsidR="009A1C83" w:rsidRPr="006D71C7">
        <w:t xml:space="preserve"> </w:t>
      </w:r>
      <w:r w:rsidR="00EA3D68" w:rsidRPr="006D71C7">
        <w:t xml:space="preserve">Hala będzie w przyszłości służyć nie tylko gliwiczanom. Wyjątkowo korzystna lokalizacja Gliwic na skrzyżowaniu autostrad sprawia, że szybko </w:t>
      </w:r>
      <w:r w:rsidR="009A1C83" w:rsidRPr="006D71C7">
        <w:t>i </w:t>
      </w:r>
      <w:r w:rsidR="00EA3D68" w:rsidRPr="006D71C7">
        <w:t xml:space="preserve">wygodnie będą mogli do hali dotrzeć mieszkańcy także spoza Śląska. </w:t>
      </w:r>
    </w:p>
    <w:p w:rsidR="00245F70" w:rsidRPr="006D71C7" w:rsidRDefault="00EE57E9" w:rsidP="006D71C7">
      <w:pPr>
        <w:pStyle w:val="Tekstpodstawowy2"/>
        <w:spacing w:after="120" w:line="276" w:lineRule="auto"/>
        <w:jc w:val="both"/>
        <w:rPr>
          <w:b/>
          <w:szCs w:val="24"/>
        </w:rPr>
      </w:pPr>
      <w:r w:rsidRPr="006D71C7">
        <w:rPr>
          <w:b/>
          <w:szCs w:val="24"/>
        </w:rPr>
        <w:t>Zaawansowanie prac</w:t>
      </w:r>
      <w:r w:rsidR="009A1C83" w:rsidRPr="006D71C7">
        <w:rPr>
          <w:b/>
          <w:szCs w:val="24"/>
        </w:rPr>
        <w:t>:</w:t>
      </w:r>
    </w:p>
    <w:p w:rsidR="00EE57E9" w:rsidRPr="006D71C7" w:rsidRDefault="005A1F9A" w:rsidP="00BA2FE7">
      <w:pPr>
        <w:pStyle w:val="Tekstpodstawowy2"/>
        <w:numPr>
          <w:ilvl w:val="0"/>
          <w:numId w:val="51"/>
        </w:numPr>
        <w:spacing w:line="276" w:lineRule="auto"/>
        <w:ind w:left="709"/>
        <w:jc w:val="both"/>
        <w:rPr>
          <w:szCs w:val="24"/>
        </w:rPr>
      </w:pPr>
      <w:r w:rsidRPr="006D71C7">
        <w:rPr>
          <w:szCs w:val="24"/>
        </w:rPr>
        <w:t>22 września 2010r. projekt został przekazany do </w:t>
      </w:r>
      <w:r w:rsidR="002B474E" w:rsidRPr="006D71C7">
        <w:rPr>
          <w:szCs w:val="24"/>
        </w:rPr>
        <w:t>KE</w:t>
      </w:r>
      <w:r w:rsidR="00EE57E9" w:rsidRPr="006D71C7">
        <w:rPr>
          <w:szCs w:val="24"/>
        </w:rPr>
        <w:t>,</w:t>
      </w:r>
      <w:r w:rsidRPr="006D71C7">
        <w:rPr>
          <w:szCs w:val="24"/>
        </w:rPr>
        <w:t xml:space="preserve"> </w:t>
      </w:r>
    </w:p>
    <w:p w:rsidR="000C7DE0" w:rsidRPr="006D71C7" w:rsidRDefault="005A1F9A" w:rsidP="00BA2FE7">
      <w:pPr>
        <w:pStyle w:val="Tekstpodstawowy2"/>
        <w:numPr>
          <w:ilvl w:val="0"/>
          <w:numId w:val="51"/>
        </w:numPr>
        <w:spacing w:line="276" w:lineRule="auto"/>
        <w:ind w:left="709"/>
        <w:jc w:val="both"/>
        <w:rPr>
          <w:szCs w:val="24"/>
        </w:rPr>
      </w:pPr>
      <w:r w:rsidRPr="006D71C7">
        <w:rPr>
          <w:szCs w:val="24"/>
        </w:rPr>
        <w:t xml:space="preserve">30 września 2010r. </w:t>
      </w:r>
      <w:r w:rsidR="009A1C83" w:rsidRPr="006D71C7">
        <w:rPr>
          <w:szCs w:val="24"/>
        </w:rPr>
        <w:t>IZ RPO WSL podpisała z beneficjentem</w:t>
      </w:r>
      <w:r w:rsidRPr="006D71C7">
        <w:rPr>
          <w:szCs w:val="24"/>
        </w:rPr>
        <w:t xml:space="preserve"> warunkową umowę o </w:t>
      </w:r>
      <w:r w:rsidR="00EE57E9" w:rsidRPr="006D71C7">
        <w:rPr>
          <w:szCs w:val="24"/>
        </w:rPr>
        <w:t>dofinansowanie</w:t>
      </w:r>
      <w:r w:rsidR="009A1C83" w:rsidRPr="006D71C7">
        <w:rPr>
          <w:szCs w:val="24"/>
        </w:rPr>
        <w:t xml:space="preserve"> </w:t>
      </w:r>
      <w:r w:rsidR="00EE57E9" w:rsidRPr="006D71C7">
        <w:rPr>
          <w:szCs w:val="24"/>
        </w:rPr>
        <w:t>(</w:t>
      </w:r>
      <w:r w:rsidR="009A1C83" w:rsidRPr="006D71C7">
        <w:rPr>
          <w:szCs w:val="24"/>
        </w:rPr>
        <w:t>w</w:t>
      </w:r>
      <w:r w:rsidRPr="006D71C7">
        <w:rPr>
          <w:szCs w:val="24"/>
        </w:rPr>
        <w:t xml:space="preserve"> przypadku nie uzyskania akcepta</w:t>
      </w:r>
      <w:r w:rsidR="009A1C83" w:rsidRPr="006D71C7">
        <w:rPr>
          <w:szCs w:val="24"/>
        </w:rPr>
        <w:t>cji ze strony KE na </w:t>
      </w:r>
      <w:r w:rsidRPr="006D71C7">
        <w:rPr>
          <w:szCs w:val="24"/>
        </w:rPr>
        <w:t>realizację inwestycji ze środków unijnych umowa ulega natychmiastowemu rozwiązaniu</w:t>
      </w:r>
      <w:r w:rsidR="00EE57E9" w:rsidRPr="006D71C7">
        <w:rPr>
          <w:szCs w:val="24"/>
        </w:rPr>
        <w:t>),</w:t>
      </w:r>
      <w:r w:rsidRPr="006D71C7">
        <w:rPr>
          <w:szCs w:val="24"/>
        </w:rPr>
        <w:t xml:space="preserve"> </w:t>
      </w:r>
    </w:p>
    <w:p w:rsidR="000C7DE0" w:rsidRPr="006D71C7" w:rsidRDefault="000C7DE0" w:rsidP="00BA2FE7">
      <w:pPr>
        <w:pStyle w:val="Tekstpodstawowy2"/>
        <w:numPr>
          <w:ilvl w:val="0"/>
          <w:numId w:val="51"/>
        </w:numPr>
        <w:spacing w:line="276" w:lineRule="auto"/>
        <w:ind w:left="709"/>
        <w:jc w:val="both"/>
        <w:rPr>
          <w:szCs w:val="24"/>
        </w:rPr>
      </w:pPr>
      <w:r w:rsidRPr="006D71C7">
        <w:rPr>
          <w:szCs w:val="24"/>
        </w:rPr>
        <w:t>w</w:t>
      </w:r>
      <w:r w:rsidR="005A1F9A" w:rsidRPr="006D71C7">
        <w:rPr>
          <w:szCs w:val="24"/>
        </w:rPr>
        <w:t xml:space="preserve"> ramach projektu zostały wykonane projekty budowlane i wykonawcze, studium wykonalności, został przygotowany </w:t>
      </w:r>
      <w:r w:rsidRPr="006D71C7">
        <w:rPr>
          <w:szCs w:val="24"/>
        </w:rPr>
        <w:t>grunt pod realizację inwestycji,</w:t>
      </w:r>
    </w:p>
    <w:p w:rsidR="000C7DE0" w:rsidRPr="006D71C7" w:rsidRDefault="000C7DE0" w:rsidP="00BA2FE7">
      <w:pPr>
        <w:pStyle w:val="Tekstpodstawowy2"/>
        <w:numPr>
          <w:ilvl w:val="0"/>
          <w:numId w:val="51"/>
        </w:numPr>
        <w:spacing w:line="276" w:lineRule="auto"/>
        <w:ind w:left="709"/>
        <w:jc w:val="both"/>
        <w:rPr>
          <w:szCs w:val="24"/>
        </w:rPr>
      </w:pPr>
      <w:r w:rsidRPr="006D71C7">
        <w:rPr>
          <w:szCs w:val="24"/>
        </w:rPr>
        <w:t>kwiecień</w:t>
      </w:r>
      <w:r w:rsidR="005A1F9A" w:rsidRPr="006D71C7">
        <w:rPr>
          <w:szCs w:val="24"/>
        </w:rPr>
        <w:t xml:space="preserve"> 2010r. podpisano umowę na pełnienie funkcji inżynie</w:t>
      </w:r>
      <w:r w:rsidRPr="006D71C7">
        <w:rPr>
          <w:szCs w:val="24"/>
        </w:rPr>
        <w:t>ra kontraktu,</w:t>
      </w:r>
    </w:p>
    <w:p w:rsidR="000C7DE0" w:rsidRPr="006D71C7" w:rsidRDefault="000C7DE0" w:rsidP="00BA2FE7">
      <w:pPr>
        <w:pStyle w:val="Tekstpodstawowy2"/>
        <w:numPr>
          <w:ilvl w:val="0"/>
          <w:numId w:val="51"/>
        </w:numPr>
        <w:spacing w:line="276" w:lineRule="auto"/>
        <w:ind w:left="709"/>
        <w:jc w:val="both"/>
        <w:rPr>
          <w:szCs w:val="24"/>
        </w:rPr>
      </w:pPr>
      <w:r w:rsidRPr="006D71C7">
        <w:rPr>
          <w:szCs w:val="24"/>
        </w:rPr>
        <w:t>styczeń 2011r. ogłoszenie p</w:t>
      </w:r>
      <w:r w:rsidR="005A1F9A" w:rsidRPr="006D71C7">
        <w:rPr>
          <w:szCs w:val="24"/>
        </w:rPr>
        <w:t>rzetarg</w:t>
      </w:r>
      <w:r w:rsidRPr="006D71C7">
        <w:rPr>
          <w:szCs w:val="24"/>
        </w:rPr>
        <w:t>u</w:t>
      </w:r>
      <w:r w:rsidR="005A1F9A" w:rsidRPr="006D71C7">
        <w:rPr>
          <w:szCs w:val="24"/>
        </w:rPr>
        <w:t xml:space="preserve"> na głównego wykonawcę robót budowlanych, postępowanie zostało oprotestowane w wyniku czego sprawa trafiła do Krajowej Izby odwoławczej (KIO). Wy</w:t>
      </w:r>
      <w:r w:rsidR="009A1C83" w:rsidRPr="006D71C7">
        <w:rPr>
          <w:szCs w:val="24"/>
        </w:rPr>
        <w:t>rok został ogłoszony 11 </w:t>
      </w:r>
      <w:r w:rsidR="005A1F9A" w:rsidRPr="006D71C7">
        <w:rPr>
          <w:szCs w:val="24"/>
        </w:rPr>
        <w:t>sierpnia 2011r., zgodnie z którym unieważniono wybór najkorzystniejszej ofert</w:t>
      </w:r>
      <w:r w:rsidRPr="006D71C7">
        <w:rPr>
          <w:szCs w:val="24"/>
        </w:rPr>
        <w:t>y i dokonano ponownej oceny. We </w:t>
      </w:r>
      <w:r w:rsidR="005A1F9A" w:rsidRPr="006D71C7">
        <w:rPr>
          <w:szCs w:val="24"/>
        </w:rPr>
        <w:t>wrześniu 2011 r. ogłoszono wyniki wyboru. Wobec braku odwołań postępowanie wysłano do Prezesa Urzędu Zamówień Publicznych w celu przeprowadzenia obowiązkowej kontroli uprzedniej. Informacja o wyni</w:t>
      </w:r>
      <w:r w:rsidRPr="006D71C7">
        <w:rPr>
          <w:szCs w:val="24"/>
        </w:rPr>
        <w:t>ku kontroli uprzedniej z dnia 6 </w:t>
      </w:r>
      <w:r w:rsidR="005A1F9A" w:rsidRPr="006D71C7">
        <w:rPr>
          <w:szCs w:val="24"/>
        </w:rPr>
        <w:t>grudnia 2011r. potwierdziła prawidłowoś</w:t>
      </w:r>
      <w:r w:rsidRPr="006D71C7">
        <w:rPr>
          <w:szCs w:val="24"/>
        </w:rPr>
        <w:t>ć przeprowadzenia postępowania.</w:t>
      </w:r>
    </w:p>
    <w:p w:rsidR="00E50A67" w:rsidRPr="006D71C7" w:rsidRDefault="005A1F9A" w:rsidP="006D71C7">
      <w:pPr>
        <w:pStyle w:val="Tekstpodstawowy2"/>
        <w:spacing w:line="276" w:lineRule="auto"/>
        <w:jc w:val="both"/>
        <w:rPr>
          <w:szCs w:val="24"/>
        </w:rPr>
      </w:pPr>
      <w:r w:rsidRPr="006D71C7">
        <w:rPr>
          <w:szCs w:val="24"/>
        </w:rPr>
        <w:t>Na chwilę obecną rozlic</w:t>
      </w:r>
      <w:r w:rsidR="00B67293" w:rsidRPr="006D71C7">
        <w:rPr>
          <w:szCs w:val="24"/>
        </w:rPr>
        <w:t>zono 2,2</w:t>
      </w:r>
      <w:r w:rsidRPr="006D71C7">
        <w:rPr>
          <w:szCs w:val="24"/>
        </w:rPr>
        <w:t>% kosztów projektu co daje kwotę 686 919,75 EUR.</w:t>
      </w:r>
    </w:p>
    <w:p w:rsidR="00CC230E" w:rsidRPr="006D71C7" w:rsidRDefault="00CC230E" w:rsidP="006D71C7">
      <w:pPr>
        <w:pStyle w:val="Tekstpodstawowy2"/>
        <w:spacing w:line="276" w:lineRule="auto"/>
        <w:jc w:val="both"/>
        <w:rPr>
          <w:szCs w:val="24"/>
        </w:rPr>
      </w:pPr>
    </w:p>
    <w:p w:rsidR="005A1F9A" w:rsidRPr="006D71C7" w:rsidRDefault="00002840" w:rsidP="006D71C7">
      <w:pPr>
        <w:pStyle w:val="Tekstpodstawowy2"/>
        <w:tabs>
          <w:tab w:val="left" w:pos="284"/>
        </w:tabs>
        <w:spacing w:before="120" w:after="120" w:line="276" w:lineRule="auto"/>
        <w:jc w:val="both"/>
        <w:rPr>
          <w:szCs w:val="24"/>
        </w:rPr>
      </w:pPr>
      <w:r>
        <w:rPr>
          <w:szCs w:val="24"/>
        </w:rPr>
        <mc:AlternateContent>
          <mc:Choice Requires="wps">
            <w:drawing>
              <wp:anchor distT="0" distB="0" distL="114300" distR="114300" simplePos="0" relativeHeight="251739648" behindDoc="0" locked="0" layoutInCell="1" allowOverlap="1">
                <wp:simplePos x="0" y="0"/>
                <wp:positionH relativeFrom="column">
                  <wp:posOffset>-6350</wp:posOffset>
                </wp:positionH>
                <wp:positionV relativeFrom="paragraph">
                  <wp:posOffset>15875</wp:posOffset>
                </wp:positionV>
                <wp:extent cx="4933315" cy="350520"/>
                <wp:effectExtent l="22225" t="15875" r="16510" b="24130"/>
                <wp:wrapNone/>
                <wp:docPr id="1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315" cy="35052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91" w:rsidRDefault="001B5A91">
                            <w:r w:rsidRPr="00DF729A">
                              <w:rPr>
                                <w:b/>
                                <w:i/>
                                <w:szCs w:val="24"/>
                              </w:rPr>
                              <w:t>Budowa nowej siedziby Muzeum Śląskiego w Katowicach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5pt;margin-top:1.25pt;width:388.45pt;height:27.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" fillcolor="white [3201]" strokecolor="#d34817 [3204]" strokeweight="2.5pt">
                <v:shadow color="#868686"/>
                <v:textbox>
                  <w:txbxContent>
                    <w:p w:rsidR="001B5A91" w:rsidRDefault="001B5A91">
                      <w:r w:rsidRPr="00DF729A">
                        <w:rPr>
                          <w:b/>
                          <w:i/>
                          <w:szCs w:val="24"/>
                        </w:rPr>
                        <w:t>Budowa nowej siedziby Muzeum Śląskiego w Katowicach</w:t>
                      </w:r>
                    </w:p>
                  </w:txbxContent>
                </v:textbox>
              </v:roundrect>
            </w:pict>
          </mc:Fallback>
        </mc:AlternateContent>
      </w:r>
    </w:p>
    <w:p w:rsidR="00F27338" w:rsidRPr="006D71C7" w:rsidRDefault="00F27338" w:rsidP="006D71C7">
      <w:pPr>
        <w:pStyle w:val="Tekstpodstawowy2"/>
        <w:tabs>
          <w:tab w:val="left" w:pos="284"/>
        </w:tabs>
        <w:spacing w:before="120" w:after="120" w:line="276" w:lineRule="auto"/>
        <w:jc w:val="both"/>
        <w:rPr>
          <w:szCs w:val="24"/>
        </w:rPr>
      </w:pPr>
      <w:r w:rsidRPr="006D71C7">
        <w:rPr>
          <w:szCs w:val="24"/>
        </w:rPr>
        <w:drawing>
          <wp:anchor distT="0" distB="0" distL="114300" distR="114300" simplePos="0" relativeHeight="251738624" behindDoc="1" locked="0" layoutInCell="1" allowOverlap="1">
            <wp:simplePos x="0" y="0"/>
            <wp:positionH relativeFrom="column">
              <wp:posOffset>22860</wp:posOffset>
            </wp:positionH>
            <wp:positionV relativeFrom="paragraph">
              <wp:posOffset>274320</wp:posOffset>
            </wp:positionV>
            <wp:extent cx="2798445" cy="1903095"/>
            <wp:effectExtent l="19050" t="0" r="1905" b="0"/>
            <wp:wrapTight wrapText="bothSides">
              <wp:wrapPolygon edited="0">
                <wp:start x="-147" y="0"/>
                <wp:lineTo x="-147" y="21405"/>
                <wp:lineTo x="21615" y="21405"/>
                <wp:lineTo x="21615" y="0"/>
                <wp:lineTo x="-147" y="0"/>
              </wp:wrapPolygon>
            </wp:wrapTight>
            <wp:docPr id="12" name="zdj1" descr="http://rpo.slaskie.pl/zalaczniki/2011/04/27/1303911661.jpg">
              <a:hlinkClick xmlns:a="http://schemas.openxmlformats.org/drawingml/2006/main" r:id="rId1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1/04/27/1303911661.jpg">
                      <a:hlinkClick r:id="rId146" tooltip="&quot;&quot;"/>
                    </pic:cNvPr>
                    <pic:cNvPicPr>
                      <a:picLocks noChangeAspect="1" noChangeArrowheads="1"/>
                    </pic:cNvPicPr>
                  </pic:nvPicPr>
                  <pic:blipFill>
                    <a:blip r:embed="rId147" cstate="print"/>
                    <a:srcRect/>
                    <a:stretch>
                      <a:fillRect/>
                    </a:stretch>
                  </pic:blipFill>
                  <pic:spPr bwMode="auto">
                    <a:xfrm>
                      <a:off x="0" y="0"/>
                      <a:ext cx="2798445" cy="1903095"/>
                    </a:xfrm>
                    <a:prstGeom prst="rect">
                      <a:avLst/>
                    </a:prstGeom>
                    <a:noFill/>
                    <a:ln w="9525">
                      <a:noFill/>
                      <a:miter lim="800000"/>
                      <a:headEnd/>
                      <a:tailEnd/>
                    </a:ln>
                  </pic:spPr>
                </pic:pic>
              </a:graphicData>
            </a:graphic>
          </wp:anchor>
        </w:drawing>
      </w:r>
    </w:p>
    <w:p w:rsidR="00F27338" w:rsidRPr="006D71C7" w:rsidRDefault="00F27338" w:rsidP="006D71C7">
      <w:pPr>
        <w:pStyle w:val="NormalnyWeb"/>
        <w:shd w:val="clear" w:color="auto" w:fill="FFFFFF"/>
        <w:spacing w:after="0"/>
        <w:jc w:val="both"/>
        <w:rPr>
          <w:rFonts w:ascii="Arial" w:hAnsi="Arial" w:cs="Arial"/>
          <w:sz w:val="20"/>
          <w:szCs w:val="20"/>
        </w:rPr>
      </w:pPr>
      <w:r w:rsidRPr="006D71C7">
        <w:rPr>
          <w:b/>
        </w:rPr>
        <w:t xml:space="preserve">Beneficjent: </w:t>
      </w:r>
      <w:r w:rsidRPr="006D71C7">
        <w:t>Muzeum Śląskie w Katowicach</w:t>
      </w:r>
    </w:p>
    <w:p w:rsidR="00F27338" w:rsidRPr="006D71C7" w:rsidRDefault="00F27338" w:rsidP="006D71C7">
      <w:pPr>
        <w:spacing w:after="0"/>
        <w:jc w:val="both"/>
        <w:outlineLvl w:val="1"/>
        <w:rPr>
          <w:b/>
        </w:rPr>
      </w:pPr>
      <w:bookmarkStart w:id="701" w:name="_Toc324786899"/>
      <w:bookmarkStart w:id="702" w:name="_Toc324853960"/>
      <w:bookmarkStart w:id="703" w:name="_Toc327259312"/>
      <w:r w:rsidRPr="006D71C7">
        <w:rPr>
          <w:b/>
        </w:rPr>
        <w:t>Priorytet/działanie:</w:t>
      </w:r>
      <w:r w:rsidRPr="006D71C7">
        <w:rPr>
          <w:i/>
          <w:szCs w:val="24"/>
        </w:rPr>
        <w:t xml:space="preserve"> </w:t>
      </w:r>
      <w:r w:rsidRPr="006D71C7">
        <w:rPr>
          <w:szCs w:val="24"/>
        </w:rPr>
        <w:t xml:space="preserve">VI </w:t>
      </w:r>
      <w:r w:rsidRPr="006D71C7">
        <w:rPr>
          <w:i/>
          <w:szCs w:val="24"/>
        </w:rPr>
        <w:t>Zrównoważony rozwój miast</w:t>
      </w:r>
      <w:r w:rsidRPr="006D71C7">
        <w:rPr>
          <w:szCs w:val="24"/>
        </w:rPr>
        <w:t xml:space="preserve">/ 6.1 </w:t>
      </w:r>
      <w:r w:rsidRPr="006D71C7">
        <w:rPr>
          <w:i/>
          <w:szCs w:val="24"/>
        </w:rPr>
        <w:t>Wzmacnianie regionalnych ośrodków wzrostu</w:t>
      </w:r>
      <w:bookmarkEnd w:id="701"/>
      <w:bookmarkEnd w:id="702"/>
      <w:bookmarkEnd w:id="703"/>
    </w:p>
    <w:p w:rsidR="00F27338" w:rsidRPr="006D71C7" w:rsidRDefault="00F27338" w:rsidP="006D71C7">
      <w:pPr>
        <w:spacing w:after="0"/>
        <w:jc w:val="both"/>
        <w:outlineLvl w:val="1"/>
      </w:pPr>
      <w:bookmarkStart w:id="704" w:name="_Toc324786900"/>
      <w:bookmarkStart w:id="705" w:name="_Toc324853961"/>
      <w:bookmarkStart w:id="706" w:name="_Toc327259313"/>
      <w:r w:rsidRPr="006D71C7">
        <w:rPr>
          <w:b/>
        </w:rPr>
        <w:t>Całkowita wartość projektu:</w:t>
      </w:r>
      <w:r w:rsidRPr="006D71C7">
        <w:t xml:space="preserve"> 71,67 mln EUR.</w:t>
      </w:r>
      <w:bookmarkEnd w:id="704"/>
      <w:bookmarkEnd w:id="705"/>
      <w:bookmarkEnd w:id="706"/>
    </w:p>
    <w:p w:rsidR="00F27338" w:rsidRPr="006D71C7" w:rsidRDefault="00F27338" w:rsidP="006D71C7">
      <w:pPr>
        <w:spacing w:after="0"/>
        <w:jc w:val="both"/>
        <w:outlineLvl w:val="1"/>
      </w:pPr>
      <w:bookmarkStart w:id="707" w:name="_Toc324786901"/>
      <w:bookmarkStart w:id="708" w:name="_Toc324853962"/>
      <w:bookmarkStart w:id="709" w:name="_Toc327259314"/>
      <w:r w:rsidRPr="006D71C7">
        <w:rPr>
          <w:b/>
        </w:rPr>
        <w:t xml:space="preserve">Kwota dofinansowania: </w:t>
      </w:r>
      <w:r w:rsidRPr="006D71C7">
        <w:t>49,73 mln EUR.</w:t>
      </w:r>
      <w:bookmarkEnd w:id="707"/>
      <w:bookmarkEnd w:id="708"/>
      <w:bookmarkEnd w:id="709"/>
      <w:r w:rsidRPr="006D71C7">
        <w:t xml:space="preserve"> </w:t>
      </w:r>
    </w:p>
    <w:p w:rsidR="00046879" w:rsidRPr="006D71C7" w:rsidRDefault="00046879" w:rsidP="006D71C7">
      <w:pPr>
        <w:spacing w:after="0"/>
        <w:jc w:val="both"/>
        <w:outlineLvl w:val="1"/>
        <w:rPr>
          <w:b/>
        </w:rPr>
      </w:pPr>
      <w:bookmarkStart w:id="710" w:name="_Toc324786902"/>
      <w:bookmarkStart w:id="711" w:name="_Toc324853963"/>
      <w:bookmarkStart w:id="712" w:name="_Toc327259315"/>
      <w:r w:rsidRPr="006D71C7">
        <w:rPr>
          <w:b/>
        </w:rPr>
        <w:t xml:space="preserve">Przewidywany okres realizacji: </w:t>
      </w:r>
      <w:r w:rsidRPr="006D71C7">
        <w:t>2007-2012</w:t>
      </w:r>
      <w:bookmarkEnd w:id="710"/>
      <w:bookmarkEnd w:id="711"/>
      <w:bookmarkEnd w:id="712"/>
    </w:p>
    <w:p w:rsidR="00245F70" w:rsidRPr="006D71C7" w:rsidRDefault="00F27338" w:rsidP="006D71C7">
      <w:pPr>
        <w:pStyle w:val="NormalnyWeb"/>
        <w:spacing w:after="120"/>
        <w:jc w:val="both"/>
      </w:pPr>
      <w:r w:rsidRPr="006D71C7">
        <w:rPr>
          <w:b/>
        </w:rPr>
        <w:t>Opis projektu</w:t>
      </w:r>
      <w:r w:rsidRPr="006D71C7">
        <w:t xml:space="preserve">: </w:t>
      </w:r>
      <w:r w:rsidR="005A1F9A" w:rsidRPr="006D71C7">
        <w:t xml:space="preserve">Projekt muzeum ma na celu zachowanie dla przyszłych pokoleń dziedzictwa kulturowego oraz wzrost atrakcyjności turystycznej regionu. </w:t>
      </w:r>
      <w:r w:rsidR="00046879" w:rsidRPr="006D71C7">
        <w:t>Ważnym elementem na drodze do poprawy zdolności adaptacyjnych mieszkańców do zmian społecznych i gospodarczych jest tożsamość m. in. regionalna, stąd w ramach działania będą wspierane inicjatywy z zakresu pielęgnowania istniejącego dziedzictwa kulturowego i tradycji, historii, osiągnięć kulturalnych, lokalnych obyczajów i języka. Z</w:t>
      </w:r>
      <w:r w:rsidR="0067410E" w:rsidRPr="006D71C7">
        <w:t>miany w tym obszarze pozwolą na </w:t>
      </w:r>
      <w:r w:rsidR="00046879" w:rsidRPr="006D71C7">
        <w:t xml:space="preserve">wykreowanie nowoczesnego społeczeństwa, otwartego i </w:t>
      </w:r>
      <w:r w:rsidR="0067410E" w:rsidRPr="006D71C7">
        <w:t>kreatywnego - przyczyniając się </w:t>
      </w:r>
      <w:r w:rsidR="00046879" w:rsidRPr="006D71C7">
        <w:t>do wzr</w:t>
      </w:r>
      <w:r w:rsidR="0067410E" w:rsidRPr="006D71C7">
        <w:t xml:space="preserve">ostu wartości zasobów ludzkich. </w:t>
      </w:r>
    </w:p>
    <w:p w:rsidR="00F32990" w:rsidRPr="006D71C7" w:rsidRDefault="00F32990" w:rsidP="006D71C7">
      <w:pPr>
        <w:pStyle w:val="NormalnyWeb"/>
        <w:spacing w:after="0"/>
        <w:jc w:val="both"/>
      </w:pPr>
      <w:r w:rsidRPr="006D71C7">
        <w:rPr>
          <w:b/>
        </w:rPr>
        <w:t>Zaawansowanie prac</w:t>
      </w:r>
      <w:r w:rsidR="00F27338" w:rsidRPr="006D71C7">
        <w:rPr>
          <w:b/>
        </w:rPr>
        <w:t>:</w:t>
      </w:r>
      <w:r w:rsidR="00F27338" w:rsidRPr="006D71C7">
        <w:t xml:space="preserve"> </w:t>
      </w:r>
    </w:p>
    <w:p w:rsidR="00F32990" w:rsidRPr="006D71C7" w:rsidRDefault="00F32990" w:rsidP="00BA2FE7">
      <w:pPr>
        <w:pStyle w:val="NormalnyWeb"/>
        <w:numPr>
          <w:ilvl w:val="0"/>
          <w:numId w:val="50"/>
        </w:numPr>
        <w:spacing w:after="0"/>
        <w:jc w:val="both"/>
      </w:pPr>
      <w:r w:rsidRPr="006D71C7">
        <w:t xml:space="preserve">5 </w:t>
      </w:r>
      <w:r w:rsidR="005A1F9A" w:rsidRPr="006D71C7">
        <w:t xml:space="preserve">maja 2010r. </w:t>
      </w:r>
      <w:r w:rsidRPr="006D71C7">
        <w:t>projekt został przekazany do KE,</w:t>
      </w:r>
    </w:p>
    <w:p w:rsidR="00142C48" w:rsidRPr="006D71C7" w:rsidRDefault="0067410E" w:rsidP="00BA2FE7">
      <w:pPr>
        <w:pStyle w:val="NormalnyWeb"/>
        <w:numPr>
          <w:ilvl w:val="0"/>
          <w:numId w:val="50"/>
        </w:numPr>
        <w:spacing w:after="0"/>
        <w:jc w:val="both"/>
      </w:pPr>
      <w:r w:rsidRPr="006D71C7">
        <w:t xml:space="preserve">13 sierpnia </w:t>
      </w:r>
      <w:r w:rsidR="005A1F9A" w:rsidRPr="006D71C7">
        <w:t>201</w:t>
      </w:r>
      <w:r w:rsidRPr="006D71C7">
        <w:t>0r. IZ RPO WSL podpisała warunkową umowę o </w:t>
      </w:r>
      <w:r w:rsidR="005A1F9A" w:rsidRPr="006D71C7">
        <w:t>dofinansowanie</w:t>
      </w:r>
      <w:r w:rsidR="00142C48" w:rsidRPr="006D71C7">
        <w:t xml:space="preserve"> z beneficjentem,</w:t>
      </w:r>
    </w:p>
    <w:p w:rsidR="00142C48" w:rsidRPr="006D71C7" w:rsidRDefault="005A1F9A" w:rsidP="00BA2FE7">
      <w:pPr>
        <w:pStyle w:val="NormalnyWeb"/>
        <w:numPr>
          <w:ilvl w:val="0"/>
          <w:numId w:val="50"/>
        </w:numPr>
        <w:spacing w:after="0"/>
        <w:jc w:val="both"/>
      </w:pPr>
      <w:r w:rsidRPr="006D71C7">
        <w:t>25 maja 2011r. KE wydała pozytywną decy</w:t>
      </w:r>
      <w:r w:rsidR="00142C48" w:rsidRPr="006D71C7">
        <w:t>zję ws. dofinansowania projektu,</w:t>
      </w:r>
    </w:p>
    <w:p w:rsidR="00142C48" w:rsidRPr="006D71C7" w:rsidRDefault="00142C48" w:rsidP="00BA2FE7">
      <w:pPr>
        <w:pStyle w:val="NormalnyWeb"/>
        <w:numPr>
          <w:ilvl w:val="0"/>
          <w:numId w:val="50"/>
        </w:numPr>
        <w:spacing w:after="0"/>
        <w:jc w:val="both"/>
      </w:pPr>
      <w:r w:rsidRPr="006D71C7">
        <w:t>wrzesień</w:t>
      </w:r>
      <w:r w:rsidR="005A1F9A" w:rsidRPr="006D71C7">
        <w:t xml:space="preserve"> 2010r. </w:t>
      </w:r>
      <w:r w:rsidR="007A43DE" w:rsidRPr="006D71C7">
        <w:t>podpisano umowę na </w:t>
      </w:r>
      <w:r w:rsidR="005A1F9A" w:rsidRPr="006D71C7">
        <w:t>pełnie</w:t>
      </w:r>
      <w:r w:rsidRPr="006D71C7">
        <w:t xml:space="preserve">nie funkcji inżyniera kontraktu, </w:t>
      </w:r>
    </w:p>
    <w:p w:rsidR="00142C48" w:rsidRPr="006D71C7" w:rsidRDefault="00142C48" w:rsidP="00BA2FE7">
      <w:pPr>
        <w:pStyle w:val="NormalnyWeb"/>
        <w:numPr>
          <w:ilvl w:val="0"/>
          <w:numId w:val="50"/>
        </w:numPr>
        <w:spacing w:after="0"/>
        <w:jc w:val="both"/>
      </w:pPr>
      <w:r w:rsidRPr="006D71C7">
        <w:t>kwiecień 2010 r. rozpoczęcie p</w:t>
      </w:r>
      <w:r w:rsidR="005A1F9A" w:rsidRPr="006D71C7">
        <w:t>rzetarg</w:t>
      </w:r>
      <w:r w:rsidRPr="006D71C7">
        <w:t>u</w:t>
      </w:r>
      <w:r w:rsidR="005A1F9A" w:rsidRPr="006D71C7">
        <w:t xml:space="preserve"> na głównego wykonawcę robót</w:t>
      </w:r>
      <w:r w:rsidRPr="006D71C7">
        <w:t>,</w:t>
      </w:r>
      <w:r w:rsidR="005A1F9A" w:rsidRPr="006D71C7">
        <w:t xml:space="preserve"> </w:t>
      </w:r>
    </w:p>
    <w:p w:rsidR="00EE57E9" w:rsidRPr="006D71C7" w:rsidRDefault="00EE57E9" w:rsidP="00BA2FE7">
      <w:pPr>
        <w:pStyle w:val="NormalnyWeb"/>
        <w:numPr>
          <w:ilvl w:val="0"/>
          <w:numId w:val="50"/>
        </w:numPr>
        <w:spacing w:after="0"/>
        <w:jc w:val="both"/>
      </w:pPr>
      <w:r w:rsidRPr="006D71C7">
        <w:t>luty</w:t>
      </w:r>
      <w:r w:rsidR="005A1F9A" w:rsidRPr="006D71C7">
        <w:t xml:space="preserve"> 2011r. została przeprowadzona kontrola uprzednia Prezesa Urzędu Zamówień Publicznych powyższego zamówie</w:t>
      </w:r>
      <w:r w:rsidRPr="006D71C7">
        <w:t>nia, nie stwierdzono naruszeń.</w:t>
      </w:r>
    </w:p>
    <w:p w:rsidR="00EE57E9" w:rsidRPr="006D71C7" w:rsidRDefault="00EE57E9" w:rsidP="00BA2FE7">
      <w:pPr>
        <w:pStyle w:val="NormalnyWeb"/>
        <w:numPr>
          <w:ilvl w:val="0"/>
          <w:numId w:val="50"/>
        </w:numPr>
        <w:spacing w:after="0"/>
        <w:jc w:val="both"/>
      </w:pPr>
      <w:r w:rsidRPr="006D71C7">
        <w:t xml:space="preserve">w </w:t>
      </w:r>
      <w:r w:rsidR="005A1F9A" w:rsidRPr="006D71C7">
        <w:t xml:space="preserve">dniach 10-11 maja 2011r. została przeprowadzona kontrola w trakcie realizacji projektu </w:t>
      </w:r>
      <w:r w:rsidR="000461BA" w:rsidRPr="006D71C7">
        <w:t>przez IZ</w:t>
      </w:r>
      <w:r w:rsidR="005A1F9A" w:rsidRPr="006D71C7">
        <w:t xml:space="preserve"> RPO WSL, mająca na celu ocenę zgodności wykorzystania środków finansowych z zakresem okreś</w:t>
      </w:r>
      <w:r w:rsidRPr="006D71C7">
        <w:t>lonym w umowie o dofinansowanie, k</w:t>
      </w:r>
      <w:r w:rsidR="005A1F9A" w:rsidRPr="006D71C7">
        <w:t>ontrola stwierdziła istotne uchybi</w:t>
      </w:r>
      <w:r w:rsidRPr="006D71C7">
        <w:t>enia mające skutek finansowy,</w:t>
      </w:r>
    </w:p>
    <w:p w:rsidR="00EE57E9" w:rsidRPr="006D71C7" w:rsidRDefault="005A1F9A" w:rsidP="00BA2FE7">
      <w:pPr>
        <w:pStyle w:val="NormalnyWeb"/>
        <w:numPr>
          <w:ilvl w:val="0"/>
          <w:numId w:val="50"/>
        </w:numPr>
        <w:spacing w:after="0"/>
        <w:jc w:val="both"/>
      </w:pPr>
      <w:r w:rsidRPr="006D71C7">
        <w:t xml:space="preserve">7 czerwca 2011r. podpisano umowę </w:t>
      </w:r>
      <w:r w:rsidR="00EE57E9" w:rsidRPr="006D71C7">
        <w:t>z głównym wykonawcą,</w:t>
      </w:r>
      <w:r w:rsidR="000461BA" w:rsidRPr="006D71C7">
        <w:t xml:space="preserve"> </w:t>
      </w:r>
    </w:p>
    <w:p w:rsidR="00EE57E9" w:rsidRPr="006D71C7" w:rsidRDefault="00EE57E9" w:rsidP="00BA2FE7">
      <w:pPr>
        <w:pStyle w:val="NormalnyWeb"/>
        <w:numPr>
          <w:ilvl w:val="0"/>
          <w:numId w:val="50"/>
        </w:numPr>
        <w:spacing w:after="0"/>
        <w:jc w:val="both"/>
      </w:pPr>
      <w:r w:rsidRPr="006D71C7">
        <w:t>w</w:t>
      </w:r>
      <w:r w:rsidR="005A1F9A" w:rsidRPr="006D71C7">
        <w:t xml:space="preserve"> okresie od 31.05.2011 do 28.07.2011r. Urząd Kontroli Skarbowej przeprowadził audyt w zakresie gospodarowania środkami pochodzącym</w:t>
      </w:r>
      <w:r w:rsidRPr="006D71C7">
        <w:t>i z budżetu UE w ramach RPO WSL,</w:t>
      </w:r>
      <w:r w:rsidR="005A1F9A" w:rsidRPr="006D71C7">
        <w:t xml:space="preserve"> </w:t>
      </w:r>
      <w:r w:rsidRPr="006D71C7">
        <w:t>w wyniku którego</w:t>
      </w:r>
      <w:r w:rsidR="005A1F9A" w:rsidRPr="006D71C7">
        <w:t xml:space="preserve"> zos</w:t>
      </w:r>
      <w:r w:rsidR="000461BA" w:rsidRPr="006D71C7">
        <w:t>tały przedstawione informacje o </w:t>
      </w:r>
      <w:r w:rsidR="005A1F9A" w:rsidRPr="006D71C7">
        <w:t>nieprawidłowościach w realizacji projektu. W związku z powyższym w dniach od</w:t>
      </w:r>
      <w:r w:rsidRPr="006D71C7">
        <w:t> 7 </w:t>
      </w:r>
      <w:r w:rsidR="005A1F9A" w:rsidRPr="006D71C7">
        <w:t>do 9 września 2011r. IZ RPO WSL przeprowadziła kontrolę doraźną mającą na celu weryfikację stwierdzonych przez UKS nieprawidłowości. W informacji pokontrolnej opisano uchybienia skutkujące korektą finansową, powod</w:t>
      </w:r>
      <w:r w:rsidR="000461BA" w:rsidRPr="006D71C7">
        <w:t xml:space="preserve">ującą obniżenie dofinansowania. </w:t>
      </w:r>
    </w:p>
    <w:p w:rsidR="005A1F9A" w:rsidRPr="006D71C7" w:rsidRDefault="005A1F9A" w:rsidP="006D71C7">
      <w:pPr>
        <w:pStyle w:val="NormalnyWeb"/>
        <w:spacing w:after="0"/>
        <w:jc w:val="both"/>
      </w:pPr>
      <w:r w:rsidRPr="006D71C7">
        <w:t>Zakończenie realizacji inwestycji przewidziano na czerwiec 2012r. Jednak jak info</w:t>
      </w:r>
      <w:r w:rsidR="00C34DBB" w:rsidRPr="006D71C7">
        <w:t>r</w:t>
      </w:r>
      <w:r w:rsidRPr="006D71C7">
        <w:t>muje Beneficjent w ostatnim wniosku o płatność, termin rzeczowego zakoń</w:t>
      </w:r>
      <w:r w:rsidR="000461BA" w:rsidRPr="006D71C7">
        <w:t xml:space="preserve">czenia ulegnie przesunięciu. </w:t>
      </w:r>
      <w:r w:rsidRPr="006D71C7">
        <w:t xml:space="preserve">Na chwilę obecną rozliczono 12,86 % kosztów projektu co daje kwotę </w:t>
      </w:r>
      <w:r w:rsidR="000461BA" w:rsidRPr="006D71C7">
        <w:t>6,40 mln EUR</w:t>
      </w:r>
      <w:r w:rsidRPr="006D71C7">
        <w:t>.</w:t>
      </w:r>
    </w:p>
    <w:p w:rsidR="00EE57E9" w:rsidRPr="006D71C7" w:rsidRDefault="00EE57E9" w:rsidP="006D71C7">
      <w:pPr>
        <w:pStyle w:val="NormalnyWeb"/>
        <w:spacing w:after="0"/>
        <w:ind w:left="720"/>
        <w:jc w:val="both"/>
      </w:pPr>
    </w:p>
    <w:p w:rsidR="007A43DE" w:rsidRPr="006D71C7" w:rsidRDefault="00002840" w:rsidP="006D71C7">
      <w:pPr>
        <w:pStyle w:val="Tekstpodstawowy2"/>
        <w:tabs>
          <w:tab w:val="left" w:pos="284"/>
        </w:tabs>
        <w:spacing w:before="120" w:after="120" w:line="276" w:lineRule="auto"/>
        <w:jc w:val="both"/>
        <w:rPr>
          <w:szCs w:val="24"/>
        </w:rPr>
      </w:pPr>
      <w:r>
        <w:rPr>
          <w:szCs w:val="24"/>
        </w:rPr>
        <mc:AlternateContent>
          <mc:Choice Requires="wps">
            <w:drawing>
              <wp:anchor distT="0" distB="0" distL="114300" distR="114300" simplePos="0" relativeHeight="251740672" behindDoc="0" locked="0" layoutInCell="1" allowOverlap="1">
                <wp:simplePos x="0" y="0"/>
                <wp:positionH relativeFrom="column">
                  <wp:posOffset>-38100</wp:posOffset>
                </wp:positionH>
                <wp:positionV relativeFrom="paragraph">
                  <wp:posOffset>64770</wp:posOffset>
                </wp:positionV>
                <wp:extent cx="5294630" cy="307340"/>
                <wp:effectExtent l="19050" t="17145" r="20320" b="18415"/>
                <wp:wrapNone/>
                <wp:docPr id="1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4630" cy="3073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91" w:rsidRDefault="001B5A91">
                            <w:r w:rsidRPr="000C279A">
                              <w:rPr>
                                <w:b/>
                                <w:i/>
                                <w:szCs w:val="24"/>
                              </w:rPr>
                              <w:t>Międzynarodowe Centrum Kongresowe w Katowicach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3pt;margin-top:5.1pt;width:416.9pt;height:24.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" fillcolor="white [3201]" strokecolor="#d34817 [3204]" strokeweight="2.5pt">
                <v:shadow color="#868686"/>
                <v:textbox>
                  <w:txbxContent>
                    <w:p w:rsidR="001B5A91" w:rsidRDefault="001B5A91">
                      <w:r w:rsidRPr="000C279A">
                        <w:rPr>
                          <w:b/>
                          <w:i/>
                          <w:szCs w:val="24"/>
                        </w:rPr>
                        <w:t>Międzynarodowe Centrum Kongresowe w Katowicach</w:t>
                      </w:r>
                    </w:p>
                  </w:txbxContent>
                </v:textbox>
              </v:roundrect>
            </w:pict>
          </mc:Fallback>
        </mc:AlternateContent>
      </w:r>
    </w:p>
    <w:p w:rsidR="005A1F9A" w:rsidRPr="006D71C7" w:rsidRDefault="005A1F9A" w:rsidP="006D71C7">
      <w:pPr>
        <w:pStyle w:val="Tekstpodstawowy2"/>
        <w:tabs>
          <w:tab w:val="left" w:pos="284"/>
        </w:tabs>
        <w:spacing w:before="120" w:after="120" w:line="276" w:lineRule="auto"/>
        <w:jc w:val="both"/>
        <w:rPr>
          <w:szCs w:val="24"/>
        </w:rPr>
      </w:pPr>
    </w:p>
    <w:p w:rsidR="007A43DE" w:rsidRPr="006D71C7" w:rsidRDefault="007A43DE" w:rsidP="006D71C7">
      <w:pPr>
        <w:pStyle w:val="NormalnyWeb"/>
        <w:shd w:val="clear" w:color="auto" w:fill="FFFFFF"/>
        <w:spacing w:after="0"/>
        <w:jc w:val="both"/>
        <w:rPr>
          <w:rFonts w:ascii="Arial" w:hAnsi="Arial" w:cs="Arial"/>
          <w:sz w:val="20"/>
          <w:szCs w:val="20"/>
        </w:rPr>
      </w:pPr>
      <w:r w:rsidRPr="006D71C7">
        <w:rPr>
          <w:noProof/>
        </w:rPr>
        <w:drawing>
          <wp:anchor distT="0" distB="0" distL="114300" distR="114300" simplePos="0" relativeHeight="251741696" behindDoc="1" locked="0" layoutInCell="1" allowOverlap="1">
            <wp:simplePos x="0" y="0"/>
            <wp:positionH relativeFrom="column">
              <wp:posOffset>23022</wp:posOffset>
            </wp:positionH>
            <wp:positionV relativeFrom="paragraph">
              <wp:posOffset>-2570</wp:posOffset>
            </wp:positionV>
            <wp:extent cx="2713518" cy="1786270"/>
            <wp:effectExtent l="19050" t="0" r="0" b="0"/>
            <wp:wrapTight wrapText="bothSides">
              <wp:wrapPolygon edited="0">
                <wp:start x="-152" y="0"/>
                <wp:lineTo x="-152" y="21423"/>
                <wp:lineTo x="21533" y="21423"/>
                <wp:lineTo x="21533" y="0"/>
                <wp:lineTo x="-152" y="0"/>
              </wp:wrapPolygon>
            </wp:wrapTight>
            <wp:docPr id="13" name="zdj1" descr="http://rpo.slaskie.pl/zalaczniki/2011/03/31/1301566581.jpg">
              <a:hlinkClick xmlns:a="http://schemas.openxmlformats.org/drawingml/2006/main" r:id="rId1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1/03/31/1301566581.jpg">
                      <a:hlinkClick r:id="rId148" tooltip="&quot;&quot;"/>
                    </pic:cNvPr>
                    <pic:cNvPicPr>
                      <a:picLocks noChangeAspect="1" noChangeArrowheads="1"/>
                    </pic:cNvPicPr>
                  </pic:nvPicPr>
                  <pic:blipFill>
                    <a:blip r:embed="rId149" cstate="print"/>
                    <a:srcRect/>
                    <a:stretch>
                      <a:fillRect/>
                    </a:stretch>
                  </pic:blipFill>
                  <pic:spPr bwMode="auto">
                    <a:xfrm>
                      <a:off x="0" y="0"/>
                      <a:ext cx="2713518" cy="1786270"/>
                    </a:xfrm>
                    <a:prstGeom prst="rect">
                      <a:avLst/>
                    </a:prstGeom>
                    <a:noFill/>
                    <a:ln w="9525">
                      <a:noFill/>
                      <a:miter lim="800000"/>
                      <a:headEnd/>
                      <a:tailEnd/>
                    </a:ln>
                  </pic:spPr>
                </pic:pic>
              </a:graphicData>
            </a:graphic>
          </wp:anchor>
        </w:drawing>
      </w:r>
      <w:r w:rsidRPr="006D71C7">
        <w:rPr>
          <w:b/>
        </w:rPr>
        <w:t xml:space="preserve">Beneficjent: </w:t>
      </w:r>
      <w:r w:rsidRPr="006D71C7">
        <w:t>Miasto Katowice</w:t>
      </w:r>
    </w:p>
    <w:p w:rsidR="007A43DE" w:rsidRPr="006D71C7" w:rsidRDefault="007A43DE" w:rsidP="006D71C7">
      <w:pPr>
        <w:spacing w:after="0"/>
        <w:jc w:val="both"/>
        <w:outlineLvl w:val="1"/>
        <w:rPr>
          <w:b/>
        </w:rPr>
      </w:pPr>
      <w:bookmarkStart w:id="713" w:name="_Toc324786903"/>
      <w:bookmarkStart w:id="714" w:name="_Toc324853964"/>
      <w:bookmarkStart w:id="715" w:name="_Toc327259316"/>
      <w:r w:rsidRPr="006D71C7">
        <w:rPr>
          <w:b/>
        </w:rPr>
        <w:t>Priorytet/działanie:</w:t>
      </w:r>
      <w:r w:rsidRPr="006D71C7">
        <w:rPr>
          <w:i/>
          <w:szCs w:val="24"/>
        </w:rPr>
        <w:t xml:space="preserve"> </w:t>
      </w:r>
      <w:r w:rsidRPr="006D71C7">
        <w:rPr>
          <w:szCs w:val="24"/>
        </w:rPr>
        <w:t xml:space="preserve">VI </w:t>
      </w:r>
      <w:r w:rsidRPr="006D71C7">
        <w:rPr>
          <w:i/>
          <w:szCs w:val="24"/>
        </w:rPr>
        <w:t>Zrównoważony rozwój miast</w:t>
      </w:r>
      <w:r w:rsidRPr="006D71C7">
        <w:rPr>
          <w:szCs w:val="24"/>
        </w:rPr>
        <w:t xml:space="preserve">/ 6.1 </w:t>
      </w:r>
      <w:r w:rsidRPr="006D71C7">
        <w:rPr>
          <w:i/>
          <w:szCs w:val="24"/>
        </w:rPr>
        <w:t>Wzmacnianie regionalnych ośrodków wzrostu</w:t>
      </w:r>
      <w:bookmarkEnd w:id="713"/>
      <w:bookmarkEnd w:id="714"/>
      <w:bookmarkEnd w:id="715"/>
    </w:p>
    <w:p w:rsidR="007A43DE" w:rsidRPr="006D71C7" w:rsidRDefault="007A43DE" w:rsidP="006D71C7">
      <w:pPr>
        <w:spacing w:after="0"/>
        <w:jc w:val="both"/>
        <w:outlineLvl w:val="1"/>
      </w:pPr>
      <w:bookmarkStart w:id="716" w:name="_Toc324786904"/>
      <w:bookmarkStart w:id="717" w:name="_Toc324853965"/>
      <w:bookmarkStart w:id="718" w:name="_Toc327259317"/>
      <w:r w:rsidRPr="006D71C7">
        <w:rPr>
          <w:b/>
        </w:rPr>
        <w:t>Całkowita wartość projektu:</w:t>
      </w:r>
      <w:r w:rsidRPr="006D71C7">
        <w:t xml:space="preserve"> 67,29 mln EUR.</w:t>
      </w:r>
      <w:bookmarkEnd w:id="716"/>
      <w:bookmarkEnd w:id="717"/>
      <w:bookmarkEnd w:id="718"/>
    </w:p>
    <w:p w:rsidR="007A43DE" w:rsidRPr="006D71C7" w:rsidRDefault="007A43DE" w:rsidP="006D71C7">
      <w:pPr>
        <w:spacing w:after="0"/>
        <w:jc w:val="both"/>
        <w:outlineLvl w:val="1"/>
      </w:pPr>
      <w:bookmarkStart w:id="719" w:name="_Toc324786905"/>
      <w:bookmarkStart w:id="720" w:name="_Toc324853966"/>
      <w:bookmarkStart w:id="721" w:name="_Toc327259318"/>
      <w:r w:rsidRPr="006D71C7">
        <w:rPr>
          <w:b/>
        </w:rPr>
        <w:t xml:space="preserve">Kwota dofinansowania: </w:t>
      </w:r>
      <w:r w:rsidRPr="006D71C7">
        <w:t>33,77 mln EUR.</w:t>
      </w:r>
      <w:bookmarkEnd w:id="719"/>
      <w:bookmarkEnd w:id="720"/>
      <w:bookmarkEnd w:id="721"/>
      <w:r w:rsidRPr="006D71C7">
        <w:t xml:space="preserve"> </w:t>
      </w:r>
    </w:p>
    <w:p w:rsidR="007A43DE" w:rsidRPr="006D71C7" w:rsidRDefault="007A43DE" w:rsidP="006D71C7">
      <w:pPr>
        <w:spacing w:after="0"/>
        <w:jc w:val="both"/>
        <w:outlineLvl w:val="1"/>
        <w:rPr>
          <w:b/>
        </w:rPr>
      </w:pPr>
      <w:bookmarkStart w:id="722" w:name="_Toc324786906"/>
      <w:bookmarkStart w:id="723" w:name="_Toc324853967"/>
      <w:bookmarkStart w:id="724" w:name="_Toc327259319"/>
      <w:r w:rsidRPr="006D71C7">
        <w:rPr>
          <w:b/>
        </w:rPr>
        <w:t xml:space="preserve">Przewidywany okres realizacji: </w:t>
      </w:r>
      <w:r w:rsidRPr="006D71C7">
        <w:t>2010-2013</w:t>
      </w:r>
      <w:bookmarkEnd w:id="722"/>
      <w:bookmarkEnd w:id="723"/>
      <w:bookmarkEnd w:id="724"/>
    </w:p>
    <w:p w:rsidR="00245F70" w:rsidRPr="006D71C7" w:rsidRDefault="007A43DE" w:rsidP="006D71C7">
      <w:pPr>
        <w:pStyle w:val="Tekstpodstawowy2"/>
        <w:tabs>
          <w:tab w:val="left" w:pos="284"/>
        </w:tabs>
        <w:spacing w:after="120" w:line="276" w:lineRule="auto"/>
        <w:jc w:val="both"/>
        <w:rPr>
          <w:szCs w:val="24"/>
        </w:rPr>
      </w:pPr>
      <w:r w:rsidRPr="006D71C7">
        <w:rPr>
          <w:b/>
        </w:rPr>
        <w:t>Opis projektu</w:t>
      </w:r>
      <w:r w:rsidRPr="006D71C7">
        <w:rPr>
          <w:szCs w:val="24"/>
        </w:rPr>
        <w:t>: c</w:t>
      </w:r>
      <w:r w:rsidR="005A1F9A" w:rsidRPr="006D71C7">
        <w:rPr>
          <w:szCs w:val="24"/>
        </w:rPr>
        <w:t>elem projektu jest budowa nowoczesnego obiektu spełniającego funkcje kongresowo</w:t>
      </w:r>
      <w:r w:rsidR="00C34DBB" w:rsidRPr="006D71C7">
        <w:rPr>
          <w:szCs w:val="24"/>
        </w:rPr>
        <w:t xml:space="preserve"> </w:t>
      </w:r>
      <w:r w:rsidR="005A1F9A" w:rsidRPr="006D71C7">
        <w:rPr>
          <w:szCs w:val="24"/>
        </w:rPr>
        <w:t>-</w:t>
      </w:r>
      <w:r w:rsidR="00C34DBB" w:rsidRPr="006D71C7">
        <w:rPr>
          <w:szCs w:val="24"/>
        </w:rPr>
        <w:t xml:space="preserve"> </w:t>
      </w:r>
      <w:r w:rsidR="005A1F9A" w:rsidRPr="006D71C7">
        <w:rPr>
          <w:szCs w:val="24"/>
        </w:rPr>
        <w:t>wystawiennicze. Inwestycja przyczyni się</w:t>
      </w:r>
      <w:r w:rsidRPr="006D71C7">
        <w:rPr>
          <w:szCs w:val="24"/>
        </w:rPr>
        <w:t xml:space="preserve"> do poprawy wizerunku Katowic i </w:t>
      </w:r>
      <w:r w:rsidR="005A1F9A" w:rsidRPr="006D71C7">
        <w:rPr>
          <w:szCs w:val="24"/>
        </w:rPr>
        <w:t xml:space="preserve">regionu śląskiego w Polsce i za granicą. Wpłynie na wzrost konkurencyjności miasta poprzez rozwój i wzmocnienie funkcji metropolitarnych. </w:t>
      </w:r>
      <w:r w:rsidRPr="006D71C7">
        <w:rPr>
          <w:szCs w:val="24"/>
        </w:rPr>
        <w:t xml:space="preserve">W wyniku realizacji projektu zrewitalizowany zostanie obszar o powierzchni </w:t>
      </w:r>
      <w:r w:rsidR="00F32990" w:rsidRPr="006D71C7">
        <w:rPr>
          <w:szCs w:val="24"/>
        </w:rPr>
        <w:t xml:space="preserve">8,4 ha. </w:t>
      </w:r>
    </w:p>
    <w:p w:rsidR="00F32990" w:rsidRPr="006D71C7" w:rsidRDefault="00F32990" w:rsidP="006D71C7">
      <w:pPr>
        <w:pStyle w:val="Tekstpodstawowy2"/>
        <w:tabs>
          <w:tab w:val="left" w:pos="284"/>
        </w:tabs>
        <w:spacing w:line="276" w:lineRule="auto"/>
        <w:jc w:val="both"/>
        <w:rPr>
          <w:b/>
          <w:szCs w:val="24"/>
        </w:rPr>
      </w:pPr>
      <w:r w:rsidRPr="006D71C7">
        <w:rPr>
          <w:b/>
          <w:szCs w:val="24"/>
        </w:rPr>
        <w:t>Zaawansowanie prac</w:t>
      </w:r>
      <w:r w:rsidR="007A43DE" w:rsidRPr="006D71C7">
        <w:rPr>
          <w:b/>
          <w:szCs w:val="24"/>
        </w:rPr>
        <w:t>:</w:t>
      </w:r>
    </w:p>
    <w:p w:rsidR="00F32990" w:rsidRPr="006D71C7" w:rsidRDefault="005A1F9A" w:rsidP="00BA2FE7">
      <w:pPr>
        <w:pStyle w:val="Tekstpodstawowy2"/>
        <w:numPr>
          <w:ilvl w:val="0"/>
          <w:numId w:val="49"/>
        </w:numPr>
        <w:tabs>
          <w:tab w:val="left" w:pos="284"/>
        </w:tabs>
        <w:spacing w:line="276" w:lineRule="auto"/>
        <w:ind w:left="714" w:hanging="357"/>
        <w:jc w:val="both"/>
        <w:rPr>
          <w:szCs w:val="24"/>
        </w:rPr>
      </w:pPr>
      <w:r w:rsidRPr="006D71C7">
        <w:rPr>
          <w:szCs w:val="24"/>
        </w:rPr>
        <w:t>2 września 2010r.</w:t>
      </w:r>
      <w:r w:rsidR="00F32990" w:rsidRPr="006D71C7">
        <w:rPr>
          <w:szCs w:val="24"/>
        </w:rPr>
        <w:t xml:space="preserve"> przekazanie projektu do Komisji Europejskiej,</w:t>
      </w:r>
    </w:p>
    <w:p w:rsidR="00F32990" w:rsidRPr="006D71C7" w:rsidRDefault="00F32990" w:rsidP="00BA2FE7">
      <w:pPr>
        <w:pStyle w:val="Tekstpodstawowy2"/>
        <w:numPr>
          <w:ilvl w:val="0"/>
          <w:numId w:val="49"/>
        </w:numPr>
        <w:tabs>
          <w:tab w:val="left" w:pos="284"/>
        </w:tabs>
        <w:spacing w:line="276" w:lineRule="auto"/>
        <w:ind w:left="714" w:hanging="357"/>
        <w:jc w:val="both"/>
        <w:rPr>
          <w:szCs w:val="24"/>
        </w:rPr>
      </w:pPr>
      <w:r w:rsidRPr="006D71C7">
        <w:rPr>
          <w:szCs w:val="24"/>
        </w:rPr>
        <w:t xml:space="preserve">19 października </w:t>
      </w:r>
      <w:r w:rsidR="005A1F9A" w:rsidRPr="006D71C7">
        <w:rPr>
          <w:szCs w:val="24"/>
        </w:rPr>
        <w:t>2010r.</w:t>
      </w:r>
      <w:r w:rsidRPr="006D71C7">
        <w:rPr>
          <w:szCs w:val="24"/>
        </w:rPr>
        <w:t xml:space="preserve"> podpisanie warunkowej umowy o dofinansowanie z beneficjentem (w</w:t>
      </w:r>
      <w:r w:rsidR="005A1F9A" w:rsidRPr="006D71C7">
        <w:rPr>
          <w:szCs w:val="24"/>
        </w:rPr>
        <w:t xml:space="preserve"> przypadku nie uzyskania akceptacji ze strony KE na realizację inwestycji ze środków unijnych umowa ule</w:t>
      </w:r>
      <w:r w:rsidRPr="006D71C7">
        <w:rPr>
          <w:szCs w:val="24"/>
        </w:rPr>
        <w:t>ga natychmiastowemu rozwiązaniu),</w:t>
      </w:r>
    </w:p>
    <w:p w:rsidR="00F32990" w:rsidRPr="006D71C7" w:rsidRDefault="00F32990" w:rsidP="00BA2FE7">
      <w:pPr>
        <w:pStyle w:val="Tekstpodstawowy2"/>
        <w:numPr>
          <w:ilvl w:val="0"/>
          <w:numId w:val="49"/>
        </w:numPr>
        <w:tabs>
          <w:tab w:val="left" w:pos="284"/>
        </w:tabs>
        <w:spacing w:line="276" w:lineRule="auto"/>
        <w:ind w:left="714" w:hanging="357"/>
        <w:jc w:val="both"/>
        <w:rPr>
          <w:szCs w:val="24"/>
        </w:rPr>
      </w:pPr>
      <w:r w:rsidRPr="006D71C7">
        <w:rPr>
          <w:szCs w:val="24"/>
        </w:rPr>
        <w:t>lipiec 2010r. podpisanie</w:t>
      </w:r>
      <w:r w:rsidR="005A1F9A" w:rsidRPr="006D71C7">
        <w:rPr>
          <w:szCs w:val="24"/>
        </w:rPr>
        <w:t xml:space="preserve"> </w:t>
      </w:r>
      <w:r w:rsidRPr="006D71C7">
        <w:rPr>
          <w:szCs w:val="24"/>
        </w:rPr>
        <w:t xml:space="preserve">umowy na </w:t>
      </w:r>
      <w:r w:rsidR="005A1F9A" w:rsidRPr="006D71C7">
        <w:rPr>
          <w:szCs w:val="24"/>
        </w:rPr>
        <w:t>pełnie</w:t>
      </w:r>
      <w:r w:rsidRPr="006D71C7">
        <w:rPr>
          <w:szCs w:val="24"/>
        </w:rPr>
        <w:t xml:space="preserve">nie funkcji inżyniera kontraktu, </w:t>
      </w:r>
    </w:p>
    <w:p w:rsidR="00F32990" w:rsidRPr="006D71C7" w:rsidRDefault="005A1F9A" w:rsidP="00BA2FE7">
      <w:pPr>
        <w:pStyle w:val="Tekstpodstawowy2"/>
        <w:numPr>
          <w:ilvl w:val="0"/>
          <w:numId w:val="49"/>
        </w:numPr>
        <w:tabs>
          <w:tab w:val="left" w:pos="284"/>
        </w:tabs>
        <w:spacing w:line="276" w:lineRule="auto"/>
        <w:ind w:left="714" w:hanging="357"/>
        <w:jc w:val="both"/>
        <w:rPr>
          <w:szCs w:val="24"/>
        </w:rPr>
      </w:pPr>
      <w:r w:rsidRPr="006D71C7">
        <w:rPr>
          <w:szCs w:val="24"/>
        </w:rPr>
        <w:t>od 22 do 25 lutego 2011r. IZ RPO WSL przeprowadziła kontrolę ex-post zamówienia pub</w:t>
      </w:r>
      <w:r w:rsidR="00F32990" w:rsidRPr="006D71C7">
        <w:rPr>
          <w:szCs w:val="24"/>
        </w:rPr>
        <w:t>licznego na inżyniera kontraktu, nie stwierdzono uchybień,</w:t>
      </w:r>
      <w:r w:rsidRPr="006D71C7">
        <w:rPr>
          <w:szCs w:val="24"/>
        </w:rPr>
        <w:t xml:space="preserve"> </w:t>
      </w:r>
      <w:r w:rsidR="00F32990" w:rsidRPr="006D71C7">
        <w:rPr>
          <w:szCs w:val="24"/>
        </w:rPr>
        <w:t xml:space="preserve"> </w:t>
      </w:r>
    </w:p>
    <w:p w:rsidR="00F32990" w:rsidRPr="006D71C7" w:rsidRDefault="005A1F9A" w:rsidP="00BA2FE7">
      <w:pPr>
        <w:pStyle w:val="Tekstpodstawowy2"/>
        <w:numPr>
          <w:ilvl w:val="0"/>
          <w:numId w:val="49"/>
        </w:numPr>
        <w:tabs>
          <w:tab w:val="left" w:pos="284"/>
        </w:tabs>
        <w:spacing w:line="276" w:lineRule="auto"/>
        <w:ind w:left="714" w:hanging="357"/>
        <w:jc w:val="both"/>
        <w:rPr>
          <w:szCs w:val="24"/>
        </w:rPr>
      </w:pPr>
      <w:r w:rsidRPr="006D71C7">
        <w:rPr>
          <w:szCs w:val="24"/>
        </w:rPr>
        <w:t>3 października 2011r podpisano umowę z główn</w:t>
      </w:r>
      <w:r w:rsidR="00F32990" w:rsidRPr="006D71C7">
        <w:rPr>
          <w:szCs w:val="24"/>
        </w:rPr>
        <w:t>ym wykonawcą robót budowlanych,</w:t>
      </w:r>
    </w:p>
    <w:p w:rsidR="00F32990" w:rsidRPr="006D71C7" w:rsidRDefault="00F32990" w:rsidP="00BA2FE7">
      <w:pPr>
        <w:pStyle w:val="Tekstpodstawowy2"/>
        <w:numPr>
          <w:ilvl w:val="0"/>
          <w:numId w:val="49"/>
        </w:numPr>
        <w:tabs>
          <w:tab w:val="left" w:pos="284"/>
          <w:tab w:val="left" w:pos="426"/>
        </w:tabs>
        <w:spacing w:line="276" w:lineRule="auto"/>
        <w:ind w:left="714" w:hanging="357"/>
        <w:jc w:val="both"/>
        <w:rPr>
          <w:szCs w:val="24"/>
        </w:rPr>
      </w:pPr>
      <w:r w:rsidRPr="006D71C7">
        <w:rPr>
          <w:szCs w:val="24"/>
        </w:rPr>
        <w:t>19 października 2011r. p</w:t>
      </w:r>
      <w:r w:rsidR="005A1F9A" w:rsidRPr="006D71C7">
        <w:rPr>
          <w:szCs w:val="24"/>
        </w:rPr>
        <w:t>rzekazanie placu budowy oraz rozpoczęcie robót</w:t>
      </w:r>
      <w:r w:rsidRPr="006D71C7">
        <w:rPr>
          <w:szCs w:val="24"/>
        </w:rPr>
        <w:t>.</w:t>
      </w:r>
      <w:r w:rsidR="005A1F9A" w:rsidRPr="006D71C7">
        <w:rPr>
          <w:szCs w:val="24"/>
        </w:rPr>
        <w:t xml:space="preserve"> </w:t>
      </w:r>
    </w:p>
    <w:p w:rsidR="000C7DE0" w:rsidRPr="006D71C7" w:rsidRDefault="005A1F9A" w:rsidP="006D71C7">
      <w:pPr>
        <w:pStyle w:val="Tekstpodstawowy2"/>
        <w:tabs>
          <w:tab w:val="left" w:pos="284"/>
          <w:tab w:val="left" w:pos="426"/>
        </w:tabs>
        <w:spacing w:before="120" w:after="120" w:line="276" w:lineRule="auto"/>
        <w:jc w:val="both"/>
        <w:rPr>
          <w:szCs w:val="24"/>
        </w:rPr>
      </w:pPr>
      <w:r w:rsidRPr="006D71C7">
        <w:rPr>
          <w:szCs w:val="24"/>
        </w:rPr>
        <w:t xml:space="preserve">Na chwilę obecną rozliczono 9,71 % kosztów projektu co daje kwotę </w:t>
      </w:r>
      <w:r w:rsidR="00FF47D3" w:rsidRPr="006D71C7">
        <w:rPr>
          <w:szCs w:val="24"/>
        </w:rPr>
        <w:t>3,28 mln EUR.</w:t>
      </w:r>
    </w:p>
    <w:p w:rsidR="000C7DE0" w:rsidRDefault="00002840" w:rsidP="006D71C7">
      <w:pPr>
        <w:pStyle w:val="Tekstpodstawowy2"/>
        <w:tabs>
          <w:tab w:val="left" w:pos="284"/>
          <w:tab w:val="left" w:pos="426"/>
        </w:tabs>
        <w:spacing w:before="120" w:after="120" w:line="276" w:lineRule="auto"/>
        <w:jc w:val="both"/>
        <w:rPr>
          <w:szCs w:val="24"/>
        </w:rPr>
      </w:pPr>
      <w:r>
        <w:rPr>
          <w:szCs w:val="24"/>
        </w:rPr>
        <mc:AlternateContent>
          <mc:Choice Requires="wps">
            <w:drawing>
              <wp:anchor distT="0" distB="0" distL="114300" distR="114300" simplePos="0" relativeHeight="251742720" behindDoc="0" locked="0" layoutInCell="1" allowOverlap="1">
                <wp:simplePos x="0" y="0"/>
                <wp:positionH relativeFrom="column">
                  <wp:posOffset>-66675</wp:posOffset>
                </wp:positionH>
                <wp:positionV relativeFrom="paragraph">
                  <wp:posOffset>148590</wp:posOffset>
                </wp:positionV>
                <wp:extent cx="5294630" cy="307340"/>
                <wp:effectExtent l="19050" t="24765" r="20320" b="20320"/>
                <wp:wrapNone/>
                <wp:docPr id="1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4630" cy="30734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91" w:rsidRPr="000C7DE0" w:rsidRDefault="001B5A91" w:rsidP="000C7DE0">
                            <w:r w:rsidRPr="000C279A">
                              <w:rPr>
                                <w:b/>
                                <w:i/>
                                <w:szCs w:val="24"/>
                              </w:rPr>
                              <w:t>Kontynuacja budowy Drogowej Trasy Średnicowej „Zachód” – odcinek Zabrze – Gliwice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5.25pt;margin-top:11.7pt;width:416.9pt;height:24.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jP8gIAADUGAAAOAAAAZHJzL2Uyb0RvYy54bWysVF1v0zAUfUfiP1h+75I0b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" fillcolor="white [3201]" strokecolor="#d34817 [3204]" strokeweight="2.5pt">
                <v:shadow color="#868686"/>
                <v:textbox>
                  <w:txbxContent>
                    <w:p w:rsidR="001B5A91" w:rsidRPr="000C7DE0" w:rsidRDefault="001B5A91" w:rsidP="000C7DE0">
                      <w:r w:rsidRPr="000C279A">
                        <w:rPr>
                          <w:b/>
                          <w:i/>
                          <w:szCs w:val="24"/>
                        </w:rPr>
                        <w:t>Kontynuacja budowy Drogowej Trasy Średnicowej „Zachód” – odcinek Zabrze – Gliwice</w:t>
                      </w:r>
                    </w:p>
                  </w:txbxContent>
                </v:textbox>
              </v:roundrect>
            </w:pict>
          </mc:Fallback>
        </mc:AlternateContent>
      </w:r>
    </w:p>
    <w:p w:rsidR="000147E5" w:rsidRDefault="000147E5" w:rsidP="006D71C7">
      <w:pPr>
        <w:pStyle w:val="Tekstpodstawowy2"/>
        <w:tabs>
          <w:tab w:val="left" w:pos="284"/>
          <w:tab w:val="left" w:pos="426"/>
        </w:tabs>
        <w:spacing w:before="120" w:after="120" w:line="276" w:lineRule="auto"/>
        <w:jc w:val="both"/>
        <w:rPr>
          <w:szCs w:val="24"/>
        </w:rPr>
      </w:pPr>
    </w:p>
    <w:p w:rsidR="000147E5" w:rsidRPr="006D71C7" w:rsidRDefault="000147E5" w:rsidP="006D71C7">
      <w:pPr>
        <w:pStyle w:val="Tekstpodstawowy2"/>
        <w:tabs>
          <w:tab w:val="left" w:pos="284"/>
          <w:tab w:val="left" w:pos="426"/>
        </w:tabs>
        <w:spacing w:before="120" w:after="120" w:line="276" w:lineRule="auto"/>
        <w:jc w:val="both"/>
        <w:rPr>
          <w:szCs w:val="24"/>
        </w:rPr>
      </w:pPr>
    </w:p>
    <w:p w:rsidR="000C7DE0" w:rsidRPr="006D71C7" w:rsidRDefault="000C7DE0" w:rsidP="006D71C7">
      <w:pPr>
        <w:pStyle w:val="NormalnyWeb"/>
        <w:shd w:val="clear" w:color="auto" w:fill="FFFFFF"/>
        <w:spacing w:after="0"/>
        <w:jc w:val="both"/>
        <w:rPr>
          <w:rFonts w:ascii="Arial" w:hAnsi="Arial" w:cs="Arial"/>
          <w:sz w:val="20"/>
          <w:szCs w:val="20"/>
        </w:rPr>
      </w:pPr>
      <w:r w:rsidRPr="006D71C7">
        <w:rPr>
          <w:noProof/>
        </w:rPr>
        <w:drawing>
          <wp:anchor distT="0" distB="0" distL="114300" distR="114300" simplePos="0" relativeHeight="251743744" behindDoc="1" locked="0" layoutInCell="1" allowOverlap="1">
            <wp:simplePos x="0" y="0"/>
            <wp:positionH relativeFrom="column">
              <wp:posOffset>23022</wp:posOffset>
            </wp:positionH>
            <wp:positionV relativeFrom="paragraph">
              <wp:posOffset>-1004</wp:posOffset>
            </wp:positionV>
            <wp:extent cx="2529589" cy="1903228"/>
            <wp:effectExtent l="19050" t="0" r="4061" b="0"/>
            <wp:wrapTight wrapText="bothSides">
              <wp:wrapPolygon edited="0">
                <wp:start x="-163" y="0"/>
                <wp:lineTo x="-163" y="21404"/>
                <wp:lineTo x="21635" y="21404"/>
                <wp:lineTo x="21635" y="0"/>
                <wp:lineTo x="-163" y="0"/>
              </wp:wrapPolygon>
            </wp:wrapTight>
            <wp:docPr id="17" name="zdj1" descr="http://rpo.slaskie.pl/zalaczniki/2011/03/14/1300087871.jpg">
              <a:hlinkClick xmlns:a="http://schemas.openxmlformats.org/drawingml/2006/main" r:id="rId1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1" descr="http://rpo.slaskie.pl/zalaczniki/2011/03/14/1300087871.jpg">
                      <a:hlinkClick r:id="rId150" tooltip="&quot;&quot;"/>
                    </pic:cNvPr>
                    <pic:cNvPicPr>
                      <a:picLocks noChangeAspect="1" noChangeArrowheads="1"/>
                    </pic:cNvPicPr>
                  </pic:nvPicPr>
                  <pic:blipFill>
                    <a:blip r:embed="rId151" cstate="print"/>
                    <a:srcRect/>
                    <a:stretch>
                      <a:fillRect/>
                    </a:stretch>
                  </pic:blipFill>
                  <pic:spPr bwMode="auto">
                    <a:xfrm>
                      <a:off x="0" y="0"/>
                      <a:ext cx="2529589" cy="1903228"/>
                    </a:xfrm>
                    <a:prstGeom prst="rect">
                      <a:avLst/>
                    </a:prstGeom>
                    <a:noFill/>
                    <a:ln w="9525">
                      <a:noFill/>
                      <a:miter lim="800000"/>
                      <a:headEnd/>
                      <a:tailEnd/>
                    </a:ln>
                  </pic:spPr>
                </pic:pic>
              </a:graphicData>
            </a:graphic>
          </wp:anchor>
        </w:drawing>
      </w:r>
      <w:r w:rsidRPr="006D71C7">
        <w:rPr>
          <w:b/>
        </w:rPr>
        <w:t xml:space="preserve">Beneficjent: </w:t>
      </w:r>
      <w:r w:rsidRPr="006D71C7">
        <w:t>Województwo Śląskie</w:t>
      </w:r>
    </w:p>
    <w:p w:rsidR="000C7DE0" w:rsidRPr="006D71C7" w:rsidRDefault="000C7DE0" w:rsidP="006D71C7">
      <w:pPr>
        <w:spacing w:after="0"/>
        <w:jc w:val="both"/>
        <w:outlineLvl w:val="1"/>
        <w:rPr>
          <w:b/>
        </w:rPr>
      </w:pPr>
      <w:bookmarkStart w:id="725" w:name="_Toc324786907"/>
      <w:bookmarkStart w:id="726" w:name="_Toc324853968"/>
      <w:bookmarkStart w:id="727" w:name="_Toc327259320"/>
      <w:r w:rsidRPr="006D71C7">
        <w:rPr>
          <w:b/>
        </w:rPr>
        <w:t>Priorytet/poddziałanie:</w:t>
      </w:r>
      <w:r w:rsidRPr="006D71C7">
        <w:rPr>
          <w:i/>
          <w:szCs w:val="24"/>
        </w:rPr>
        <w:t xml:space="preserve"> </w:t>
      </w:r>
      <w:r w:rsidRPr="006D71C7">
        <w:rPr>
          <w:szCs w:val="24"/>
        </w:rPr>
        <w:t xml:space="preserve">VII </w:t>
      </w:r>
      <w:r w:rsidRPr="006D71C7">
        <w:rPr>
          <w:i/>
          <w:szCs w:val="24"/>
        </w:rPr>
        <w:t>Transport</w:t>
      </w:r>
      <w:r w:rsidRPr="006D71C7">
        <w:rPr>
          <w:szCs w:val="24"/>
        </w:rPr>
        <w:t xml:space="preserve">/ 7.1.1 </w:t>
      </w:r>
      <w:r w:rsidRPr="006D71C7">
        <w:rPr>
          <w:i/>
          <w:szCs w:val="24"/>
        </w:rPr>
        <w:t>Modernizacja i rozbudowa sieci drogowej</w:t>
      </w:r>
      <w:bookmarkEnd w:id="725"/>
      <w:bookmarkEnd w:id="726"/>
      <w:bookmarkEnd w:id="727"/>
    </w:p>
    <w:p w:rsidR="000C7DE0" w:rsidRPr="006D71C7" w:rsidRDefault="000C7DE0" w:rsidP="006D71C7">
      <w:pPr>
        <w:spacing w:after="0"/>
        <w:jc w:val="both"/>
        <w:outlineLvl w:val="1"/>
      </w:pPr>
      <w:bookmarkStart w:id="728" w:name="_Toc324786908"/>
      <w:bookmarkStart w:id="729" w:name="_Toc324853969"/>
      <w:bookmarkStart w:id="730" w:name="_Toc327259321"/>
      <w:r w:rsidRPr="006D71C7">
        <w:rPr>
          <w:b/>
        </w:rPr>
        <w:t>Całkowita wartość projektu:</w:t>
      </w:r>
      <w:r w:rsidRPr="006D71C7">
        <w:t xml:space="preserve"> 307 mln EUR.</w:t>
      </w:r>
      <w:bookmarkEnd w:id="728"/>
      <w:bookmarkEnd w:id="729"/>
      <w:bookmarkEnd w:id="730"/>
    </w:p>
    <w:p w:rsidR="000C7DE0" w:rsidRPr="006D71C7" w:rsidRDefault="000C7DE0" w:rsidP="006D71C7">
      <w:pPr>
        <w:spacing w:after="0"/>
        <w:jc w:val="both"/>
        <w:outlineLvl w:val="1"/>
      </w:pPr>
      <w:bookmarkStart w:id="731" w:name="_Toc324786909"/>
      <w:bookmarkStart w:id="732" w:name="_Toc324853970"/>
      <w:bookmarkStart w:id="733" w:name="_Toc327259322"/>
      <w:r w:rsidRPr="006D71C7">
        <w:rPr>
          <w:b/>
        </w:rPr>
        <w:t xml:space="preserve">Kwota dofinansowania: </w:t>
      </w:r>
      <w:r w:rsidRPr="006D71C7">
        <w:t>75 mln EUR.</w:t>
      </w:r>
      <w:bookmarkEnd w:id="731"/>
      <w:bookmarkEnd w:id="732"/>
      <w:bookmarkEnd w:id="733"/>
      <w:r w:rsidRPr="006D71C7">
        <w:t xml:space="preserve"> </w:t>
      </w:r>
    </w:p>
    <w:p w:rsidR="000C7DE0" w:rsidRPr="006D71C7" w:rsidRDefault="000C7DE0" w:rsidP="006D71C7">
      <w:pPr>
        <w:spacing w:after="0"/>
        <w:jc w:val="both"/>
        <w:outlineLvl w:val="1"/>
        <w:rPr>
          <w:b/>
        </w:rPr>
      </w:pPr>
      <w:bookmarkStart w:id="734" w:name="_Toc324786910"/>
      <w:bookmarkStart w:id="735" w:name="_Toc324853971"/>
      <w:bookmarkStart w:id="736" w:name="_Toc327259323"/>
      <w:r w:rsidRPr="006D71C7">
        <w:rPr>
          <w:b/>
        </w:rPr>
        <w:t xml:space="preserve">Przewidywany okres realizacji: </w:t>
      </w:r>
      <w:r w:rsidRPr="006D71C7">
        <w:t>2007-2014</w:t>
      </w:r>
      <w:bookmarkEnd w:id="734"/>
      <w:bookmarkEnd w:id="735"/>
      <w:bookmarkEnd w:id="736"/>
    </w:p>
    <w:p w:rsidR="00245F70" w:rsidRPr="006D71C7" w:rsidRDefault="000C7DE0" w:rsidP="006D71C7">
      <w:pPr>
        <w:pStyle w:val="Tekstpodstawowy2"/>
        <w:tabs>
          <w:tab w:val="left" w:pos="284"/>
          <w:tab w:val="left" w:pos="426"/>
        </w:tabs>
        <w:spacing w:after="120" w:line="276" w:lineRule="auto"/>
        <w:jc w:val="both"/>
        <w:rPr>
          <w:szCs w:val="24"/>
        </w:rPr>
      </w:pPr>
      <w:r w:rsidRPr="006D71C7">
        <w:rPr>
          <w:b/>
        </w:rPr>
        <w:t>Opis projektu</w:t>
      </w:r>
      <w:r w:rsidRPr="006D71C7">
        <w:rPr>
          <w:szCs w:val="24"/>
        </w:rPr>
        <w:t>: p</w:t>
      </w:r>
      <w:r w:rsidR="005A1F9A" w:rsidRPr="006D71C7">
        <w:rPr>
          <w:szCs w:val="24"/>
        </w:rPr>
        <w:t>rojekt ma na celu zapewnienie spraw</w:t>
      </w:r>
      <w:r w:rsidRPr="006D71C7">
        <w:rPr>
          <w:szCs w:val="24"/>
        </w:rPr>
        <w:t>nych powiązań komunikacyjnych w </w:t>
      </w:r>
      <w:r w:rsidR="005A1F9A" w:rsidRPr="006D71C7">
        <w:rPr>
          <w:szCs w:val="24"/>
        </w:rPr>
        <w:t>węzłowym obs</w:t>
      </w:r>
      <w:r w:rsidRPr="006D71C7">
        <w:rPr>
          <w:szCs w:val="24"/>
        </w:rPr>
        <w:t>zarze konurbacji katowickiej, w </w:t>
      </w:r>
      <w:r w:rsidR="005A1F9A" w:rsidRPr="006D71C7">
        <w:rPr>
          <w:szCs w:val="24"/>
        </w:rPr>
        <w:t>tym miast, przez które przebiega, dla obsłużenia ruchu mającego swoje źródła i cele wewnątrz konurb</w:t>
      </w:r>
      <w:r w:rsidRPr="006D71C7">
        <w:rPr>
          <w:szCs w:val="24"/>
        </w:rPr>
        <w:t>acji.</w:t>
      </w:r>
      <w:r w:rsidR="005A1F9A" w:rsidRPr="006D71C7">
        <w:rPr>
          <w:szCs w:val="24"/>
        </w:rPr>
        <w:t xml:space="preserve"> </w:t>
      </w:r>
      <w:r w:rsidRPr="006D71C7">
        <w:rPr>
          <w:szCs w:val="24"/>
        </w:rPr>
        <w:t>P</w:t>
      </w:r>
      <w:r w:rsidR="005A1F9A" w:rsidRPr="006D71C7">
        <w:rPr>
          <w:szCs w:val="24"/>
        </w:rPr>
        <w:t>rojekt został podzielony na trzy zadania (podprojekty). Pierwsze zadanie (podprojekt) Beneficjent zrealizował z innych ś</w:t>
      </w:r>
      <w:r w:rsidRPr="006D71C7">
        <w:rPr>
          <w:szCs w:val="24"/>
        </w:rPr>
        <w:t>rodków finansowych, natomiast w </w:t>
      </w:r>
      <w:r w:rsidR="005A1F9A" w:rsidRPr="006D71C7">
        <w:rPr>
          <w:szCs w:val="24"/>
        </w:rPr>
        <w:t>ramach dwóch pozostałych zadań (podprojektów) Beneficj</w:t>
      </w:r>
      <w:r w:rsidRPr="006D71C7">
        <w:rPr>
          <w:szCs w:val="24"/>
        </w:rPr>
        <w:t>ent wnioskuje o środki unijne z </w:t>
      </w:r>
      <w:r w:rsidR="005A1F9A" w:rsidRPr="006D71C7">
        <w:rPr>
          <w:szCs w:val="24"/>
        </w:rPr>
        <w:t xml:space="preserve">RPO WSL. </w:t>
      </w:r>
    </w:p>
    <w:p w:rsidR="008A0724" w:rsidRPr="006D71C7" w:rsidRDefault="000C7DE0" w:rsidP="006D71C7">
      <w:pPr>
        <w:pStyle w:val="Tekstpodstawowy2"/>
        <w:tabs>
          <w:tab w:val="left" w:pos="284"/>
          <w:tab w:val="left" w:pos="426"/>
        </w:tabs>
        <w:spacing w:line="276" w:lineRule="auto"/>
        <w:jc w:val="both"/>
        <w:rPr>
          <w:szCs w:val="24"/>
        </w:rPr>
      </w:pPr>
      <w:r w:rsidRPr="006D71C7">
        <w:rPr>
          <w:b/>
          <w:szCs w:val="24"/>
        </w:rPr>
        <w:t>Zaawansowanie prac</w:t>
      </w:r>
      <w:r w:rsidRPr="006D71C7">
        <w:rPr>
          <w:szCs w:val="24"/>
        </w:rPr>
        <w:t xml:space="preserve">: </w:t>
      </w:r>
    </w:p>
    <w:p w:rsidR="00E66DFE" w:rsidRPr="006D71C7" w:rsidRDefault="008A0724" w:rsidP="00BA2FE7">
      <w:pPr>
        <w:pStyle w:val="Tekstpodstawowy2"/>
        <w:numPr>
          <w:ilvl w:val="0"/>
          <w:numId w:val="52"/>
        </w:numPr>
        <w:tabs>
          <w:tab w:val="left" w:pos="284"/>
          <w:tab w:val="left" w:pos="426"/>
        </w:tabs>
        <w:spacing w:line="276" w:lineRule="auto"/>
        <w:jc w:val="both"/>
        <w:rPr>
          <w:szCs w:val="24"/>
        </w:rPr>
      </w:pPr>
      <w:r w:rsidRPr="006D71C7">
        <w:rPr>
          <w:szCs w:val="24"/>
        </w:rPr>
        <w:t>p</w:t>
      </w:r>
      <w:r w:rsidR="005A1F9A" w:rsidRPr="006D71C7">
        <w:rPr>
          <w:szCs w:val="24"/>
        </w:rPr>
        <w:t>rojekt przeszedł pozytywnie wstępną ocenę for</w:t>
      </w:r>
      <w:r w:rsidRPr="006D71C7">
        <w:rPr>
          <w:szCs w:val="24"/>
        </w:rPr>
        <w:t>malną i merytoryczno-techniczną</w:t>
      </w:r>
      <w:r w:rsidR="00E66DFE" w:rsidRPr="006D71C7">
        <w:rPr>
          <w:szCs w:val="24"/>
        </w:rPr>
        <w:t>,</w:t>
      </w:r>
    </w:p>
    <w:p w:rsidR="008A0724" w:rsidRPr="006D71C7" w:rsidRDefault="005A1F9A" w:rsidP="00BA2FE7">
      <w:pPr>
        <w:pStyle w:val="Tekstpodstawowy2"/>
        <w:numPr>
          <w:ilvl w:val="0"/>
          <w:numId w:val="52"/>
        </w:numPr>
        <w:tabs>
          <w:tab w:val="left" w:pos="284"/>
          <w:tab w:val="left" w:pos="426"/>
        </w:tabs>
        <w:spacing w:line="276" w:lineRule="auto"/>
        <w:jc w:val="both"/>
        <w:rPr>
          <w:szCs w:val="24"/>
        </w:rPr>
      </w:pPr>
      <w:r w:rsidRPr="006D71C7">
        <w:rPr>
          <w:szCs w:val="24"/>
        </w:rPr>
        <w:t>lip</w:t>
      </w:r>
      <w:r w:rsidR="008A0724" w:rsidRPr="006D71C7">
        <w:rPr>
          <w:szCs w:val="24"/>
        </w:rPr>
        <w:t>iec</w:t>
      </w:r>
      <w:r w:rsidRPr="006D71C7">
        <w:rPr>
          <w:szCs w:val="24"/>
        </w:rPr>
        <w:t xml:space="preserve"> 2008r. podpisano umowę ramową z </w:t>
      </w:r>
      <w:r w:rsidR="008A0724" w:rsidRPr="006D71C7">
        <w:rPr>
          <w:szCs w:val="24"/>
        </w:rPr>
        <w:t>Beneficjentem,</w:t>
      </w:r>
    </w:p>
    <w:p w:rsidR="00C43AA1" w:rsidRPr="006D71C7" w:rsidRDefault="00E66DFE" w:rsidP="00BA2FE7">
      <w:pPr>
        <w:pStyle w:val="Tekstpodstawowy2"/>
        <w:numPr>
          <w:ilvl w:val="0"/>
          <w:numId w:val="52"/>
        </w:numPr>
        <w:tabs>
          <w:tab w:val="left" w:pos="284"/>
          <w:tab w:val="left" w:pos="426"/>
        </w:tabs>
        <w:spacing w:line="276" w:lineRule="auto"/>
        <w:jc w:val="both"/>
        <w:rPr>
          <w:szCs w:val="24"/>
        </w:rPr>
      </w:pPr>
      <w:r w:rsidRPr="006D71C7">
        <w:rPr>
          <w:szCs w:val="24"/>
        </w:rPr>
        <w:t>w</w:t>
      </w:r>
      <w:r w:rsidR="005A1F9A" w:rsidRPr="006D71C7">
        <w:rPr>
          <w:szCs w:val="24"/>
        </w:rPr>
        <w:t>nioski o dofinansowanie składane są odd</w:t>
      </w:r>
      <w:r w:rsidR="00C43AA1" w:rsidRPr="006D71C7">
        <w:rPr>
          <w:szCs w:val="24"/>
        </w:rPr>
        <w:t xml:space="preserve">zielnie dla dwóch podprojektów: </w:t>
      </w:r>
    </w:p>
    <w:p w:rsidR="00C43AA1" w:rsidRPr="006D71C7" w:rsidRDefault="00C43AA1" w:rsidP="00BA2FE7">
      <w:pPr>
        <w:pStyle w:val="Tekstpodstawowy2"/>
        <w:numPr>
          <w:ilvl w:val="0"/>
          <w:numId w:val="53"/>
        </w:numPr>
        <w:tabs>
          <w:tab w:val="left" w:pos="284"/>
          <w:tab w:val="left" w:pos="426"/>
        </w:tabs>
        <w:spacing w:line="276" w:lineRule="auto"/>
        <w:ind w:left="1134" w:hanging="283"/>
        <w:jc w:val="both"/>
        <w:rPr>
          <w:szCs w:val="24"/>
        </w:rPr>
      </w:pPr>
      <w:r w:rsidRPr="006D71C7">
        <w:rPr>
          <w:szCs w:val="24"/>
        </w:rPr>
        <w:t>dla</w:t>
      </w:r>
      <w:r w:rsidR="005A1F9A" w:rsidRPr="006D71C7">
        <w:rPr>
          <w:szCs w:val="24"/>
        </w:rPr>
        <w:t xml:space="preserve"> podprojektu 2 został złożony wniosek o</w:t>
      </w:r>
      <w:r w:rsidRPr="006D71C7">
        <w:rPr>
          <w:szCs w:val="24"/>
        </w:rPr>
        <w:t xml:space="preserve"> dofinansowanie 16 maja 2011, na poczatku kolejnego okresu sprawozdawczego podprojekt zostanie</w:t>
      </w:r>
      <w:r w:rsidR="005A1F9A" w:rsidRPr="006D71C7">
        <w:rPr>
          <w:szCs w:val="24"/>
        </w:rPr>
        <w:t xml:space="preserve"> </w:t>
      </w:r>
      <w:r w:rsidRPr="006D71C7">
        <w:rPr>
          <w:szCs w:val="24"/>
        </w:rPr>
        <w:t>wysłany do </w:t>
      </w:r>
      <w:r w:rsidR="008A0724" w:rsidRPr="006D71C7">
        <w:rPr>
          <w:szCs w:val="24"/>
        </w:rPr>
        <w:t>KE</w:t>
      </w:r>
      <w:r w:rsidRPr="006D71C7">
        <w:rPr>
          <w:szCs w:val="24"/>
        </w:rPr>
        <w:t>,</w:t>
      </w:r>
      <w:r w:rsidR="008A0724" w:rsidRPr="006D71C7">
        <w:rPr>
          <w:szCs w:val="24"/>
        </w:rPr>
        <w:t xml:space="preserve"> </w:t>
      </w:r>
      <w:r w:rsidRPr="006D71C7">
        <w:rPr>
          <w:szCs w:val="24"/>
        </w:rPr>
        <w:t>z</w:t>
      </w:r>
      <w:r w:rsidR="005A1F9A" w:rsidRPr="006D71C7">
        <w:rPr>
          <w:szCs w:val="24"/>
        </w:rPr>
        <w:t>akończenie inwestycji zaplanowano na czerwiec 2014r</w:t>
      </w:r>
      <w:r w:rsidRPr="006D71C7">
        <w:rPr>
          <w:szCs w:val="24"/>
        </w:rPr>
        <w:t>.,</w:t>
      </w:r>
    </w:p>
    <w:p w:rsidR="005A1F9A" w:rsidRPr="006D71C7" w:rsidRDefault="00C43AA1" w:rsidP="00BA2FE7">
      <w:pPr>
        <w:pStyle w:val="Tekstpodstawowy2"/>
        <w:numPr>
          <w:ilvl w:val="0"/>
          <w:numId w:val="53"/>
        </w:numPr>
        <w:tabs>
          <w:tab w:val="left" w:pos="284"/>
          <w:tab w:val="left" w:pos="426"/>
        </w:tabs>
        <w:spacing w:line="276" w:lineRule="auto"/>
        <w:ind w:left="1134" w:hanging="283"/>
        <w:jc w:val="both"/>
        <w:rPr>
          <w:szCs w:val="24"/>
        </w:rPr>
      </w:pPr>
      <w:r w:rsidRPr="006D71C7">
        <w:rPr>
          <w:szCs w:val="24"/>
        </w:rPr>
        <w:t>d</w:t>
      </w:r>
      <w:r w:rsidR="005A1F9A" w:rsidRPr="006D71C7">
        <w:rPr>
          <w:szCs w:val="24"/>
        </w:rPr>
        <w:t>la podprojektu 3 wniosek o dofinansowanie został złożony 14 października 2011r.</w:t>
      </w:r>
      <w:r w:rsidRPr="006D71C7">
        <w:rPr>
          <w:szCs w:val="24"/>
        </w:rPr>
        <w:t>,</w:t>
      </w:r>
      <w:r w:rsidR="005A1F9A" w:rsidRPr="006D71C7">
        <w:rPr>
          <w:szCs w:val="24"/>
        </w:rPr>
        <w:t xml:space="preserve"> wniosek pozytywnie przeszedł ocenę formalną i merytoryczno – techniczną</w:t>
      </w:r>
      <w:r w:rsidRPr="006D71C7">
        <w:rPr>
          <w:szCs w:val="24"/>
        </w:rPr>
        <w:t>, r</w:t>
      </w:r>
      <w:r w:rsidR="005A1F9A" w:rsidRPr="006D71C7">
        <w:rPr>
          <w:szCs w:val="24"/>
        </w:rPr>
        <w:t>ozpoczęcie postepowania przetargowego zaplanowano na maj 2012r. Planowana data zawarcia umowy z wykonawcą prac inwestycyjnych IV kw 2012r. Zakończenie inwestycji zaplanowano na listopad 2014r.</w:t>
      </w:r>
    </w:p>
    <w:p w:rsidR="001B017A" w:rsidRPr="006D71C7" w:rsidRDefault="001B017A" w:rsidP="006D71C7">
      <w:pPr>
        <w:pStyle w:val="Tekstpodstawowy2"/>
        <w:tabs>
          <w:tab w:val="left" w:pos="284"/>
        </w:tabs>
        <w:spacing w:before="120" w:after="120" w:line="276" w:lineRule="auto"/>
        <w:jc w:val="both"/>
        <w:rPr>
          <w:szCs w:val="24"/>
        </w:rPr>
      </w:pPr>
    </w:p>
    <w:p w:rsidR="005A1F9A" w:rsidRPr="006D71C7" w:rsidRDefault="005A1F9A" w:rsidP="006D71C7">
      <w:pPr>
        <w:pStyle w:val="Tekstpodstawowy2"/>
        <w:tabs>
          <w:tab w:val="left" w:pos="284"/>
        </w:tabs>
        <w:spacing w:line="276" w:lineRule="auto"/>
        <w:jc w:val="both"/>
        <w:rPr>
          <w:szCs w:val="24"/>
        </w:rPr>
      </w:pPr>
      <w:r w:rsidRPr="006D71C7">
        <w:rPr>
          <w:szCs w:val="24"/>
        </w:rPr>
        <w:t>W okresie sprawozdawczym nie nastąpiły zmiany w wykazie projektów dużych.</w:t>
      </w:r>
      <w:r w:rsidR="0049792C" w:rsidRPr="006D71C7">
        <w:rPr>
          <w:szCs w:val="24"/>
        </w:rPr>
        <w:t xml:space="preserve"> </w:t>
      </w:r>
      <w:r w:rsidRPr="006D71C7">
        <w:rPr>
          <w:bCs/>
        </w:rPr>
        <w:t>Wszystkie projekty dla których istnieje obowiązek przeprowadzenia p</w:t>
      </w:r>
      <w:r w:rsidR="0049792C" w:rsidRPr="006D71C7">
        <w:rPr>
          <w:bCs/>
        </w:rPr>
        <w:t>ostępowania OOŚ przedkładają I</w:t>
      </w:r>
      <w:r w:rsidR="00FE0245" w:rsidRPr="006D71C7">
        <w:rPr>
          <w:bCs/>
        </w:rPr>
        <w:t>Z</w:t>
      </w:r>
      <w:r w:rsidR="0049792C" w:rsidRPr="006D71C7">
        <w:rPr>
          <w:bCs/>
        </w:rPr>
        <w:t> </w:t>
      </w:r>
      <w:r w:rsidRPr="006D71C7">
        <w:rPr>
          <w:bCs/>
        </w:rPr>
        <w:t>RPO WSL całą dokumentację środowiskową (decyzja środowiskowa, postanowienia uzgadniające, opiniujące i raport środowiskowy), która jest wer</w:t>
      </w:r>
      <w:r w:rsidR="00C43AA1" w:rsidRPr="006D71C7">
        <w:rPr>
          <w:bCs/>
        </w:rPr>
        <w:t>yfikowana na </w:t>
      </w:r>
      <w:r w:rsidRPr="006D71C7">
        <w:rPr>
          <w:bCs/>
        </w:rPr>
        <w:t>etapie oceny formalnej wniosku o dofinansowanie.</w:t>
      </w:r>
    </w:p>
    <w:p w:rsidR="005A1F9A" w:rsidRPr="006D71C7" w:rsidRDefault="005A1F9A" w:rsidP="006D71C7">
      <w:pPr>
        <w:pStyle w:val="Tekstpodstawowy2"/>
        <w:tabs>
          <w:tab w:val="left" w:pos="284"/>
        </w:tabs>
        <w:spacing w:line="276" w:lineRule="auto"/>
        <w:jc w:val="both"/>
        <w:rPr>
          <w:bCs/>
        </w:rPr>
      </w:pPr>
      <w:r w:rsidRPr="006D71C7">
        <w:rPr>
          <w:bCs/>
        </w:rPr>
        <w:t>Z pomocy w ramach inicjatywy Jaspers korzystali beneficje</w:t>
      </w:r>
      <w:r w:rsidR="00C43AA1" w:rsidRPr="006D71C7">
        <w:rPr>
          <w:bCs/>
        </w:rPr>
        <w:t>nci przygotowujący projekt pn. </w:t>
      </w:r>
      <w:r w:rsidRPr="006D71C7">
        <w:rPr>
          <w:bCs/>
          <w:i/>
        </w:rPr>
        <w:t>Kontynuacja budowy Drogowej Trasy Średnicowej „Zachód” – odcinek Zabrze – Gliwice</w:t>
      </w:r>
      <w:r w:rsidR="00C43AA1" w:rsidRPr="006D71C7">
        <w:rPr>
          <w:bCs/>
        </w:rPr>
        <w:t xml:space="preserve">, oraz projekt pn. </w:t>
      </w:r>
      <w:r w:rsidRPr="006D71C7">
        <w:rPr>
          <w:bCs/>
          <w:i/>
        </w:rPr>
        <w:t>Budowa nowej siedzib</w:t>
      </w:r>
      <w:r w:rsidR="00C43AA1" w:rsidRPr="006D71C7">
        <w:rPr>
          <w:bCs/>
          <w:i/>
        </w:rPr>
        <w:t>y Muzeum Śląskiego w Katowicach</w:t>
      </w:r>
      <w:r w:rsidR="00C43AA1" w:rsidRPr="006D71C7">
        <w:rPr>
          <w:bCs/>
        </w:rPr>
        <w:t>.</w:t>
      </w:r>
    </w:p>
    <w:p w:rsidR="005A1F9A" w:rsidRPr="006D71C7" w:rsidRDefault="005A1F9A" w:rsidP="006D71C7">
      <w:pPr>
        <w:pStyle w:val="Tekstpodstawowy2"/>
        <w:tabs>
          <w:tab w:val="left" w:pos="284"/>
        </w:tabs>
        <w:spacing w:line="276" w:lineRule="auto"/>
        <w:jc w:val="both"/>
        <w:rPr>
          <w:bCs/>
        </w:rPr>
      </w:pPr>
      <w:r w:rsidRPr="006D71C7">
        <w:rPr>
          <w:bCs/>
        </w:rPr>
        <w:t>W ramach RPO WSL na lata 2007-2013 nie identyfikuje się projektów środowiskowych o koszcie całkowitym z przedziału 25–50 mln EUR.</w:t>
      </w:r>
    </w:p>
    <w:p w:rsidR="00245F70" w:rsidRPr="006D71C7" w:rsidRDefault="00A80D21" w:rsidP="00BA2FE7">
      <w:pPr>
        <w:pStyle w:val="Nagwek1"/>
        <w:numPr>
          <w:ilvl w:val="0"/>
          <w:numId w:val="100"/>
        </w:numPr>
        <w:tabs>
          <w:tab w:val="left" w:pos="1560"/>
        </w:tabs>
        <w:spacing w:before="240" w:after="120"/>
        <w:ind w:hanging="316"/>
        <w:jc w:val="both"/>
        <w:rPr>
          <w:spacing w:val="-3"/>
          <w:szCs w:val="24"/>
        </w:rPr>
      </w:pPr>
      <w:bookmarkStart w:id="737" w:name="_Toc327259324"/>
      <w:r w:rsidRPr="006D71C7">
        <w:rPr>
          <w:spacing w:val="-3"/>
          <w:szCs w:val="24"/>
        </w:rPr>
        <w:t>POMOC TECHNICZNA</w:t>
      </w:r>
      <w:bookmarkEnd w:id="737"/>
    </w:p>
    <w:p w:rsidR="004A2C4B" w:rsidRPr="006D71C7" w:rsidRDefault="004A2C4B" w:rsidP="006D71C7">
      <w:pPr>
        <w:spacing w:after="120"/>
        <w:jc w:val="both"/>
      </w:pPr>
      <w:r w:rsidRPr="006D71C7">
        <w:t xml:space="preserve">Wydatki poniesione z </w:t>
      </w:r>
      <w:r w:rsidR="00656140" w:rsidRPr="006D71C7">
        <w:rPr>
          <w:i/>
        </w:rPr>
        <w:t>p</w:t>
      </w:r>
      <w:r w:rsidRPr="006D71C7">
        <w:rPr>
          <w:i/>
        </w:rPr>
        <w:t>riorytetu X Pomoc Techniczna RPO WSL</w:t>
      </w:r>
      <w:r w:rsidRPr="006D71C7">
        <w:t xml:space="preserve"> miały na celu wsparcie procesu zarządzania i wdrażania oraz informacji i promocji  </w:t>
      </w:r>
      <w:r w:rsidRPr="006D71C7">
        <w:rPr>
          <w:i/>
        </w:rPr>
        <w:t xml:space="preserve">RPO WSL </w:t>
      </w:r>
      <w:r w:rsidRPr="006D71C7">
        <w:t>i były zgodne z </w:t>
      </w:r>
      <w:r w:rsidR="007338BD" w:rsidRPr="006D71C7">
        <w:rPr>
          <w:i/>
        </w:rPr>
        <w:t>Rocznym Planem Działań na 2011 rok</w:t>
      </w:r>
      <w:r w:rsidRPr="006D71C7">
        <w:t xml:space="preserve">. </w:t>
      </w:r>
    </w:p>
    <w:p w:rsidR="004A2C4B" w:rsidRPr="006D71C7" w:rsidRDefault="004A2C4B" w:rsidP="006D71C7">
      <w:pPr>
        <w:jc w:val="both"/>
      </w:pPr>
      <w:r w:rsidRPr="006D71C7">
        <w:t xml:space="preserve">Wysokość alokacji na </w:t>
      </w:r>
      <w:r w:rsidR="00656140" w:rsidRPr="006D71C7">
        <w:rPr>
          <w:i/>
        </w:rPr>
        <w:t>p</w:t>
      </w:r>
      <w:r w:rsidRPr="006D71C7">
        <w:rPr>
          <w:i/>
        </w:rPr>
        <w:t>riorytet X Pomoc techniczna</w:t>
      </w:r>
      <w:r w:rsidRPr="006D71C7">
        <w:t xml:space="preserve"> wynosi 43,20</w:t>
      </w:r>
      <w:r w:rsidR="008B1B52" w:rsidRPr="006D71C7">
        <w:t> mln EUR</w:t>
      </w:r>
      <w:r w:rsidRPr="006D71C7">
        <w:t xml:space="preserve">, co stanowi ok. 2,5% całej alokacji na </w:t>
      </w:r>
      <w:r w:rsidRPr="006D71C7">
        <w:rPr>
          <w:i/>
        </w:rPr>
        <w:t>Program.</w:t>
      </w:r>
    </w:p>
    <w:p w:rsidR="004A2C4B" w:rsidRPr="006D71C7" w:rsidRDefault="004A2C4B" w:rsidP="006D71C7">
      <w:pPr>
        <w:spacing w:after="120"/>
        <w:jc w:val="both"/>
      </w:pPr>
      <w:r w:rsidRPr="006D71C7">
        <w:t xml:space="preserve">Alokacja na wydatki związane z przygotowaniem, zarządzaniem, monitorowaniem, oceną, kontrolą i ewaluacją realizacji </w:t>
      </w:r>
      <w:r w:rsidRPr="006D71C7">
        <w:rPr>
          <w:i/>
        </w:rPr>
        <w:t>RPO WSL,</w:t>
      </w:r>
      <w:r w:rsidRPr="006D71C7">
        <w:t xml:space="preserve"> działaniami mającymi na celu zwiększenie zdolności administracyjnych oraz informacją i promocją odnośnie </w:t>
      </w:r>
      <w:r w:rsidRPr="006D71C7">
        <w:rPr>
          <w:i/>
        </w:rPr>
        <w:t>Programu z</w:t>
      </w:r>
      <w:r w:rsidRPr="006D71C7">
        <w:t xml:space="preserve">ostała podzielona na działania w ramach </w:t>
      </w:r>
      <w:r w:rsidR="00656140" w:rsidRPr="006D71C7">
        <w:rPr>
          <w:i/>
        </w:rPr>
        <w:t>p</w:t>
      </w:r>
      <w:r w:rsidRPr="006D71C7">
        <w:rPr>
          <w:i/>
        </w:rPr>
        <w:t>riorytetu X Pomoc techniczna</w:t>
      </w:r>
      <w:r w:rsidRPr="006D71C7">
        <w:t xml:space="preserve">. </w:t>
      </w:r>
    </w:p>
    <w:p w:rsidR="004A2C4B" w:rsidRPr="006D71C7" w:rsidRDefault="004A2C4B" w:rsidP="006D71C7">
      <w:pPr>
        <w:spacing w:after="0"/>
        <w:jc w:val="both"/>
      </w:pPr>
      <w:r w:rsidRPr="006D71C7">
        <w:t xml:space="preserve">Wysokość alokacji na działania w ramach </w:t>
      </w:r>
      <w:r w:rsidR="00656140" w:rsidRPr="006D71C7">
        <w:rPr>
          <w:i/>
        </w:rPr>
        <w:t>p</w:t>
      </w:r>
      <w:r w:rsidRPr="006D71C7">
        <w:rPr>
          <w:i/>
        </w:rPr>
        <w:t>riorytetu X Pomoc techniczna</w:t>
      </w:r>
      <w:r w:rsidRPr="006D71C7">
        <w:t xml:space="preserve"> przedstawia się następująco:</w:t>
      </w:r>
    </w:p>
    <w:p w:rsidR="004A2C4B" w:rsidRPr="006D71C7" w:rsidRDefault="004A2C4B" w:rsidP="00BA2FE7">
      <w:pPr>
        <w:numPr>
          <w:ilvl w:val="0"/>
          <w:numId w:val="89"/>
        </w:numPr>
        <w:spacing w:after="0"/>
        <w:jc w:val="both"/>
      </w:pPr>
      <w:r w:rsidRPr="006D71C7">
        <w:t>Działanie 10.1 Wsparcie procesu zarządzan</w:t>
      </w:r>
      <w:r w:rsidR="008B1B52" w:rsidRPr="006D71C7">
        <w:t>ia i wdrażania – 39 196 934 EUR</w:t>
      </w:r>
      <w:r w:rsidRPr="006D71C7">
        <w:t xml:space="preserve">, co stanowi ok. 91 % całej alokacji na </w:t>
      </w:r>
      <w:r w:rsidR="00656140" w:rsidRPr="006D71C7">
        <w:t>p</w:t>
      </w:r>
      <w:r w:rsidRPr="006D71C7">
        <w:t>riorytet X.</w:t>
      </w:r>
    </w:p>
    <w:p w:rsidR="004A2C4B" w:rsidRPr="006D71C7" w:rsidRDefault="004A2C4B" w:rsidP="00BA2FE7">
      <w:pPr>
        <w:numPr>
          <w:ilvl w:val="0"/>
          <w:numId w:val="89"/>
        </w:numPr>
        <w:spacing w:after="0"/>
        <w:ind w:left="777" w:hanging="357"/>
        <w:jc w:val="both"/>
      </w:pPr>
      <w:r w:rsidRPr="006D71C7">
        <w:t>Działanie 10.2. Działania informacy</w:t>
      </w:r>
      <w:r w:rsidR="008B1B52" w:rsidRPr="006D71C7">
        <w:t>jne i promocyjne- 4 000 000 EUR</w:t>
      </w:r>
      <w:r w:rsidRPr="006D71C7">
        <w:t>, co stanowi ok. 9 % alokacji na Priorytet X.</w:t>
      </w:r>
    </w:p>
    <w:p w:rsidR="00597A05" w:rsidRDefault="00597A05" w:rsidP="006D71C7">
      <w:pPr>
        <w:spacing w:after="120"/>
        <w:jc w:val="both"/>
      </w:pPr>
    </w:p>
    <w:p w:rsidR="004A2C4B" w:rsidRPr="006D71C7" w:rsidRDefault="004A2C4B" w:rsidP="006D71C7">
      <w:pPr>
        <w:spacing w:after="120"/>
        <w:jc w:val="both"/>
      </w:pPr>
      <w:r w:rsidRPr="006D71C7">
        <w:t xml:space="preserve">W ramach  </w:t>
      </w:r>
      <w:r w:rsidR="00656140" w:rsidRPr="006D71C7">
        <w:t>p</w:t>
      </w:r>
      <w:r w:rsidRPr="006D71C7">
        <w:t>riorytetu X Pomoc techniczna realizowane projekty finansowane są w 100% ze środków EFRR.</w:t>
      </w:r>
    </w:p>
    <w:p w:rsidR="004A2C4B" w:rsidRPr="006D71C7" w:rsidRDefault="004A2C4B" w:rsidP="006D71C7">
      <w:pPr>
        <w:jc w:val="both"/>
      </w:pPr>
      <w:r w:rsidRPr="006D71C7">
        <w:t xml:space="preserve">Zadania objęte finansowaniem ze środków Pomocy Technicznej RPO WSL realizowane są na podstawie </w:t>
      </w:r>
      <w:r w:rsidRPr="006D71C7">
        <w:rPr>
          <w:i/>
        </w:rPr>
        <w:t xml:space="preserve">Rocznych Planów Działań </w:t>
      </w:r>
      <w:r w:rsidRPr="006D71C7">
        <w:t xml:space="preserve">w podziale na Działanie 10.1 </w:t>
      </w:r>
      <w:r w:rsidRPr="006D71C7">
        <w:rPr>
          <w:i/>
        </w:rPr>
        <w:t>Wsparcie procesu zarządzania i wdrażania</w:t>
      </w:r>
      <w:r w:rsidRPr="006D71C7">
        <w:t xml:space="preserve"> oraz Działanie 10.2 </w:t>
      </w:r>
      <w:r w:rsidRPr="006D71C7">
        <w:rPr>
          <w:i/>
        </w:rPr>
        <w:t>Działania informacyjne i promocyjne.</w:t>
      </w:r>
    </w:p>
    <w:p w:rsidR="004A2C4B" w:rsidRPr="006D71C7" w:rsidRDefault="007338BD" w:rsidP="006D71C7">
      <w:pPr>
        <w:jc w:val="both"/>
      </w:pPr>
      <w:r w:rsidRPr="006D71C7">
        <w:rPr>
          <w:i/>
        </w:rPr>
        <w:t>Roczny Plan Działań na 2011 r.</w:t>
      </w:r>
      <w:r w:rsidR="004A2C4B" w:rsidRPr="006D71C7">
        <w:t xml:space="preserve"> w ramach </w:t>
      </w:r>
      <w:r w:rsidRPr="006D71C7">
        <w:rPr>
          <w:i/>
        </w:rPr>
        <w:t>działania 10.1</w:t>
      </w:r>
      <w:r w:rsidR="004A2C4B" w:rsidRPr="006D71C7">
        <w:t xml:space="preserve"> zakładał wydatki na poziomie </w:t>
      </w:r>
      <w:r w:rsidR="00533375" w:rsidRPr="006D71C7">
        <w:t>4 344 819,97 EUR</w:t>
      </w:r>
      <w:r w:rsidR="004A2C4B" w:rsidRPr="006D71C7">
        <w:t xml:space="preserve"> W drugim półroczu 2011 roku w ramach ośmiu zadań wydatkowano </w:t>
      </w:r>
      <w:r w:rsidR="00533375" w:rsidRPr="006D71C7">
        <w:t>1 753 878,97 EUR</w:t>
      </w:r>
      <w:r w:rsidR="004A2C4B" w:rsidRPr="006D71C7">
        <w:t xml:space="preserve"> Poziom realizacji w stosunku do zakładanego w </w:t>
      </w:r>
      <w:r w:rsidRPr="006D71C7">
        <w:rPr>
          <w:i/>
        </w:rPr>
        <w:t>Rocznym Planie Działań na rok 2011</w:t>
      </w:r>
      <w:r w:rsidR="004A2C4B" w:rsidRPr="006D71C7">
        <w:t xml:space="preserve"> wyniósł 40,37%. </w:t>
      </w:r>
    </w:p>
    <w:p w:rsidR="004A2C4B" w:rsidRPr="006D71C7" w:rsidRDefault="004A2C4B" w:rsidP="006D71C7">
      <w:pPr>
        <w:spacing w:after="0"/>
        <w:jc w:val="both"/>
      </w:pPr>
      <w:r w:rsidRPr="006D71C7">
        <w:t>W ramach ww. działania realizowane były następujące zadania:</w:t>
      </w:r>
    </w:p>
    <w:p w:rsidR="004A2C4B" w:rsidRPr="006D71C7" w:rsidRDefault="004A2C4B" w:rsidP="00BA2FE7">
      <w:pPr>
        <w:numPr>
          <w:ilvl w:val="0"/>
          <w:numId w:val="87"/>
        </w:numPr>
        <w:spacing w:after="0"/>
        <w:jc w:val="both"/>
      </w:pPr>
      <w:r w:rsidRPr="006D71C7">
        <w:t>finansowanie kosztów zatrudnienia pracowników zaangażowanych w proces zarządzania i wdrażania RPO WSL,</w:t>
      </w:r>
    </w:p>
    <w:p w:rsidR="004A2C4B" w:rsidRPr="006D71C7" w:rsidRDefault="004A2C4B" w:rsidP="00BA2FE7">
      <w:pPr>
        <w:numPr>
          <w:ilvl w:val="0"/>
          <w:numId w:val="87"/>
        </w:numPr>
        <w:spacing w:after="0"/>
        <w:jc w:val="both"/>
      </w:pPr>
      <w:r w:rsidRPr="006D71C7">
        <w:t>organizacja i obsługa procesu oceny i selekcji projektów w ramach RPO WSL,</w:t>
      </w:r>
    </w:p>
    <w:p w:rsidR="004A2C4B" w:rsidRPr="006D71C7" w:rsidRDefault="004A2C4B" w:rsidP="00BA2FE7">
      <w:pPr>
        <w:numPr>
          <w:ilvl w:val="0"/>
          <w:numId w:val="87"/>
        </w:numPr>
        <w:spacing w:after="0"/>
        <w:jc w:val="both"/>
      </w:pPr>
      <w:r w:rsidRPr="006D71C7">
        <w:t>podnoszenie kwalifikacji pracowników zajmujących się zarządzaniem i wdrażaniem RPO WSL,</w:t>
      </w:r>
    </w:p>
    <w:p w:rsidR="004A2C4B" w:rsidRPr="006D71C7" w:rsidRDefault="004A2C4B" w:rsidP="00BA2FE7">
      <w:pPr>
        <w:numPr>
          <w:ilvl w:val="0"/>
          <w:numId w:val="87"/>
        </w:numPr>
        <w:spacing w:after="0"/>
        <w:jc w:val="both"/>
      </w:pPr>
      <w:r w:rsidRPr="006D71C7">
        <w:t xml:space="preserve">przeprowadzenie badań ewaluacyjnych a także badań, opinii, analiz, studiów, ekspertyz oraz tłumaczeń na potrzeby RPO WSL, </w:t>
      </w:r>
    </w:p>
    <w:p w:rsidR="004A2C4B" w:rsidRPr="006D71C7" w:rsidRDefault="004A2C4B" w:rsidP="00BA2FE7">
      <w:pPr>
        <w:numPr>
          <w:ilvl w:val="0"/>
          <w:numId w:val="87"/>
        </w:numPr>
        <w:spacing w:after="0"/>
        <w:jc w:val="both"/>
      </w:pPr>
      <w:r w:rsidRPr="006D71C7">
        <w:t xml:space="preserve">podróże służbowe pracowników zaangażowanych w proces zarządzania i wdrażania RPO WSL, </w:t>
      </w:r>
    </w:p>
    <w:p w:rsidR="004A2C4B" w:rsidRPr="006D71C7" w:rsidRDefault="004A2C4B" w:rsidP="00BA2FE7">
      <w:pPr>
        <w:numPr>
          <w:ilvl w:val="0"/>
          <w:numId w:val="87"/>
        </w:numPr>
        <w:spacing w:after="0"/>
        <w:jc w:val="both"/>
      </w:pPr>
      <w:r w:rsidRPr="006D71C7">
        <w:t xml:space="preserve">obsługa i wyposażenie Instytucji Zarządzającej RPO WSL, </w:t>
      </w:r>
    </w:p>
    <w:p w:rsidR="004A2C4B" w:rsidRPr="006D71C7" w:rsidRDefault="004A2C4B" w:rsidP="00BA2FE7">
      <w:pPr>
        <w:numPr>
          <w:ilvl w:val="0"/>
          <w:numId w:val="87"/>
        </w:numPr>
        <w:spacing w:after="0"/>
        <w:jc w:val="both"/>
      </w:pPr>
      <w:r w:rsidRPr="006D71C7">
        <w:t>utrzymanie oraz obsługa techniczna systemu informatycznego na potrzeby RPO WSL,</w:t>
      </w:r>
    </w:p>
    <w:p w:rsidR="004A2C4B" w:rsidRPr="006D71C7" w:rsidRDefault="004A2C4B" w:rsidP="00BA2FE7">
      <w:pPr>
        <w:numPr>
          <w:ilvl w:val="0"/>
          <w:numId w:val="87"/>
        </w:numPr>
        <w:spacing w:after="120"/>
        <w:ind w:left="714" w:hanging="357"/>
        <w:jc w:val="both"/>
      </w:pPr>
      <w:r w:rsidRPr="006D71C7">
        <w:t>przygotowanie wydawnictw oraz organizacja spotkań dotyczących RPO WSL (w tym obsługę Komitetu Monitorującego RPO WSL).</w:t>
      </w:r>
    </w:p>
    <w:p w:rsidR="004A2C4B" w:rsidRPr="006D71C7" w:rsidRDefault="007338BD" w:rsidP="006D71C7">
      <w:pPr>
        <w:jc w:val="both"/>
      </w:pPr>
      <w:r w:rsidRPr="006D71C7">
        <w:rPr>
          <w:i/>
        </w:rPr>
        <w:t>Roczny Plan Działań na 2011</w:t>
      </w:r>
      <w:r w:rsidR="004A2C4B" w:rsidRPr="006D71C7">
        <w:t xml:space="preserve"> rok w ramach </w:t>
      </w:r>
      <w:r w:rsidRPr="006D71C7">
        <w:rPr>
          <w:i/>
        </w:rPr>
        <w:t>działania 10.2</w:t>
      </w:r>
      <w:r w:rsidR="004A2C4B" w:rsidRPr="006D71C7">
        <w:t xml:space="preserve"> zakładał wydatki na poziomie </w:t>
      </w:r>
      <w:r w:rsidR="007920AD" w:rsidRPr="006D71C7">
        <w:t>560 636,19 EUR</w:t>
      </w:r>
      <w:r w:rsidR="004A2C4B" w:rsidRPr="006D71C7">
        <w:t xml:space="preserve">. W drugim półroczu 2011 roku w ramach czterech zadań wydatkowano </w:t>
      </w:r>
      <w:r w:rsidR="00533375" w:rsidRPr="006D71C7">
        <w:t>416 822,33 EUR</w:t>
      </w:r>
      <w:r w:rsidR="004A2C4B" w:rsidRPr="006D71C7">
        <w:t xml:space="preserve"> Poziom realizacji w stosunku do zakładanego w </w:t>
      </w:r>
      <w:r w:rsidRPr="006D71C7">
        <w:rPr>
          <w:i/>
        </w:rPr>
        <w:t xml:space="preserve">Rocznym Planie Działań              na rok 2011 </w:t>
      </w:r>
      <w:r w:rsidR="004A2C4B" w:rsidRPr="006D71C7">
        <w:t>wyniósł 74,35 %.</w:t>
      </w:r>
    </w:p>
    <w:p w:rsidR="004A2C4B" w:rsidRPr="006D71C7" w:rsidRDefault="004A2C4B" w:rsidP="006D71C7">
      <w:pPr>
        <w:spacing w:after="0"/>
        <w:jc w:val="both"/>
      </w:pPr>
      <w:r w:rsidRPr="006D71C7">
        <w:t>W ramach ww. działania realizowane były następujące zadania:</w:t>
      </w:r>
    </w:p>
    <w:p w:rsidR="004A2C4B" w:rsidRPr="006D71C7" w:rsidRDefault="004A2C4B" w:rsidP="00BA2FE7">
      <w:pPr>
        <w:numPr>
          <w:ilvl w:val="0"/>
          <w:numId w:val="88"/>
        </w:numPr>
        <w:spacing w:after="0"/>
        <w:jc w:val="both"/>
      </w:pPr>
      <w:r w:rsidRPr="006D71C7">
        <w:t>finansowanie działań informacyjnych RPO WSL, w tym m.in. koszty wynagrodzeń osób zatrudnionych w punktach informacyjnych RPO WSL, koszty utrzymania i wyposażenia punktów informacyjnych RPO WSL oraz publikację ogłoszeń w prasie i koszty utrzymania strony internetowej,</w:t>
      </w:r>
    </w:p>
    <w:p w:rsidR="004A2C4B" w:rsidRPr="006D71C7" w:rsidRDefault="004A2C4B" w:rsidP="00BA2FE7">
      <w:pPr>
        <w:numPr>
          <w:ilvl w:val="0"/>
          <w:numId w:val="88"/>
        </w:numPr>
        <w:spacing w:after="0"/>
        <w:jc w:val="both"/>
      </w:pPr>
      <w:r w:rsidRPr="006D71C7">
        <w:t>finansowanie działań promocyjnych RPO WSL, w tym zakup materiałów promocyjnych, publikacja artykułów w prasie, publikacja wydawnictw promocyjnych, kampanie medialne o szerokim zasięgu oraz usługi tłumaczeniowe na potrzeby RPO WSL,</w:t>
      </w:r>
    </w:p>
    <w:p w:rsidR="004A2C4B" w:rsidRPr="006D71C7" w:rsidRDefault="004A2C4B" w:rsidP="00BA2FE7">
      <w:pPr>
        <w:numPr>
          <w:ilvl w:val="0"/>
          <w:numId w:val="88"/>
        </w:numPr>
        <w:spacing w:after="120"/>
        <w:ind w:left="714" w:hanging="357"/>
        <w:jc w:val="both"/>
      </w:pPr>
      <w:r w:rsidRPr="006D71C7">
        <w:t>finansowanie działań edukacyjnych RPO WSL, w tym szkoleń, seminariów informacyjnych, konferencji oraz eventów o charakterze edukacyjno-promocyjnym.</w:t>
      </w:r>
    </w:p>
    <w:p w:rsidR="004A2C4B" w:rsidRPr="006D71C7" w:rsidRDefault="007338BD" w:rsidP="006D71C7">
      <w:pPr>
        <w:pStyle w:val="Nagwek"/>
        <w:spacing w:after="0"/>
        <w:jc w:val="both"/>
      </w:pPr>
      <w:r w:rsidRPr="006D71C7">
        <w:rPr>
          <w:i/>
        </w:rPr>
        <w:t>Roczny Plan Działań na rok 2011</w:t>
      </w:r>
      <w:r w:rsidR="004A2C4B" w:rsidRPr="006D71C7">
        <w:t xml:space="preserve"> realizowany przez IP2 RPO WSL w ramach</w:t>
      </w:r>
      <w:r w:rsidR="00656140" w:rsidRPr="006D71C7">
        <w:t xml:space="preserve"> </w:t>
      </w:r>
      <w:r w:rsidR="00656140" w:rsidRPr="006D71C7">
        <w:rPr>
          <w:i/>
        </w:rPr>
        <w:t>p</w:t>
      </w:r>
      <w:r w:rsidR="004A2C4B" w:rsidRPr="006D71C7">
        <w:rPr>
          <w:i/>
        </w:rPr>
        <w:t>riorytetu X Pomoc Techniczna</w:t>
      </w:r>
      <w:r w:rsidR="004A2C4B" w:rsidRPr="006D71C7">
        <w:t xml:space="preserve"> - </w:t>
      </w:r>
      <w:r w:rsidR="004A2C4B" w:rsidRPr="006D71C7">
        <w:rPr>
          <w:i/>
        </w:rPr>
        <w:t>Działanie 10.1</w:t>
      </w:r>
      <w:r w:rsidR="004A2C4B" w:rsidRPr="006D71C7">
        <w:t xml:space="preserve"> </w:t>
      </w:r>
      <w:r w:rsidR="004A2C4B" w:rsidRPr="006D71C7">
        <w:rPr>
          <w:i/>
        </w:rPr>
        <w:t>Wsparcie procesu zarządzania i wdrażania</w:t>
      </w:r>
      <w:r w:rsidR="004A2C4B" w:rsidRPr="006D71C7">
        <w:t xml:space="preserve"> zakładał wydatki na poziomie 8 903 300,00 PLN. W związku ze zwiększeniem planu finansowego wydatków Śląskiego Centrum Przedsiębiorczości o kwotę </w:t>
      </w:r>
      <w:r w:rsidR="008B1B52" w:rsidRPr="006D71C7">
        <w:t>28 495.70 EUR dokonanego na </w:t>
      </w:r>
      <w:r w:rsidR="004A2C4B" w:rsidRPr="006D71C7">
        <w:t>podstawie uchwały Zarządu Województwa Śląskiego podwyższenia</w:t>
      </w:r>
      <w:r w:rsidR="008B1B52" w:rsidRPr="006D71C7">
        <w:t xml:space="preserve"> dofinansowanie do </w:t>
      </w:r>
      <w:r w:rsidR="004A2C4B" w:rsidRPr="006D71C7">
        <w:t xml:space="preserve">kwoty </w:t>
      </w:r>
      <w:r w:rsidR="008B1B52" w:rsidRPr="006D71C7">
        <w:t>1 995 206,54 EUR</w:t>
      </w:r>
      <w:r w:rsidR="004A2C4B" w:rsidRPr="006D71C7">
        <w:t xml:space="preserve">. W ramach </w:t>
      </w:r>
      <w:r w:rsidR="00656140" w:rsidRPr="006D71C7">
        <w:rPr>
          <w:i/>
        </w:rPr>
        <w:t>d</w:t>
      </w:r>
      <w:r w:rsidR="004A2C4B" w:rsidRPr="006D71C7">
        <w:rPr>
          <w:i/>
        </w:rPr>
        <w:t>ziałania 10.1 Wsparcie procesu zarządzania i wdrażania</w:t>
      </w:r>
      <w:r w:rsidR="004A2C4B" w:rsidRPr="006D71C7">
        <w:t xml:space="preserve"> realizowane były następujące zadania:</w:t>
      </w:r>
    </w:p>
    <w:p w:rsidR="004A2C4B" w:rsidRPr="006D71C7" w:rsidRDefault="004A2C4B" w:rsidP="00BA2FE7">
      <w:pPr>
        <w:pStyle w:val="Nagwek"/>
        <w:numPr>
          <w:ilvl w:val="0"/>
          <w:numId w:val="90"/>
        </w:numPr>
        <w:spacing w:after="0"/>
        <w:jc w:val="both"/>
      </w:pPr>
      <w:r w:rsidRPr="006D71C7">
        <w:t>finansowanie kosztów zatrudnienia pracowników zaangażowanych w proces wdrażania RPO WSL oraz finansowanie kosztów związanych z wynagrodzeniem osób zatrudnionych na podstawie umów cywilnoprawnych w celu wsparcia procesu wdrażania RPO WSL,</w:t>
      </w:r>
    </w:p>
    <w:p w:rsidR="004A2C4B" w:rsidRPr="006D71C7" w:rsidRDefault="004A2C4B" w:rsidP="00BA2FE7">
      <w:pPr>
        <w:pStyle w:val="Nagwek"/>
        <w:numPr>
          <w:ilvl w:val="0"/>
          <w:numId w:val="90"/>
        </w:numPr>
        <w:spacing w:after="0"/>
        <w:jc w:val="both"/>
      </w:pPr>
      <w:r w:rsidRPr="006D71C7">
        <w:t>wyposażenie stanowisk pracy w sprzęt biurowy, komputerowy wraz z oprogramowaniem, audiowizualny, teleinformatyczny, elektroniczny itp., a także zakup urządzeń i materiałów biurowych, pomocy naukowych (m.in. literatury fachowej, słowników, czasopism itp.) umożliwiających prawidłowe wykonanie zadań związanych z procesem wdrażania RPO WSL,</w:t>
      </w:r>
    </w:p>
    <w:p w:rsidR="004A2C4B" w:rsidRPr="006D71C7" w:rsidRDefault="004A2C4B" w:rsidP="00BA2FE7">
      <w:pPr>
        <w:pStyle w:val="Nagwek"/>
        <w:numPr>
          <w:ilvl w:val="0"/>
          <w:numId w:val="90"/>
        </w:numPr>
        <w:spacing w:after="0"/>
        <w:jc w:val="both"/>
      </w:pPr>
      <w:r w:rsidRPr="006D71C7">
        <w:t>finansowanie wydatków organizacyjno-administracyjnych oraz stworzenie, uruchomienie i utrzymanie, a także obsługa techniczna systemów informatycznych umożliwiających prawidłowe wykonanie zadań związanych z procesem wdrażania RPO WSL,</w:t>
      </w:r>
    </w:p>
    <w:p w:rsidR="004A2C4B" w:rsidRPr="006D71C7" w:rsidRDefault="004A2C4B" w:rsidP="00BA2FE7">
      <w:pPr>
        <w:pStyle w:val="Nagwek"/>
        <w:numPr>
          <w:ilvl w:val="0"/>
          <w:numId w:val="90"/>
        </w:numPr>
        <w:spacing w:after="0"/>
        <w:jc w:val="both"/>
      </w:pPr>
      <w:r w:rsidRPr="006D71C7">
        <w:t>finansowanie kosztów podnoszenia kwalifikacji zawodowych pracowników zaangażowanych w proces wdrażania RPO WSL,</w:t>
      </w:r>
    </w:p>
    <w:p w:rsidR="004A2C4B" w:rsidRPr="006D71C7" w:rsidRDefault="004A2C4B" w:rsidP="00BA2FE7">
      <w:pPr>
        <w:pStyle w:val="Nagwek"/>
        <w:numPr>
          <w:ilvl w:val="0"/>
          <w:numId w:val="90"/>
        </w:numPr>
        <w:spacing w:after="120"/>
        <w:ind w:left="714" w:hanging="357"/>
        <w:jc w:val="both"/>
      </w:pPr>
      <w:r w:rsidRPr="006D71C7">
        <w:t>finansowanie kosztów podróży służbowych pracowników zaangażowanych w proces RPO WSL.</w:t>
      </w:r>
    </w:p>
    <w:p w:rsidR="004A2C4B" w:rsidRPr="006D71C7" w:rsidRDefault="007338BD" w:rsidP="006D71C7">
      <w:pPr>
        <w:pStyle w:val="Nagwek"/>
        <w:spacing w:after="0"/>
        <w:jc w:val="both"/>
      </w:pPr>
      <w:r w:rsidRPr="006D71C7">
        <w:rPr>
          <w:i/>
        </w:rPr>
        <w:t>Roczny Plan Działań na rok 2011</w:t>
      </w:r>
      <w:r w:rsidR="004A2C4B" w:rsidRPr="006D71C7">
        <w:t xml:space="preserve"> realizowany przez IP2 RPO WSL w ramach </w:t>
      </w:r>
      <w:r w:rsidR="00656140" w:rsidRPr="006D71C7">
        <w:rPr>
          <w:i/>
        </w:rPr>
        <w:t>p</w:t>
      </w:r>
      <w:r w:rsidR="004A2C4B" w:rsidRPr="006D71C7">
        <w:rPr>
          <w:i/>
        </w:rPr>
        <w:t>riorytetu X Pomoc Techniczna</w:t>
      </w:r>
      <w:r w:rsidR="004A2C4B" w:rsidRPr="006D71C7">
        <w:t xml:space="preserve"> – </w:t>
      </w:r>
      <w:r w:rsidR="00656140" w:rsidRPr="006D71C7">
        <w:rPr>
          <w:i/>
        </w:rPr>
        <w:t>d</w:t>
      </w:r>
      <w:r w:rsidR="008B1B52" w:rsidRPr="006D71C7">
        <w:rPr>
          <w:i/>
        </w:rPr>
        <w:t>ziałanie</w:t>
      </w:r>
      <w:r w:rsidR="004A2C4B" w:rsidRPr="006D71C7">
        <w:rPr>
          <w:i/>
        </w:rPr>
        <w:t xml:space="preserve"> 10.2 Działania informacyjne i promocyjne</w:t>
      </w:r>
      <w:r w:rsidR="000147E5">
        <w:t xml:space="preserve"> zakładał wydatki na </w:t>
      </w:r>
      <w:r w:rsidR="004A2C4B" w:rsidRPr="006D71C7">
        <w:t xml:space="preserve">poziomie </w:t>
      </w:r>
      <w:r w:rsidR="008B1B52" w:rsidRPr="006D71C7">
        <w:t>0,20 mln EUR</w:t>
      </w:r>
      <w:r w:rsidR="004A2C4B" w:rsidRPr="006D71C7">
        <w:t>. Wydatki kwalifikowalne w ramach Działania 10.2 przeznaczone są na realizację zadań:</w:t>
      </w:r>
    </w:p>
    <w:p w:rsidR="004A2C4B" w:rsidRPr="006D71C7" w:rsidRDefault="004A2C4B" w:rsidP="00BA2FE7">
      <w:pPr>
        <w:pStyle w:val="Nagwek"/>
        <w:numPr>
          <w:ilvl w:val="0"/>
          <w:numId w:val="91"/>
        </w:numPr>
        <w:spacing w:after="0"/>
        <w:jc w:val="both"/>
      </w:pPr>
      <w:r w:rsidRPr="006D71C7">
        <w:t>organizacja i przeprowadzenie szkoleń oraz spotkań dla potencjalnych i rzeczywistych beneficjentów w związku z procesem wdrażania RPO WSL,</w:t>
      </w:r>
    </w:p>
    <w:p w:rsidR="004A2C4B" w:rsidRPr="006D71C7" w:rsidRDefault="004A2C4B" w:rsidP="00BA2FE7">
      <w:pPr>
        <w:pStyle w:val="Nagwek"/>
        <w:numPr>
          <w:ilvl w:val="0"/>
          <w:numId w:val="91"/>
        </w:numPr>
        <w:spacing w:after="0"/>
        <w:jc w:val="both"/>
      </w:pPr>
      <w:r w:rsidRPr="006D71C7">
        <w:t>działania informacyjno-promocyjne dotyczące procesu wdrażania RPO WSL,</w:t>
      </w:r>
    </w:p>
    <w:p w:rsidR="004A2C4B" w:rsidRPr="006D71C7" w:rsidRDefault="004A2C4B" w:rsidP="00BA2FE7">
      <w:pPr>
        <w:pStyle w:val="Nagwek"/>
        <w:numPr>
          <w:ilvl w:val="0"/>
          <w:numId w:val="91"/>
        </w:numPr>
        <w:spacing w:after="120"/>
        <w:ind w:left="714" w:hanging="357"/>
        <w:jc w:val="both"/>
      </w:pPr>
      <w:r w:rsidRPr="006D71C7">
        <w:t>wyposażenie i działalność punktu informacyjnego RPO WSL.</w:t>
      </w:r>
    </w:p>
    <w:p w:rsidR="00C2691C" w:rsidRPr="00C2691C" w:rsidRDefault="00C2691C" w:rsidP="00C2691C">
      <w:pPr>
        <w:jc w:val="both"/>
      </w:pPr>
      <w:r>
        <w:t xml:space="preserve">Poniżej w tabeli zaprezentowano liczbę i wartość projektów realizowanych w ramach programu na koniec okresu sprawozdawczego w podziale na typy projektów. Na koniec okresu sprawozdawczego biorąc pod uwagę podpisane decyzje wykorzystano alokację na poziomie 41%. </w:t>
      </w:r>
    </w:p>
    <w:p w:rsidR="00245F70" w:rsidRPr="006D71C7" w:rsidRDefault="007338BD" w:rsidP="006D71C7">
      <w:pPr>
        <w:pStyle w:val="Legenda"/>
        <w:jc w:val="both"/>
        <w:rPr>
          <w:color w:val="auto"/>
          <w:sz w:val="20"/>
          <w:szCs w:val="20"/>
        </w:rPr>
      </w:pPr>
      <w:bookmarkStart w:id="738" w:name="_Toc324853753"/>
      <w:bookmarkStart w:id="739" w:name="_Toc326046390"/>
      <w:r w:rsidRPr="006D71C7">
        <w:rPr>
          <w:color w:val="auto"/>
          <w:sz w:val="20"/>
          <w:szCs w:val="20"/>
        </w:rPr>
        <w:t xml:space="preserve">Tabela </w:t>
      </w:r>
      <w:r w:rsidR="008F7228" w:rsidRPr="006D71C7">
        <w:rPr>
          <w:color w:val="auto"/>
          <w:sz w:val="20"/>
          <w:szCs w:val="20"/>
        </w:rPr>
        <w:fldChar w:fldCharType="begin"/>
      </w:r>
      <w:r w:rsidRPr="006D71C7">
        <w:rPr>
          <w:color w:val="auto"/>
          <w:sz w:val="20"/>
          <w:szCs w:val="20"/>
        </w:rPr>
        <w:instrText xml:space="preserve"> SEQ Tabela \* ARABIC </w:instrText>
      </w:r>
      <w:r w:rsidR="008F7228" w:rsidRPr="006D71C7">
        <w:rPr>
          <w:color w:val="auto"/>
          <w:sz w:val="20"/>
          <w:szCs w:val="20"/>
        </w:rPr>
        <w:fldChar w:fldCharType="separate"/>
      </w:r>
      <w:r w:rsidR="006667B3">
        <w:rPr>
          <w:noProof/>
          <w:color w:val="auto"/>
          <w:sz w:val="20"/>
          <w:szCs w:val="20"/>
        </w:rPr>
        <w:t>38</w:t>
      </w:r>
      <w:r w:rsidR="008F7228" w:rsidRPr="006D71C7">
        <w:rPr>
          <w:color w:val="auto"/>
          <w:sz w:val="20"/>
          <w:szCs w:val="20"/>
        </w:rPr>
        <w:fldChar w:fldCharType="end"/>
      </w:r>
      <w:r w:rsidRPr="006D71C7">
        <w:rPr>
          <w:color w:val="auto"/>
          <w:sz w:val="20"/>
          <w:szCs w:val="20"/>
        </w:rPr>
        <w:t xml:space="preserve"> </w:t>
      </w:r>
      <w:r w:rsidRPr="006D71C7">
        <w:rPr>
          <w:b w:val="0"/>
          <w:i/>
          <w:color w:val="auto"/>
          <w:sz w:val="20"/>
          <w:szCs w:val="20"/>
        </w:rPr>
        <w:t>Liczba i wartość wszystkich projektów / planów działań w ramach programu dofinansowanych ze środków pomocy technicznej według głównych typów (projekty objęte decyzjami/ umowami o dofinansowanie)</w:t>
      </w:r>
      <w:bookmarkEnd w:id="738"/>
      <w:bookmarkEnd w:id="739"/>
    </w:p>
    <w:tbl>
      <w:tblPr>
        <w:tblStyle w:val="redniasiatka3akcent1"/>
        <w:tblW w:w="9606" w:type="dxa"/>
        <w:tblInd w:w="-176" w:type="dxa"/>
        <w:shd w:val="clear" w:color="auto" w:fill="F4B29B" w:themeFill="accent1" w:themeFillTint="66"/>
        <w:tblLayout w:type="fixed"/>
        <w:tblLook w:val="0000" w:firstRow="0" w:lastRow="0" w:firstColumn="0" w:lastColumn="0" w:noHBand="0" w:noVBand="0"/>
      </w:tblPr>
      <w:tblGrid>
        <w:gridCol w:w="539"/>
        <w:gridCol w:w="3538"/>
        <w:gridCol w:w="1560"/>
        <w:gridCol w:w="3969"/>
      </w:tblGrid>
      <w:tr w:rsidR="008B1B52" w:rsidRPr="006D71C7" w:rsidTr="00E50A67">
        <w:trPr>
          <w:cnfStyle w:val="000000100000" w:firstRow="0" w:lastRow="0" w:firstColumn="0" w:lastColumn="0" w:oddVBand="0" w:evenVBand="0" w:oddHBand="1" w:evenHBand="0" w:firstRowFirstColumn="0" w:firstRowLastColumn="0" w:lastRowFirstColumn="0" w:lastRowLastColumn="0"/>
          <w:trHeight w:val="1198"/>
        </w:trPr>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4A2C4B" w:rsidRPr="006D71C7" w:rsidRDefault="004A2C4B" w:rsidP="00C2691C">
            <w:pPr>
              <w:spacing w:before="120" w:after="120"/>
              <w:jc w:val="center"/>
              <w:rPr>
                <w:b/>
                <w:sz w:val="20"/>
                <w:szCs w:val="20"/>
              </w:rPr>
            </w:pPr>
            <w:r w:rsidRPr="006D71C7">
              <w:rPr>
                <w:b/>
                <w:sz w:val="20"/>
                <w:szCs w:val="20"/>
              </w:rPr>
              <w:t>Lp.</w:t>
            </w:r>
          </w:p>
        </w:tc>
        <w:tc>
          <w:tcPr>
            <w:tcW w:w="3538" w:type="dxa"/>
            <w:shd w:val="clear" w:color="auto" w:fill="F4B29B" w:themeFill="accent1" w:themeFillTint="66"/>
            <w:vAlign w:val="center"/>
          </w:tcPr>
          <w:p w:rsidR="004A2C4B" w:rsidRPr="006D71C7" w:rsidRDefault="004A2C4B" w:rsidP="00C2691C">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D71C7">
              <w:rPr>
                <w:b/>
                <w:sz w:val="20"/>
                <w:szCs w:val="20"/>
              </w:rPr>
              <w:t>Typ projektu</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4B29B" w:themeFill="accent1" w:themeFillTint="66"/>
            <w:vAlign w:val="center"/>
          </w:tcPr>
          <w:p w:rsidR="004A2C4B" w:rsidRPr="006D71C7" w:rsidRDefault="008B1B52" w:rsidP="00C2691C">
            <w:pPr>
              <w:spacing w:before="120" w:after="120"/>
              <w:jc w:val="center"/>
              <w:rPr>
                <w:b/>
                <w:sz w:val="20"/>
                <w:szCs w:val="20"/>
              </w:rPr>
            </w:pPr>
            <w:r w:rsidRPr="006D71C7">
              <w:rPr>
                <w:b/>
                <w:sz w:val="20"/>
                <w:szCs w:val="20"/>
              </w:rPr>
              <w:t>Liczba projektów</w:t>
            </w:r>
          </w:p>
        </w:tc>
        <w:tc>
          <w:tcPr>
            <w:tcW w:w="3969" w:type="dxa"/>
            <w:shd w:val="clear" w:color="auto" w:fill="F4B29B" w:themeFill="accent1" w:themeFillTint="66"/>
            <w:vAlign w:val="center"/>
          </w:tcPr>
          <w:p w:rsidR="004A2C4B" w:rsidRPr="006D71C7" w:rsidRDefault="004A2C4B" w:rsidP="00C2691C">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6D71C7">
              <w:rPr>
                <w:b/>
                <w:sz w:val="20"/>
                <w:szCs w:val="20"/>
              </w:rPr>
              <w:t xml:space="preserve">Wartość projektów </w:t>
            </w:r>
            <w:r w:rsidRPr="006D71C7">
              <w:rPr>
                <w:b/>
                <w:sz w:val="20"/>
                <w:szCs w:val="20"/>
              </w:rPr>
              <w:br/>
              <w:t>objętych decyzjami/ umowami (w części dofinansowania</w:t>
            </w:r>
            <w:r w:rsidRPr="006D71C7">
              <w:rPr>
                <w:b/>
                <w:sz w:val="20"/>
                <w:szCs w:val="20"/>
              </w:rPr>
              <w:br/>
              <w:t xml:space="preserve"> ze środków UE)</w:t>
            </w:r>
            <w:r w:rsidRPr="006D71C7">
              <w:rPr>
                <w:b/>
                <w:sz w:val="20"/>
                <w:szCs w:val="20"/>
              </w:rPr>
              <w:br/>
              <w:t>od uruchomienia programu</w:t>
            </w:r>
            <w:r w:rsidR="008B1B52" w:rsidRPr="006D71C7">
              <w:rPr>
                <w:b/>
                <w:sz w:val="20"/>
                <w:szCs w:val="20"/>
              </w:rPr>
              <w:t xml:space="preserve"> (mln EUR)</w:t>
            </w:r>
          </w:p>
        </w:tc>
      </w:tr>
      <w:tr w:rsidR="008B1B52" w:rsidRPr="006D71C7" w:rsidTr="00E50A67">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1.</w:t>
            </w:r>
          </w:p>
        </w:tc>
        <w:tc>
          <w:tcPr>
            <w:tcW w:w="3538" w:type="dxa"/>
            <w:shd w:val="clear" w:color="auto" w:fill="F4B29B" w:themeFill="accent1" w:themeFillTint="66"/>
            <w:vAlign w:val="center"/>
          </w:tcPr>
          <w:p w:rsidR="00C43B75" w:rsidRDefault="008B1B52" w:rsidP="00002840">
            <w:pPr>
              <w:spacing w:beforeLines="40" w:before="96" w:afterLines="40" w:after="96"/>
              <w:cnfStyle w:val="000000000000" w:firstRow="0" w:lastRow="0" w:firstColumn="0" w:lastColumn="0" w:oddVBand="0" w:evenVBand="0" w:oddHBand="0" w:evenHBand="0" w:firstRowFirstColumn="0" w:firstRowLastColumn="0" w:lastRowFirstColumn="0" w:lastRowLastColumn="0"/>
              <w:rPr>
                <w:b/>
                <w:sz w:val="20"/>
                <w:szCs w:val="20"/>
              </w:rPr>
            </w:pPr>
            <w:r w:rsidRPr="006D71C7">
              <w:rPr>
                <w:b/>
                <w:sz w:val="20"/>
                <w:szCs w:val="20"/>
              </w:rPr>
              <w:t>Szkolenia</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18</w:t>
            </w:r>
          </w:p>
        </w:tc>
        <w:tc>
          <w:tcPr>
            <w:tcW w:w="3969" w:type="dxa"/>
            <w:shd w:val="clear" w:color="auto" w:fill="F9D8CD" w:themeFill="accent1" w:themeFillTint="33"/>
            <w:vAlign w:val="center"/>
          </w:tcPr>
          <w:p w:rsidR="008B1B52" w:rsidRPr="006D71C7" w:rsidRDefault="008B1B52" w:rsidP="00C2691C">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71C7">
              <w:rPr>
                <w:sz w:val="20"/>
                <w:szCs w:val="20"/>
              </w:rPr>
              <w:t>1 293 291,85</w:t>
            </w:r>
          </w:p>
        </w:tc>
      </w:tr>
      <w:tr w:rsidR="008B1B52" w:rsidRPr="006D71C7" w:rsidTr="00E50A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2.</w:t>
            </w:r>
          </w:p>
        </w:tc>
        <w:tc>
          <w:tcPr>
            <w:tcW w:w="3538" w:type="dxa"/>
            <w:shd w:val="clear" w:color="auto" w:fill="F4B29B" w:themeFill="accent1" w:themeFillTint="66"/>
            <w:vAlign w:val="center"/>
          </w:tcPr>
          <w:p w:rsidR="00C43B75" w:rsidRDefault="008B1B52" w:rsidP="00002840">
            <w:pPr>
              <w:spacing w:beforeLines="40" w:before="96" w:afterLines="40" w:after="96"/>
              <w:cnfStyle w:val="000000100000" w:firstRow="0" w:lastRow="0" w:firstColumn="0" w:lastColumn="0" w:oddVBand="0" w:evenVBand="0" w:oddHBand="1" w:evenHBand="0" w:firstRowFirstColumn="0" w:firstRowLastColumn="0" w:lastRowFirstColumn="0" w:lastRowLastColumn="0"/>
              <w:rPr>
                <w:b/>
                <w:sz w:val="20"/>
                <w:szCs w:val="20"/>
              </w:rPr>
            </w:pPr>
            <w:r w:rsidRPr="006D71C7">
              <w:rPr>
                <w:b/>
                <w:sz w:val="20"/>
                <w:szCs w:val="20"/>
              </w:rPr>
              <w:t>Promocja i informacja</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9</w:t>
            </w:r>
          </w:p>
        </w:tc>
        <w:tc>
          <w:tcPr>
            <w:tcW w:w="3969" w:type="dxa"/>
            <w:shd w:val="clear" w:color="auto" w:fill="F9D8CD" w:themeFill="accent1" w:themeFillTint="33"/>
            <w:vAlign w:val="center"/>
          </w:tcPr>
          <w:p w:rsidR="008B1B52" w:rsidRPr="006D71C7" w:rsidRDefault="008B1B52" w:rsidP="00C2691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71C7">
              <w:rPr>
                <w:sz w:val="20"/>
                <w:szCs w:val="20"/>
              </w:rPr>
              <w:t>768 023,06</w:t>
            </w:r>
          </w:p>
        </w:tc>
      </w:tr>
      <w:tr w:rsidR="008B1B52" w:rsidRPr="006D71C7" w:rsidTr="00E50A67">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3.</w:t>
            </w:r>
          </w:p>
        </w:tc>
        <w:tc>
          <w:tcPr>
            <w:tcW w:w="3538" w:type="dxa"/>
            <w:shd w:val="clear" w:color="auto" w:fill="F4B29B" w:themeFill="accent1" w:themeFillTint="66"/>
            <w:vAlign w:val="center"/>
          </w:tcPr>
          <w:p w:rsidR="00C43B75" w:rsidRDefault="008B1B52" w:rsidP="00002840">
            <w:pPr>
              <w:spacing w:beforeLines="40" w:before="96" w:afterLines="40" w:after="96"/>
              <w:cnfStyle w:val="000000000000" w:firstRow="0" w:lastRow="0" w:firstColumn="0" w:lastColumn="0" w:oddVBand="0" w:evenVBand="0" w:oddHBand="0" w:evenHBand="0" w:firstRowFirstColumn="0" w:firstRowLastColumn="0" w:lastRowFirstColumn="0" w:lastRowLastColumn="0"/>
              <w:rPr>
                <w:b/>
                <w:sz w:val="20"/>
                <w:szCs w:val="20"/>
              </w:rPr>
            </w:pPr>
            <w:r w:rsidRPr="006D71C7">
              <w:rPr>
                <w:b/>
                <w:sz w:val="20"/>
                <w:szCs w:val="20"/>
              </w:rPr>
              <w:t>Zatrudnienie</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12</w:t>
            </w:r>
          </w:p>
        </w:tc>
        <w:tc>
          <w:tcPr>
            <w:tcW w:w="3969" w:type="dxa"/>
            <w:shd w:val="clear" w:color="auto" w:fill="F9D8CD" w:themeFill="accent1" w:themeFillTint="33"/>
            <w:vAlign w:val="center"/>
          </w:tcPr>
          <w:p w:rsidR="008B1B52" w:rsidRPr="006D71C7" w:rsidRDefault="008B1B52" w:rsidP="00C2691C">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71C7">
              <w:rPr>
                <w:sz w:val="20"/>
                <w:szCs w:val="20"/>
              </w:rPr>
              <w:t>11 419 086,02</w:t>
            </w:r>
          </w:p>
        </w:tc>
      </w:tr>
      <w:tr w:rsidR="008B1B52" w:rsidRPr="006D71C7" w:rsidTr="00E50A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4.</w:t>
            </w:r>
          </w:p>
        </w:tc>
        <w:tc>
          <w:tcPr>
            <w:tcW w:w="3538" w:type="dxa"/>
            <w:shd w:val="clear" w:color="auto" w:fill="F4B29B" w:themeFill="accent1" w:themeFillTint="66"/>
            <w:vAlign w:val="center"/>
          </w:tcPr>
          <w:p w:rsidR="00C43B75" w:rsidRDefault="008B1B52" w:rsidP="00002840">
            <w:pPr>
              <w:spacing w:beforeLines="40" w:before="96" w:afterLines="40" w:after="96"/>
              <w:cnfStyle w:val="000000100000" w:firstRow="0" w:lastRow="0" w:firstColumn="0" w:lastColumn="0" w:oddVBand="0" w:evenVBand="0" w:oddHBand="1" w:evenHBand="0" w:firstRowFirstColumn="0" w:firstRowLastColumn="0" w:lastRowFirstColumn="0" w:lastRowLastColumn="0"/>
              <w:rPr>
                <w:b/>
                <w:sz w:val="20"/>
                <w:szCs w:val="20"/>
              </w:rPr>
            </w:pPr>
            <w:r w:rsidRPr="006D71C7">
              <w:rPr>
                <w:b/>
                <w:sz w:val="20"/>
                <w:szCs w:val="20"/>
              </w:rPr>
              <w:t>Sprzęt komputerowy</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17</w:t>
            </w:r>
          </w:p>
        </w:tc>
        <w:tc>
          <w:tcPr>
            <w:tcW w:w="3969" w:type="dxa"/>
            <w:shd w:val="clear" w:color="auto" w:fill="F9D8CD" w:themeFill="accent1" w:themeFillTint="33"/>
            <w:vAlign w:val="center"/>
          </w:tcPr>
          <w:p w:rsidR="008B1B52" w:rsidRPr="006D71C7" w:rsidRDefault="008B1B52" w:rsidP="00C2691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71C7">
              <w:rPr>
                <w:sz w:val="20"/>
                <w:szCs w:val="20"/>
              </w:rPr>
              <w:t>385 944,17</w:t>
            </w:r>
          </w:p>
        </w:tc>
      </w:tr>
      <w:tr w:rsidR="008B1B52" w:rsidRPr="006D71C7" w:rsidTr="00E50A67">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5.</w:t>
            </w:r>
          </w:p>
        </w:tc>
        <w:tc>
          <w:tcPr>
            <w:tcW w:w="3538" w:type="dxa"/>
            <w:shd w:val="clear" w:color="auto" w:fill="F4B29B" w:themeFill="accent1" w:themeFillTint="66"/>
            <w:vAlign w:val="center"/>
          </w:tcPr>
          <w:p w:rsidR="00C43B75" w:rsidRDefault="008B1B52" w:rsidP="00002840">
            <w:pPr>
              <w:spacing w:beforeLines="40" w:before="96" w:afterLines="40" w:after="96"/>
              <w:cnfStyle w:val="000000000000" w:firstRow="0" w:lastRow="0" w:firstColumn="0" w:lastColumn="0" w:oddVBand="0" w:evenVBand="0" w:oddHBand="0" w:evenHBand="0" w:firstRowFirstColumn="0" w:firstRowLastColumn="0" w:lastRowFirstColumn="0" w:lastRowLastColumn="0"/>
              <w:rPr>
                <w:b/>
                <w:sz w:val="20"/>
                <w:szCs w:val="20"/>
              </w:rPr>
            </w:pPr>
            <w:r w:rsidRPr="006D71C7">
              <w:rPr>
                <w:b/>
                <w:sz w:val="20"/>
                <w:szCs w:val="20"/>
              </w:rPr>
              <w:t>Wyposażenie/ remont/ wynajem powierzchni biurowych</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17</w:t>
            </w:r>
          </w:p>
        </w:tc>
        <w:tc>
          <w:tcPr>
            <w:tcW w:w="3969" w:type="dxa"/>
            <w:shd w:val="clear" w:color="auto" w:fill="F9D8CD" w:themeFill="accent1" w:themeFillTint="33"/>
            <w:vAlign w:val="center"/>
          </w:tcPr>
          <w:p w:rsidR="008B1B52" w:rsidRPr="006D71C7" w:rsidRDefault="008B1B52" w:rsidP="00C2691C">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71C7">
              <w:rPr>
                <w:sz w:val="20"/>
                <w:szCs w:val="20"/>
              </w:rPr>
              <w:t>2 280 560,47</w:t>
            </w:r>
          </w:p>
        </w:tc>
      </w:tr>
      <w:tr w:rsidR="008B1B52" w:rsidRPr="006D71C7" w:rsidTr="00E50A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6.</w:t>
            </w:r>
          </w:p>
        </w:tc>
        <w:tc>
          <w:tcPr>
            <w:tcW w:w="3538" w:type="dxa"/>
            <w:shd w:val="clear" w:color="auto" w:fill="F4B29B" w:themeFill="accent1" w:themeFillTint="66"/>
            <w:vAlign w:val="center"/>
          </w:tcPr>
          <w:p w:rsidR="00C43B75" w:rsidRDefault="008B1B52" w:rsidP="00002840">
            <w:pPr>
              <w:spacing w:beforeLines="40" w:before="96" w:afterLines="40" w:after="96"/>
              <w:cnfStyle w:val="000000100000" w:firstRow="0" w:lastRow="0" w:firstColumn="0" w:lastColumn="0" w:oddVBand="0" w:evenVBand="0" w:oddHBand="1" w:evenHBand="0" w:firstRowFirstColumn="0" w:firstRowLastColumn="0" w:lastRowFirstColumn="0" w:lastRowLastColumn="0"/>
              <w:rPr>
                <w:b/>
                <w:sz w:val="20"/>
                <w:szCs w:val="20"/>
              </w:rPr>
            </w:pPr>
            <w:r w:rsidRPr="006D71C7">
              <w:rPr>
                <w:b/>
                <w:sz w:val="20"/>
                <w:szCs w:val="20"/>
              </w:rPr>
              <w:t>Ekspertyzy/ doradztwo</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8</w:t>
            </w:r>
          </w:p>
        </w:tc>
        <w:tc>
          <w:tcPr>
            <w:tcW w:w="3969" w:type="dxa"/>
            <w:shd w:val="clear" w:color="auto" w:fill="F9D8CD" w:themeFill="accent1" w:themeFillTint="33"/>
            <w:vAlign w:val="center"/>
          </w:tcPr>
          <w:p w:rsidR="008B1B52" w:rsidRPr="006D71C7" w:rsidRDefault="008B1B52" w:rsidP="00C2691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71C7">
              <w:rPr>
                <w:sz w:val="20"/>
                <w:szCs w:val="20"/>
              </w:rPr>
              <w:t>102 706,96</w:t>
            </w:r>
          </w:p>
        </w:tc>
      </w:tr>
      <w:tr w:rsidR="008B1B52" w:rsidRPr="006D71C7" w:rsidTr="00E50A67">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7.</w:t>
            </w:r>
          </w:p>
        </w:tc>
        <w:tc>
          <w:tcPr>
            <w:tcW w:w="3538" w:type="dxa"/>
            <w:shd w:val="clear" w:color="auto" w:fill="F4B29B" w:themeFill="accent1" w:themeFillTint="66"/>
            <w:vAlign w:val="center"/>
          </w:tcPr>
          <w:p w:rsidR="00C43B75" w:rsidRDefault="008B1B52" w:rsidP="00002840">
            <w:pPr>
              <w:spacing w:beforeLines="40" w:before="96" w:afterLines="40" w:after="96"/>
              <w:cnfStyle w:val="000000000000" w:firstRow="0" w:lastRow="0" w:firstColumn="0" w:lastColumn="0" w:oddVBand="0" w:evenVBand="0" w:oddHBand="0" w:evenHBand="0" w:firstRowFirstColumn="0" w:firstRowLastColumn="0" w:lastRowFirstColumn="0" w:lastRowLastColumn="0"/>
              <w:rPr>
                <w:b/>
                <w:sz w:val="20"/>
                <w:szCs w:val="20"/>
              </w:rPr>
            </w:pPr>
            <w:r w:rsidRPr="006D71C7">
              <w:rPr>
                <w:b/>
                <w:sz w:val="20"/>
                <w:szCs w:val="20"/>
              </w:rPr>
              <w:t>Ewaluacje</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6</w:t>
            </w:r>
          </w:p>
        </w:tc>
        <w:tc>
          <w:tcPr>
            <w:tcW w:w="3969" w:type="dxa"/>
            <w:shd w:val="clear" w:color="auto" w:fill="F9D8CD" w:themeFill="accent1" w:themeFillTint="33"/>
            <w:vAlign w:val="center"/>
          </w:tcPr>
          <w:p w:rsidR="008B1B52" w:rsidRPr="006D71C7" w:rsidRDefault="008B1B52" w:rsidP="00C2691C">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71C7">
              <w:rPr>
                <w:sz w:val="20"/>
                <w:szCs w:val="20"/>
              </w:rPr>
              <w:t>271 064,03</w:t>
            </w:r>
          </w:p>
        </w:tc>
      </w:tr>
      <w:tr w:rsidR="008B1B52" w:rsidRPr="006D71C7" w:rsidTr="00E50A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8.</w:t>
            </w:r>
          </w:p>
        </w:tc>
        <w:tc>
          <w:tcPr>
            <w:tcW w:w="3538" w:type="dxa"/>
            <w:shd w:val="clear" w:color="auto" w:fill="F4B29B" w:themeFill="accent1" w:themeFillTint="66"/>
            <w:vAlign w:val="center"/>
          </w:tcPr>
          <w:p w:rsidR="00C43B75" w:rsidRDefault="008B1B52" w:rsidP="00002840">
            <w:pPr>
              <w:spacing w:beforeLines="40" w:before="96" w:afterLines="40" w:after="96"/>
              <w:cnfStyle w:val="000000100000" w:firstRow="0" w:lastRow="0" w:firstColumn="0" w:lastColumn="0" w:oddVBand="0" w:evenVBand="0" w:oddHBand="1" w:evenHBand="0" w:firstRowFirstColumn="0" w:firstRowLastColumn="0" w:lastRowFirstColumn="0" w:lastRowLastColumn="0"/>
              <w:rPr>
                <w:b/>
                <w:sz w:val="20"/>
                <w:szCs w:val="20"/>
              </w:rPr>
            </w:pPr>
            <w:r w:rsidRPr="006D71C7">
              <w:rPr>
                <w:b/>
                <w:sz w:val="20"/>
                <w:szCs w:val="20"/>
              </w:rPr>
              <w:t>Kontrola/ audyt</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3</w:t>
            </w:r>
          </w:p>
        </w:tc>
        <w:tc>
          <w:tcPr>
            <w:tcW w:w="3969" w:type="dxa"/>
            <w:shd w:val="clear" w:color="auto" w:fill="F9D8CD" w:themeFill="accent1" w:themeFillTint="33"/>
            <w:vAlign w:val="center"/>
          </w:tcPr>
          <w:p w:rsidR="008B1B52" w:rsidRPr="006D71C7" w:rsidRDefault="008B1B52" w:rsidP="00C2691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71C7">
              <w:rPr>
                <w:sz w:val="20"/>
                <w:szCs w:val="20"/>
              </w:rPr>
              <w:t>34 508,94</w:t>
            </w:r>
          </w:p>
        </w:tc>
      </w:tr>
      <w:tr w:rsidR="008B1B52" w:rsidRPr="006D71C7" w:rsidTr="00E50A67">
        <w:trPr>
          <w:trHeight w:val="711"/>
        </w:trPr>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9.</w:t>
            </w:r>
          </w:p>
        </w:tc>
        <w:tc>
          <w:tcPr>
            <w:tcW w:w="3538" w:type="dxa"/>
            <w:shd w:val="clear" w:color="auto" w:fill="F4B29B" w:themeFill="accent1" w:themeFillTint="66"/>
            <w:vAlign w:val="center"/>
          </w:tcPr>
          <w:p w:rsidR="00C43B75" w:rsidRDefault="008B1B52" w:rsidP="00002840">
            <w:pPr>
              <w:spacing w:beforeLines="40" w:before="96" w:afterLines="40" w:after="96"/>
              <w:cnfStyle w:val="000000000000" w:firstRow="0" w:lastRow="0" w:firstColumn="0" w:lastColumn="0" w:oddVBand="0" w:evenVBand="0" w:oddHBand="0" w:evenHBand="0" w:firstRowFirstColumn="0" w:firstRowLastColumn="0" w:lastRowFirstColumn="0" w:lastRowLastColumn="0"/>
              <w:rPr>
                <w:b/>
                <w:sz w:val="20"/>
                <w:szCs w:val="20"/>
              </w:rPr>
            </w:pPr>
            <w:r w:rsidRPr="006D71C7">
              <w:rPr>
                <w:b/>
                <w:sz w:val="20"/>
                <w:szCs w:val="20"/>
              </w:rPr>
              <w:t>Organizacja procesu wyboru projektów</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8</w:t>
            </w:r>
          </w:p>
        </w:tc>
        <w:tc>
          <w:tcPr>
            <w:tcW w:w="3969" w:type="dxa"/>
            <w:shd w:val="clear" w:color="auto" w:fill="F9D8CD" w:themeFill="accent1" w:themeFillTint="33"/>
            <w:vAlign w:val="center"/>
          </w:tcPr>
          <w:p w:rsidR="008B1B52" w:rsidRPr="006D71C7" w:rsidRDefault="008B1B52" w:rsidP="00C2691C">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71C7">
              <w:rPr>
                <w:sz w:val="20"/>
                <w:szCs w:val="20"/>
              </w:rPr>
              <w:t>370 129,84</w:t>
            </w:r>
          </w:p>
        </w:tc>
      </w:tr>
      <w:tr w:rsidR="008B1B52" w:rsidRPr="006D71C7" w:rsidTr="00E50A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10.</w:t>
            </w:r>
          </w:p>
        </w:tc>
        <w:tc>
          <w:tcPr>
            <w:tcW w:w="3538" w:type="dxa"/>
            <w:shd w:val="clear" w:color="auto" w:fill="F4B29B" w:themeFill="accent1" w:themeFillTint="66"/>
            <w:vAlign w:val="center"/>
          </w:tcPr>
          <w:p w:rsidR="00C43B75" w:rsidRDefault="008B1B52" w:rsidP="00002840">
            <w:pPr>
              <w:spacing w:beforeLines="40" w:before="96" w:afterLines="40" w:after="96"/>
              <w:cnfStyle w:val="000000100000" w:firstRow="0" w:lastRow="0" w:firstColumn="0" w:lastColumn="0" w:oddVBand="0" w:evenVBand="0" w:oddHBand="1" w:evenHBand="0" w:firstRowFirstColumn="0" w:firstRowLastColumn="0" w:lastRowFirstColumn="0" w:lastRowLastColumn="0"/>
              <w:rPr>
                <w:b/>
                <w:sz w:val="20"/>
                <w:szCs w:val="20"/>
              </w:rPr>
            </w:pPr>
            <w:r w:rsidRPr="006D71C7">
              <w:rPr>
                <w:b/>
                <w:sz w:val="20"/>
                <w:szCs w:val="20"/>
              </w:rPr>
              <w:t>Organizacja komitetów monitorujących i podkomitetów</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5</w:t>
            </w:r>
          </w:p>
        </w:tc>
        <w:tc>
          <w:tcPr>
            <w:tcW w:w="3969" w:type="dxa"/>
            <w:shd w:val="clear" w:color="auto" w:fill="F9D8CD" w:themeFill="accent1" w:themeFillTint="33"/>
            <w:vAlign w:val="center"/>
          </w:tcPr>
          <w:p w:rsidR="008B1B52" w:rsidRPr="006D71C7" w:rsidRDefault="008B1B52" w:rsidP="00C2691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D71C7">
              <w:rPr>
                <w:sz w:val="20"/>
                <w:szCs w:val="20"/>
              </w:rPr>
              <w:t>12 447,55</w:t>
            </w:r>
          </w:p>
        </w:tc>
      </w:tr>
      <w:tr w:rsidR="008B1B52" w:rsidRPr="006D71C7" w:rsidTr="00E50A67">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11.</w:t>
            </w:r>
          </w:p>
        </w:tc>
        <w:tc>
          <w:tcPr>
            <w:tcW w:w="3538" w:type="dxa"/>
            <w:shd w:val="clear" w:color="auto" w:fill="F4B29B" w:themeFill="accent1" w:themeFillTint="66"/>
            <w:vAlign w:val="center"/>
          </w:tcPr>
          <w:p w:rsidR="00C43B75" w:rsidRDefault="008B1B52" w:rsidP="00002840">
            <w:pPr>
              <w:spacing w:beforeLines="40" w:before="96" w:afterLines="40" w:after="96"/>
              <w:cnfStyle w:val="000000000000" w:firstRow="0" w:lastRow="0" w:firstColumn="0" w:lastColumn="0" w:oddVBand="0" w:evenVBand="0" w:oddHBand="0" w:evenHBand="0" w:firstRowFirstColumn="0" w:firstRowLastColumn="0" w:lastRowFirstColumn="0" w:lastRowLastColumn="0"/>
              <w:rPr>
                <w:b/>
                <w:sz w:val="20"/>
                <w:szCs w:val="20"/>
              </w:rPr>
            </w:pPr>
            <w:r w:rsidRPr="006D71C7">
              <w:rPr>
                <w:b/>
                <w:sz w:val="20"/>
                <w:szCs w:val="20"/>
              </w:rPr>
              <w:t>Inne</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sz w:val="20"/>
                <w:szCs w:val="20"/>
              </w:rPr>
            </w:pPr>
            <w:r w:rsidRPr="006D71C7">
              <w:rPr>
                <w:sz w:val="20"/>
                <w:szCs w:val="20"/>
              </w:rPr>
              <w:t>14</w:t>
            </w:r>
          </w:p>
        </w:tc>
        <w:tc>
          <w:tcPr>
            <w:tcW w:w="3969" w:type="dxa"/>
            <w:shd w:val="clear" w:color="auto" w:fill="F9D8CD" w:themeFill="accent1" w:themeFillTint="33"/>
            <w:vAlign w:val="center"/>
          </w:tcPr>
          <w:p w:rsidR="008B1B52" w:rsidRPr="006D71C7" w:rsidRDefault="008B1B52" w:rsidP="00C2691C">
            <w:pPr>
              <w:jc w:val="center"/>
              <w:cnfStyle w:val="000000000000" w:firstRow="0" w:lastRow="0" w:firstColumn="0" w:lastColumn="0" w:oddVBand="0" w:evenVBand="0" w:oddHBand="0" w:evenHBand="0" w:firstRowFirstColumn="0" w:firstRowLastColumn="0" w:lastRowFirstColumn="0" w:lastRowLastColumn="0"/>
              <w:rPr>
                <w:sz w:val="20"/>
                <w:szCs w:val="20"/>
              </w:rPr>
            </w:pPr>
            <w:r w:rsidRPr="006D71C7">
              <w:rPr>
                <w:sz w:val="20"/>
                <w:szCs w:val="20"/>
              </w:rPr>
              <w:t>350 746,17</w:t>
            </w:r>
          </w:p>
        </w:tc>
      </w:tr>
      <w:tr w:rsidR="008B1B52" w:rsidRPr="006D71C7" w:rsidTr="00E50A67">
        <w:trPr>
          <w:cnfStyle w:val="000000100000" w:firstRow="0" w:lastRow="0" w:firstColumn="0" w:lastColumn="0" w:oddVBand="0" w:evenVBand="0" w:oddHBand="1" w:evenHBand="0" w:firstRowFirstColumn="0" w:firstRowLastColumn="0" w:lastRowFirstColumn="0" w:lastRowLastColumn="0"/>
          <w:trHeight w:val="671"/>
        </w:trPr>
        <w:tc>
          <w:tcPr>
            <w:cnfStyle w:val="000010000000" w:firstRow="0" w:lastRow="0" w:firstColumn="0" w:lastColumn="0" w:oddVBand="1" w:evenVBand="0" w:oddHBand="0" w:evenHBand="0" w:firstRowFirstColumn="0" w:firstRowLastColumn="0" w:lastRowFirstColumn="0" w:lastRowLastColumn="0"/>
            <w:tcW w:w="539" w:type="dxa"/>
            <w:shd w:val="clear" w:color="auto" w:fill="F4B29B" w:themeFill="accent1" w:themeFillTint="66"/>
            <w:vAlign w:val="center"/>
          </w:tcPr>
          <w:p w:rsidR="00C43B75" w:rsidRDefault="008B1B52" w:rsidP="00002840">
            <w:pPr>
              <w:spacing w:beforeLines="40" w:before="96" w:afterLines="40" w:after="96"/>
              <w:jc w:val="both"/>
              <w:rPr>
                <w:b/>
                <w:sz w:val="20"/>
                <w:szCs w:val="20"/>
              </w:rPr>
            </w:pPr>
            <w:r w:rsidRPr="006D71C7">
              <w:rPr>
                <w:b/>
                <w:sz w:val="20"/>
                <w:szCs w:val="20"/>
              </w:rPr>
              <w:t>12.</w:t>
            </w:r>
          </w:p>
        </w:tc>
        <w:tc>
          <w:tcPr>
            <w:tcW w:w="3538" w:type="dxa"/>
            <w:shd w:val="clear" w:color="auto" w:fill="F4B29B" w:themeFill="accent1" w:themeFillTint="66"/>
            <w:vAlign w:val="center"/>
          </w:tcPr>
          <w:p w:rsidR="00C43B75" w:rsidRDefault="008B1B52" w:rsidP="00002840">
            <w:pPr>
              <w:spacing w:beforeLines="40" w:before="96" w:afterLines="40" w:after="96"/>
              <w:cnfStyle w:val="000000100000" w:firstRow="0" w:lastRow="0" w:firstColumn="0" w:lastColumn="0" w:oddVBand="0" w:evenVBand="0" w:oddHBand="1" w:evenHBand="0" w:firstRowFirstColumn="0" w:firstRowLastColumn="0" w:lastRowFirstColumn="0" w:lastRowLastColumn="0"/>
              <w:rPr>
                <w:b/>
                <w:sz w:val="20"/>
                <w:szCs w:val="20"/>
              </w:rPr>
            </w:pPr>
            <w:r w:rsidRPr="006D71C7">
              <w:rPr>
                <w:b/>
                <w:sz w:val="20"/>
                <w:szCs w:val="20"/>
              </w:rPr>
              <w:t>Razem RPD</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9D8CD" w:themeFill="accent1" w:themeFillTint="33"/>
            <w:vAlign w:val="center"/>
          </w:tcPr>
          <w:p w:rsidR="008B1B52" w:rsidRPr="006D71C7" w:rsidRDefault="008B1B52" w:rsidP="00C2691C">
            <w:pPr>
              <w:jc w:val="center"/>
              <w:rPr>
                <w:b/>
                <w:sz w:val="20"/>
                <w:szCs w:val="20"/>
              </w:rPr>
            </w:pPr>
            <w:r w:rsidRPr="006D71C7">
              <w:rPr>
                <w:b/>
                <w:sz w:val="20"/>
                <w:szCs w:val="20"/>
              </w:rPr>
              <w:t>10</w:t>
            </w:r>
          </w:p>
        </w:tc>
        <w:tc>
          <w:tcPr>
            <w:tcW w:w="3969" w:type="dxa"/>
            <w:shd w:val="clear" w:color="auto" w:fill="F9D8CD" w:themeFill="accent1" w:themeFillTint="33"/>
            <w:vAlign w:val="center"/>
          </w:tcPr>
          <w:p w:rsidR="008B1B52" w:rsidRPr="006D71C7" w:rsidRDefault="008B1B52" w:rsidP="00C2691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D71C7">
              <w:rPr>
                <w:b/>
                <w:sz w:val="20"/>
                <w:szCs w:val="20"/>
              </w:rPr>
              <w:t>17 288 509,06</w:t>
            </w:r>
          </w:p>
        </w:tc>
      </w:tr>
    </w:tbl>
    <w:p w:rsidR="004A2C4B" w:rsidRPr="006D71C7" w:rsidRDefault="004A2C4B" w:rsidP="006D71C7">
      <w:pPr>
        <w:jc w:val="both"/>
      </w:pPr>
    </w:p>
    <w:p w:rsidR="00245F70" w:rsidRPr="006D71C7" w:rsidRDefault="00A80D21" w:rsidP="00BA2FE7">
      <w:pPr>
        <w:pStyle w:val="Nagwek1"/>
        <w:numPr>
          <w:ilvl w:val="0"/>
          <w:numId w:val="100"/>
        </w:numPr>
        <w:tabs>
          <w:tab w:val="left" w:pos="1560"/>
        </w:tabs>
        <w:spacing w:before="240" w:after="120"/>
        <w:ind w:left="284" w:hanging="284"/>
        <w:jc w:val="both"/>
        <w:rPr>
          <w:szCs w:val="24"/>
        </w:rPr>
      </w:pPr>
      <w:bookmarkStart w:id="740" w:name="_Toc327259325"/>
      <w:r w:rsidRPr="006D71C7">
        <w:rPr>
          <w:spacing w:val="-3"/>
          <w:szCs w:val="24"/>
        </w:rPr>
        <w:t>PROMOCJA I INFORMACJA</w:t>
      </w:r>
      <w:bookmarkEnd w:id="740"/>
    </w:p>
    <w:p w:rsidR="0005410E" w:rsidRPr="006D71C7" w:rsidRDefault="0005410E" w:rsidP="006D71C7">
      <w:pPr>
        <w:widowControl w:val="0"/>
        <w:autoSpaceDE w:val="0"/>
        <w:autoSpaceDN w:val="0"/>
        <w:adjustRightInd w:val="0"/>
        <w:spacing w:after="0"/>
        <w:jc w:val="both"/>
        <w:rPr>
          <w:i/>
          <w:szCs w:val="24"/>
        </w:rPr>
      </w:pPr>
      <w:r w:rsidRPr="006D71C7">
        <w:rPr>
          <w:szCs w:val="24"/>
        </w:rPr>
        <w:t>Dane dot. powyższego punktu zosta</w:t>
      </w:r>
      <w:r w:rsidR="00EF16AF" w:rsidRPr="006D71C7">
        <w:rPr>
          <w:szCs w:val="24"/>
        </w:rPr>
        <w:t>ły umieszczone w załączniku nr VIII</w:t>
      </w:r>
      <w:r w:rsidRPr="006D71C7">
        <w:rPr>
          <w:szCs w:val="24"/>
        </w:rPr>
        <w:t xml:space="preserve"> do niniejszego </w:t>
      </w:r>
      <w:r w:rsidRPr="006D71C7">
        <w:rPr>
          <w:i/>
          <w:szCs w:val="24"/>
        </w:rPr>
        <w:t>Sprawozdania.</w:t>
      </w:r>
    </w:p>
    <w:p w:rsidR="00A80D21" w:rsidRPr="006D71C7" w:rsidRDefault="00A80D21" w:rsidP="006970E7">
      <w:pPr>
        <w:pStyle w:val="Nagwek1"/>
        <w:numPr>
          <w:ilvl w:val="0"/>
          <w:numId w:val="0"/>
        </w:numPr>
        <w:spacing w:after="120"/>
        <w:jc w:val="both"/>
        <w:rPr>
          <w:szCs w:val="24"/>
        </w:rPr>
      </w:pPr>
      <w:bookmarkStart w:id="741" w:name="_Toc327259326"/>
      <w:bookmarkStart w:id="742" w:name="_Toc292793653"/>
      <w:bookmarkStart w:id="743" w:name="_Toc262032014"/>
      <w:r w:rsidRPr="006D71C7">
        <w:rPr>
          <w:szCs w:val="24"/>
        </w:rPr>
        <w:t>PODSUMOWANIE</w:t>
      </w:r>
      <w:bookmarkEnd w:id="741"/>
    </w:p>
    <w:bookmarkEnd w:id="742"/>
    <w:p w:rsidR="00245F70" w:rsidRPr="006D71C7" w:rsidRDefault="00326DC4" w:rsidP="006D71C7">
      <w:pPr>
        <w:spacing w:after="120"/>
        <w:jc w:val="both"/>
      </w:pPr>
      <w:r w:rsidRPr="006D71C7">
        <w:t xml:space="preserve">Od dłuższego czasu można zaobserwować w województwie śląskim coraz większe zainteresowanie samorządów jak i przedsiębiorców wsparciem, jakie dają fundusze europejskie. Ich wykorzystanie to potężny zastrzyk rozwojowy </w:t>
      </w:r>
      <w:r w:rsidR="00167065" w:rsidRPr="006D71C7">
        <w:t xml:space="preserve">dla </w:t>
      </w:r>
      <w:r w:rsidRPr="006D71C7">
        <w:t xml:space="preserve">regionu. </w:t>
      </w:r>
    </w:p>
    <w:p w:rsidR="00245F70" w:rsidRPr="006D71C7" w:rsidRDefault="00326DC4" w:rsidP="006D71C7">
      <w:pPr>
        <w:spacing w:after="120"/>
        <w:jc w:val="both"/>
      </w:pPr>
      <w:r w:rsidRPr="006D71C7">
        <w:t xml:space="preserve">Pieniędzy na cele rozwojowe nigdy nie jest za wiele. Efekty wykorzystania funduszy unijnych są widoczne zarówno w przestrzeni infrastrukturalnej jak i społecznej. To szansa na zwiększanie innowacyjności wśród przedsiębiorstw i jednostek badawczych, rozwój infrastruktury. </w:t>
      </w:r>
    </w:p>
    <w:p w:rsidR="00245F70" w:rsidRPr="006D71C7" w:rsidRDefault="00167065" w:rsidP="006D71C7">
      <w:pPr>
        <w:spacing w:after="120"/>
        <w:jc w:val="both"/>
      </w:pPr>
      <w:r w:rsidRPr="006D71C7">
        <w:t>W </w:t>
      </w:r>
      <w:r w:rsidR="00326DC4" w:rsidRPr="006D71C7">
        <w:t xml:space="preserve">przypadku </w:t>
      </w:r>
      <w:r w:rsidR="007338BD" w:rsidRPr="006D71C7">
        <w:rPr>
          <w:i/>
        </w:rPr>
        <w:t xml:space="preserve">Regionalnego Programu Operacyjnego Województwa Śląskiego na lata 2007-2013 </w:t>
      </w:r>
      <w:r w:rsidR="007338BD" w:rsidRPr="006D71C7">
        <w:t>województwo śląskie</w:t>
      </w:r>
      <w:r w:rsidRPr="006D71C7">
        <w:rPr>
          <w:i/>
        </w:rPr>
        <w:t xml:space="preserve"> </w:t>
      </w:r>
      <w:r w:rsidR="00326DC4" w:rsidRPr="006D71C7">
        <w:t>j</w:t>
      </w:r>
      <w:r w:rsidRPr="006D71C7">
        <w:t>est liderem w kraju. Zajmuje</w:t>
      </w:r>
      <w:r w:rsidR="00326DC4" w:rsidRPr="006D71C7">
        <w:t xml:space="preserve"> pierwsze miejsce pod względem liczby podpisanych umów, wartości dofinansowania w podpisanych umowach oraz zrealizowanych płatności dla beneficjentów. Ze względu na dużą liczbę wniosków, a tym samym umów o dofinansowanie, Śląskie zajmuje czołowe pozycje wśród 16 województw. Wiąże się to także z</w:t>
      </w:r>
      <w:r w:rsidR="00326DC4" w:rsidRPr="006D71C7">
        <w:rPr>
          <w:b/>
        </w:rPr>
        <w:t xml:space="preserve"> </w:t>
      </w:r>
      <w:r w:rsidR="00326DC4" w:rsidRPr="006D71C7">
        <w:t>wielkością alokacji przyznanej dla regionu, jednakże tak duża alokacja powoduje, iż współczynniki określane jako jej procent plasują region na niższych pozycjach.</w:t>
      </w:r>
    </w:p>
    <w:p w:rsidR="00245F70" w:rsidRPr="006D71C7" w:rsidRDefault="00326DC4" w:rsidP="006D71C7">
      <w:pPr>
        <w:spacing w:after="0"/>
        <w:jc w:val="both"/>
      </w:pPr>
      <w:r w:rsidRPr="006D71C7">
        <w:t xml:space="preserve">Pieniądze z funduszy europejskich wsparły wiele samorządów w rozwiązaniu głównych problemów komunikacyjnych, zmodernizowaniu infrastruktury miejskiej czy też rozwiązywaniu problemów związanych z degradacją przemysłową zarówno środowiska naturalnego jak i przestrzeni zurbanizowanej. Te działania wzmocniły pozycję na rynku inwestycyjnym zarówno województwa jak i poszczególnych gmin. </w:t>
      </w:r>
    </w:p>
    <w:p w:rsidR="001B017A" w:rsidRPr="006D71C7" w:rsidRDefault="001B017A" w:rsidP="006D71C7">
      <w:pPr>
        <w:spacing w:after="0" w:line="240" w:lineRule="auto"/>
        <w:jc w:val="both"/>
        <w:rPr>
          <w:rStyle w:val="Nagwek1Znak"/>
        </w:rPr>
      </w:pPr>
      <w:r w:rsidRPr="006D71C7">
        <w:rPr>
          <w:rStyle w:val="Nagwek1Znak"/>
        </w:rPr>
        <w:br w:type="page"/>
      </w:r>
    </w:p>
    <w:p w:rsidR="000F2170" w:rsidRDefault="000F2170" w:rsidP="000F2170">
      <w:pPr>
        <w:pStyle w:val="Nagwek1"/>
        <w:numPr>
          <w:ilvl w:val="0"/>
          <w:numId w:val="0"/>
        </w:numPr>
        <w:ind w:left="432"/>
        <w:rPr>
          <w:lang w:val="en-GB"/>
        </w:rPr>
      </w:pPr>
      <w:bookmarkStart w:id="744" w:name="_Toc327259327"/>
      <w:r>
        <w:rPr>
          <w:lang w:val="en-GB"/>
        </w:rPr>
        <w:t>STRESZCZENIE</w:t>
      </w:r>
      <w:bookmarkEnd w:id="744"/>
    </w:p>
    <w:p w:rsidR="000F2170" w:rsidRPr="000F2170" w:rsidRDefault="000F2170" w:rsidP="000F2170">
      <w:pPr>
        <w:rPr>
          <w:lang w:val="en-GB"/>
        </w:rPr>
      </w:pPr>
    </w:p>
    <w:p w:rsidR="000F2170" w:rsidRPr="00E9099D" w:rsidRDefault="000F2170" w:rsidP="000F2170">
      <w:pPr>
        <w:jc w:val="center"/>
        <w:rPr>
          <w:b/>
          <w:i/>
          <w:szCs w:val="24"/>
          <w:lang w:val="en-GB"/>
        </w:rPr>
      </w:pPr>
      <w:r w:rsidRPr="00E9099D">
        <w:rPr>
          <w:b/>
          <w:szCs w:val="24"/>
          <w:lang w:val="en-GB"/>
        </w:rPr>
        <w:t xml:space="preserve">Summary </w:t>
      </w:r>
      <w:r w:rsidRPr="00E9099D">
        <w:rPr>
          <w:b/>
          <w:i/>
          <w:szCs w:val="24"/>
          <w:lang w:val="en-GB"/>
        </w:rPr>
        <w:t>of the Annual Report on the Implementation of the Regional Operational Programme of the Silesia Voivodeship for the years 2007-2013 in 2011</w:t>
      </w:r>
    </w:p>
    <w:p w:rsidR="000F2170" w:rsidRPr="00E9099D" w:rsidRDefault="000F2170" w:rsidP="000F2170">
      <w:pPr>
        <w:rPr>
          <w:b/>
          <w:i/>
          <w:szCs w:val="24"/>
          <w:lang w:val="en-GB"/>
        </w:rPr>
      </w:pPr>
    </w:p>
    <w:tbl>
      <w:tblPr>
        <w:tblW w:w="925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7BBA5" w:themeFill="accent3" w:themeFillTint="99"/>
        <w:tblLayout w:type="fixed"/>
        <w:tblCellMar>
          <w:left w:w="0" w:type="dxa"/>
          <w:right w:w="0" w:type="dxa"/>
        </w:tblCellMar>
        <w:tblLook w:val="0000" w:firstRow="0" w:lastRow="0" w:firstColumn="0" w:lastColumn="0" w:noHBand="0" w:noVBand="0"/>
      </w:tblPr>
      <w:tblGrid>
        <w:gridCol w:w="4363"/>
        <w:gridCol w:w="4887"/>
      </w:tblGrid>
      <w:tr w:rsidR="000F2170" w:rsidRPr="00E9099D" w:rsidTr="000F2170">
        <w:trPr>
          <w:trHeight w:hRule="exact" w:val="717"/>
        </w:trPr>
        <w:tc>
          <w:tcPr>
            <w:tcW w:w="4363" w:type="dxa"/>
            <w:vMerge w:val="restart"/>
            <w:shd w:val="clear" w:color="auto" w:fill="C7BBA5" w:themeFill="accent3" w:themeFillTint="99"/>
            <w:vAlign w:val="center"/>
          </w:tcPr>
          <w:p w:rsidR="000F2170" w:rsidRPr="00E9099D" w:rsidRDefault="000F2170" w:rsidP="000F2170">
            <w:pPr>
              <w:widowControl w:val="0"/>
              <w:autoSpaceDE w:val="0"/>
              <w:autoSpaceDN w:val="0"/>
              <w:adjustRightInd w:val="0"/>
              <w:ind w:left="102" w:right="-20"/>
              <w:rPr>
                <w:b/>
                <w:szCs w:val="24"/>
                <w:lang w:val="en-GB"/>
              </w:rPr>
            </w:pPr>
            <w:r w:rsidRPr="00E9099D">
              <w:rPr>
                <w:b/>
                <w:spacing w:val="2"/>
                <w:szCs w:val="24"/>
                <w:lang w:val="en-GB"/>
              </w:rPr>
              <w:t>OPERATIONAL PROGRAMME</w:t>
            </w:r>
            <w:r w:rsidRPr="00E9099D">
              <w:rPr>
                <w:b/>
                <w:spacing w:val="1"/>
                <w:szCs w:val="24"/>
                <w:lang w:val="en-GB"/>
              </w:rPr>
              <w:t xml:space="preserve"> </w:t>
            </w:r>
          </w:p>
        </w:tc>
        <w:tc>
          <w:tcPr>
            <w:tcW w:w="4887" w:type="dxa"/>
            <w:shd w:val="clear" w:color="auto" w:fill="D9D1C3" w:themeFill="accent3" w:themeFillTint="66"/>
            <w:vAlign w:val="center"/>
          </w:tcPr>
          <w:p w:rsidR="000F2170" w:rsidRPr="00E9099D" w:rsidRDefault="000F2170" w:rsidP="000F2170">
            <w:pPr>
              <w:widowControl w:val="0"/>
              <w:autoSpaceDE w:val="0"/>
              <w:autoSpaceDN w:val="0"/>
              <w:adjustRightInd w:val="0"/>
              <w:ind w:right="-20"/>
              <w:rPr>
                <w:szCs w:val="24"/>
                <w:lang w:val="en-GB"/>
              </w:rPr>
            </w:pPr>
            <w:r w:rsidRPr="00E9099D">
              <w:rPr>
                <w:b/>
                <w:spacing w:val="-1"/>
                <w:szCs w:val="24"/>
                <w:lang w:val="en-GB"/>
              </w:rPr>
              <w:t xml:space="preserve"> Objective</w:t>
            </w:r>
            <w:r w:rsidRPr="00E9099D">
              <w:rPr>
                <w:szCs w:val="24"/>
                <w:lang w:val="en-GB"/>
              </w:rPr>
              <w:t>: convergence</w:t>
            </w:r>
          </w:p>
        </w:tc>
      </w:tr>
      <w:tr w:rsidR="000F2170" w:rsidRPr="00E9099D" w:rsidTr="000F2170">
        <w:trPr>
          <w:trHeight w:hRule="exact" w:val="623"/>
        </w:trPr>
        <w:tc>
          <w:tcPr>
            <w:tcW w:w="4363" w:type="dxa"/>
            <w:vMerge/>
            <w:shd w:val="clear" w:color="auto" w:fill="C7BBA5" w:themeFill="accent3" w:themeFillTint="99"/>
            <w:vAlign w:val="center"/>
          </w:tcPr>
          <w:p w:rsidR="000F2170" w:rsidRPr="00E9099D" w:rsidRDefault="000F2170" w:rsidP="000F2170">
            <w:pPr>
              <w:widowControl w:val="0"/>
              <w:autoSpaceDE w:val="0"/>
              <w:autoSpaceDN w:val="0"/>
              <w:adjustRightInd w:val="0"/>
              <w:ind w:left="102" w:right="-20"/>
              <w:rPr>
                <w:szCs w:val="24"/>
                <w:lang w:val="en-GB"/>
              </w:rPr>
            </w:pPr>
          </w:p>
        </w:tc>
        <w:tc>
          <w:tcPr>
            <w:tcW w:w="4887" w:type="dxa"/>
            <w:shd w:val="clear" w:color="auto" w:fill="D9D1C3" w:themeFill="accent3" w:themeFillTint="66"/>
            <w:vAlign w:val="center"/>
          </w:tcPr>
          <w:p w:rsidR="000F2170" w:rsidRPr="00E9099D" w:rsidRDefault="000F2170" w:rsidP="000F2170">
            <w:pPr>
              <w:widowControl w:val="0"/>
              <w:autoSpaceDE w:val="0"/>
              <w:autoSpaceDN w:val="0"/>
              <w:adjustRightInd w:val="0"/>
              <w:ind w:left="102" w:right="-20"/>
              <w:rPr>
                <w:szCs w:val="24"/>
                <w:lang w:val="en-GB"/>
              </w:rPr>
            </w:pPr>
            <w:r w:rsidRPr="00E9099D">
              <w:rPr>
                <w:b/>
                <w:spacing w:val="3"/>
                <w:szCs w:val="24"/>
                <w:lang w:val="en-GB"/>
              </w:rPr>
              <w:t>Area concerned</w:t>
            </w:r>
            <w:r w:rsidRPr="00E9099D">
              <w:rPr>
                <w:szCs w:val="24"/>
                <w:lang w:val="en-GB"/>
              </w:rPr>
              <w:t>: Silesia Voivodeship</w:t>
            </w:r>
          </w:p>
        </w:tc>
      </w:tr>
      <w:tr w:rsidR="000F2170" w:rsidRPr="00E9099D" w:rsidTr="000F2170">
        <w:trPr>
          <w:trHeight w:hRule="exact" w:val="714"/>
        </w:trPr>
        <w:tc>
          <w:tcPr>
            <w:tcW w:w="4363" w:type="dxa"/>
            <w:vMerge/>
            <w:shd w:val="clear" w:color="auto" w:fill="C7BBA5" w:themeFill="accent3" w:themeFillTint="99"/>
            <w:vAlign w:val="center"/>
          </w:tcPr>
          <w:p w:rsidR="000F2170" w:rsidRPr="00E9099D" w:rsidRDefault="000F2170" w:rsidP="000F2170">
            <w:pPr>
              <w:widowControl w:val="0"/>
              <w:autoSpaceDE w:val="0"/>
              <w:autoSpaceDN w:val="0"/>
              <w:adjustRightInd w:val="0"/>
              <w:ind w:left="102" w:right="-20"/>
              <w:rPr>
                <w:szCs w:val="24"/>
                <w:lang w:val="en-GB"/>
              </w:rPr>
            </w:pPr>
          </w:p>
        </w:tc>
        <w:tc>
          <w:tcPr>
            <w:tcW w:w="4887" w:type="dxa"/>
            <w:shd w:val="clear" w:color="auto" w:fill="D9D1C3" w:themeFill="accent3" w:themeFillTint="66"/>
            <w:vAlign w:val="center"/>
          </w:tcPr>
          <w:p w:rsidR="000F2170" w:rsidRPr="00E9099D" w:rsidRDefault="000F2170" w:rsidP="000F2170">
            <w:pPr>
              <w:widowControl w:val="0"/>
              <w:autoSpaceDE w:val="0"/>
              <w:autoSpaceDN w:val="0"/>
              <w:adjustRightInd w:val="0"/>
              <w:ind w:left="102" w:right="-20"/>
              <w:rPr>
                <w:szCs w:val="24"/>
                <w:lang w:val="en-GB"/>
              </w:rPr>
            </w:pPr>
            <w:r w:rsidRPr="00E9099D">
              <w:rPr>
                <w:b/>
                <w:szCs w:val="24"/>
                <w:lang w:val="en-GB"/>
              </w:rPr>
              <w:t>Programming Period:</w:t>
            </w:r>
            <w:r w:rsidRPr="00E9099D">
              <w:rPr>
                <w:szCs w:val="24"/>
                <w:lang w:val="en-GB"/>
              </w:rPr>
              <w:t xml:space="preserve"> 2007 - 2013</w:t>
            </w:r>
          </w:p>
        </w:tc>
      </w:tr>
      <w:tr w:rsidR="000F2170" w:rsidRPr="00E9099D" w:rsidTr="000F2170">
        <w:trPr>
          <w:trHeight w:hRule="exact" w:val="650"/>
        </w:trPr>
        <w:tc>
          <w:tcPr>
            <w:tcW w:w="4363" w:type="dxa"/>
            <w:vMerge/>
            <w:shd w:val="clear" w:color="auto" w:fill="C7BBA5" w:themeFill="accent3" w:themeFillTint="99"/>
            <w:vAlign w:val="center"/>
          </w:tcPr>
          <w:p w:rsidR="000F2170" w:rsidRPr="00E9099D" w:rsidRDefault="000F2170" w:rsidP="000F2170">
            <w:pPr>
              <w:widowControl w:val="0"/>
              <w:autoSpaceDE w:val="0"/>
              <w:autoSpaceDN w:val="0"/>
              <w:adjustRightInd w:val="0"/>
              <w:ind w:left="102" w:right="-20"/>
              <w:rPr>
                <w:szCs w:val="24"/>
                <w:lang w:val="en-GB"/>
              </w:rPr>
            </w:pPr>
          </w:p>
        </w:tc>
        <w:tc>
          <w:tcPr>
            <w:tcW w:w="4887" w:type="dxa"/>
            <w:shd w:val="clear" w:color="auto" w:fill="D9D1C3" w:themeFill="accent3" w:themeFillTint="66"/>
            <w:vAlign w:val="center"/>
          </w:tcPr>
          <w:p w:rsidR="000F2170" w:rsidRPr="00E9099D" w:rsidRDefault="000F2170" w:rsidP="000F2170">
            <w:pPr>
              <w:widowControl w:val="0"/>
              <w:autoSpaceDE w:val="0"/>
              <w:autoSpaceDN w:val="0"/>
              <w:adjustRightInd w:val="0"/>
              <w:ind w:left="102" w:right="-20"/>
              <w:rPr>
                <w:szCs w:val="24"/>
                <w:lang w:val="en-GB"/>
              </w:rPr>
            </w:pPr>
            <w:r w:rsidRPr="00E9099D">
              <w:rPr>
                <w:b/>
                <w:spacing w:val="1"/>
                <w:szCs w:val="24"/>
                <w:lang w:val="en-GB"/>
              </w:rPr>
              <w:t>Pro</w:t>
            </w:r>
            <w:r w:rsidRPr="00E9099D">
              <w:rPr>
                <w:b/>
                <w:spacing w:val="-1"/>
                <w:szCs w:val="24"/>
                <w:lang w:val="en-GB"/>
              </w:rPr>
              <w:t>g</w:t>
            </w:r>
            <w:r w:rsidRPr="00E9099D">
              <w:rPr>
                <w:b/>
                <w:spacing w:val="1"/>
                <w:szCs w:val="24"/>
                <w:lang w:val="en-GB"/>
              </w:rPr>
              <w:t>r</w:t>
            </w:r>
            <w:r w:rsidRPr="00E9099D">
              <w:rPr>
                <w:b/>
                <w:spacing w:val="3"/>
                <w:szCs w:val="24"/>
                <w:lang w:val="en-GB"/>
              </w:rPr>
              <w:t>a</w:t>
            </w:r>
            <w:r w:rsidRPr="00E9099D">
              <w:rPr>
                <w:b/>
                <w:spacing w:val="-4"/>
                <w:szCs w:val="24"/>
                <w:lang w:val="en-GB"/>
              </w:rPr>
              <w:t>m</w:t>
            </w:r>
            <w:r w:rsidRPr="00E9099D">
              <w:rPr>
                <w:b/>
                <w:szCs w:val="24"/>
                <w:lang w:val="en-GB"/>
              </w:rPr>
              <w:t>me number</w:t>
            </w:r>
            <w:r w:rsidRPr="00E9099D">
              <w:rPr>
                <w:b/>
                <w:spacing w:val="-1"/>
                <w:szCs w:val="24"/>
                <w:lang w:val="en-GB"/>
              </w:rPr>
              <w:t xml:space="preserve"> </w:t>
            </w:r>
            <w:r w:rsidRPr="00E9099D">
              <w:rPr>
                <w:b/>
                <w:spacing w:val="1"/>
                <w:szCs w:val="24"/>
                <w:lang w:val="en-GB"/>
              </w:rPr>
              <w:t>(</w:t>
            </w:r>
            <w:r w:rsidRPr="00E9099D">
              <w:rPr>
                <w:b/>
                <w:spacing w:val="2"/>
                <w:szCs w:val="24"/>
                <w:lang w:val="en-GB"/>
              </w:rPr>
              <w:t>C</w:t>
            </w:r>
            <w:r w:rsidRPr="00E9099D">
              <w:rPr>
                <w:b/>
                <w:spacing w:val="-1"/>
                <w:szCs w:val="24"/>
                <w:lang w:val="en-GB"/>
              </w:rPr>
              <w:t>C</w:t>
            </w:r>
            <w:r w:rsidRPr="00E9099D">
              <w:rPr>
                <w:b/>
                <w:spacing w:val="1"/>
                <w:szCs w:val="24"/>
                <w:lang w:val="en-GB"/>
              </w:rPr>
              <w:t>I</w:t>
            </w:r>
            <w:r w:rsidRPr="00E9099D">
              <w:rPr>
                <w:b/>
                <w:szCs w:val="24"/>
                <w:lang w:val="en-GB"/>
              </w:rPr>
              <w:t>):</w:t>
            </w:r>
            <w:r w:rsidRPr="00E9099D">
              <w:rPr>
                <w:szCs w:val="24"/>
                <w:lang w:val="en-GB"/>
              </w:rPr>
              <w:t xml:space="preserve"> 2007PL161PO019</w:t>
            </w:r>
          </w:p>
        </w:tc>
      </w:tr>
      <w:tr w:rsidR="000F2170" w:rsidRPr="008861A0" w:rsidTr="000F2170">
        <w:trPr>
          <w:trHeight w:hRule="exact" w:val="1143"/>
        </w:trPr>
        <w:tc>
          <w:tcPr>
            <w:tcW w:w="4363" w:type="dxa"/>
            <w:vMerge/>
            <w:shd w:val="clear" w:color="auto" w:fill="C7BBA5" w:themeFill="accent3" w:themeFillTint="99"/>
            <w:vAlign w:val="center"/>
          </w:tcPr>
          <w:p w:rsidR="000F2170" w:rsidRPr="00E9099D" w:rsidRDefault="000F2170" w:rsidP="000F2170">
            <w:pPr>
              <w:widowControl w:val="0"/>
              <w:autoSpaceDE w:val="0"/>
              <w:autoSpaceDN w:val="0"/>
              <w:adjustRightInd w:val="0"/>
              <w:ind w:left="102" w:right="-20"/>
              <w:rPr>
                <w:szCs w:val="24"/>
                <w:lang w:val="en-GB"/>
              </w:rPr>
            </w:pPr>
          </w:p>
        </w:tc>
        <w:tc>
          <w:tcPr>
            <w:tcW w:w="4887" w:type="dxa"/>
            <w:shd w:val="clear" w:color="auto" w:fill="D9D1C3" w:themeFill="accent3" w:themeFillTint="66"/>
            <w:vAlign w:val="center"/>
          </w:tcPr>
          <w:p w:rsidR="000F2170" w:rsidRPr="00E9099D" w:rsidRDefault="000F2170" w:rsidP="000F2170">
            <w:pPr>
              <w:widowControl w:val="0"/>
              <w:autoSpaceDE w:val="0"/>
              <w:autoSpaceDN w:val="0"/>
              <w:adjustRightInd w:val="0"/>
              <w:ind w:left="102" w:right="-20"/>
              <w:rPr>
                <w:szCs w:val="24"/>
                <w:lang w:val="en-GB"/>
              </w:rPr>
            </w:pPr>
            <w:r w:rsidRPr="00E9099D">
              <w:rPr>
                <w:b/>
                <w:spacing w:val="1"/>
                <w:szCs w:val="24"/>
                <w:lang w:val="en-GB"/>
              </w:rPr>
              <w:t>Pro</w:t>
            </w:r>
            <w:r w:rsidRPr="00E9099D">
              <w:rPr>
                <w:b/>
                <w:spacing w:val="-1"/>
                <w:szCs w:val="24"/>
                <w:lang w:val="en-GB"/>
              </w:rPr>
              <w:t>g</w:t>
            </w:r>
            <w:r w:rsidRPr="00E9099D">
              <w:rPr>
                <w:b/>
                <w:spacing w:val="1"/>
                <w:szCs w:val="24"/>
                <w:lang w:val="en-GB"/>
              </w:rPr>
              <w:t>r</w:t>
            </w:r>
            <w:r w:rsidRPr="00E9099D">
              <w:rPr>
                <w:b/>
                <w:spacing w:val="3"/>
                <w:szCs w:val="24"/>
                <w:lang w:val="en-GB"/>
              </w:rPr>
              <w:t>a</w:t>
            </w:r>
            <w:r w:rsidRPr="00E9099D">
              <w:rPr>
                <w:b/>
                <w:spacing w:val="-1"/>
                <w:szCs w:val="24"/>
                <w:lang w:val="en-GB"/>
              </w:rPr>
              <w:t>m</w:t>
            </w:r>
            <w:r w:rsidRPr="00E9099D">
              <w:rPr>
                <w:b/>
                <w:szCs w:val="24"/>
                <w:lang w:val="en-GB"/>
              </w:rPr>
              <w:t>me title</w:t>
            </w:r>
            <w:r w:rsidRPr="00E9099D">
              <w:rPr>
                <w:szCs w:val="24"/>
                <w:lang w:val="en-GB"/>
              </w:rPr>
              <w:t>: Regional Operational Programme of the Silesia Voivodeship for the years 2007 - 2013</w:t>
            </w:r>
          </w:p>
        </w:tc>
      </w:tr>
      <w:tr w:rsidR="000F2170" w:rsidRPr="00E9099D" w:rsidTr="000F2170">
        <w:trPr>
          <w:trHeight w:hRule="exact" w:val="684"/>
        </w:trPr>
        <w:tc>
          <w:tcPr>
            <w:tcW w:w="4363" w:type="dxa"/>
            <w:vMerge w:val="restart"/>
            <w:shd w:val="clear" w:color="auto" w:fill="C7BBA5" w:themeFill="accent3" w:themeFillTint="99"/>
            <w:vAlign w:val="center"/>
          </w:tcPr>
          <w:p w:rsidR="000F2170" w:rsidRPr="00E9099D" w:rsidRDefault="000F2170" w:rsidP="000F2170">
            <w:pPr>
              <w:widowControl w:val="0"/>
              <w:autoSpaceDE w:val="0"/>
              <w:autoSpaceDN w:val="0"/>
              <w:adjustRightInd w:val="0"/>
              <w:ind w:left="102" w:right="-20"/>
              <w:jc w:val="center"/>
              <w:rPr>
                <w:b/>
                <w:szCs w:val="24"/>
                <w:lang w:val="en-GB"/>
              </w:rPr>
            </w:pPr>
            <w:r w:rsidRPr="00E9099D">
              <w:rPr>
                <w:b/>
                <w:szCs w:val="24"/>
                <w:lang w:val="en-GB"/>
              </w:rPr>
              <w:t>ANNUAL IMPLEMENTATION REPORT</w:t>
            </w:r>
          </w:p>
          <w:p w:rsidR="000F2170" w:rsidRPr="00E9099D" w:rsidRDefault="000F2170" w:rsidP="000F2170">
            <w:pPr>
              <w:widowControl w:val="0"/>
              <w:autoSpaceDE w:val="0"/>
              <w:autoSpaceDN w:val="0"/>
              <w:adjustRightInd w:val="0"/>
              <w:ind w:left="102" w:right="-20"/>
              <w:jc w:val="center"/>
              <w:rPr>
                <w:szCs w:val="24"/>
                <w:lang w:val="en-GB"/>
              </w:rPr>
            </w:pPr>
          </w:p>
        </w:tc>
        <w:tc>
          <w:tcPr>
            <w:tcW w:w="4887" w:type="dxa"/>
            <w:shd w:val="clear" w:color="auto" w:fill="D9D1C3" w:themeFill="accent3" w:themeFillTint="66"/>
            <w:vAlign w:val="center"/>
          </w:tcPr>
          <w:p w:rsidR="000F2170" w:rsidRPr="00E9099D" w:rsidRDefault="000F2170" w:rsidP="000F2170">
            <w:pPr>
              <w:widowControl w:val="0"/>
              <w:autoSpaceDE w:val="0"/>
              <w:autoSpaceDN w:val="0"/>
              <w:adjustRightInd w:val="0"/>
              <w:ind w:left="102" w:right="-20"/>
              <w:rPr>
                <w:szCs w:val="24"/>
                <w:lang w:val="en-GB"/>
              </w:rPr>
            </w:pPr>
            <w:r w:rsidRPr="00E9099D">
              <w:rPr>
                <w:b/>
                <w:spacing w:val="-1"/>
                <w:szCs w:val="24"/>
                <w:lang w:val="en-GB"/>
              </w:rPr>
              <w:t>Reporting year</w:t>
            </w:r>
            <w:r w:rsidRPr="00E9099D">
              <w:rPr>
                <w:b/>
                <w:szCs w:val="24"/>
                <w:lang w:val="en-GB"/>
              </w:rPr>
              <w:t>:</w:t>
            </w:r>
            <w:r w:rsidRPr="00E9099D">
              <w:rPr>
                <w:szCs w:val="24"/>
                <w:lang w:val="en-GB"/>
              </w:rPr>
              <w:t xml:space="preserve"> 2011</w:t>
            </w:r>
          </w:p>
        </w:tc>
      </w:tr>
      <w:tr w:rsidR="000F2170" w:rsidRPr="008861A0" w:rsidTr="000F2170">
        <w:trPr>
          <w:trHeight w:hRule="exact" w:val="1440"/>
        </w:trPr>
        <w:tc>
          <w:tcPr>
            <w:tcW w:w="4363" w:type="dxa"/>
            <w:vMerge/>
            <w:shd w:val="clear" w:color="auto" w:fill="C7BBA5" w:themeFill="accent3" w:themeFillTint="99"/>
            <w:vAlign w:val="center"/>
          </w:tcPr>
          <w:p w:rsidR="000F2170" w:rsidRPr="00E9099D" w:rsidRDefault="000F2170" w:rsidP="000F2170">
            <w:pPr>
              <w:widowControl w:val="0"/>
              <w:autoSpaceDE w:val="0"/>
              <w:autoSpaceDN w:val="0"/>
              <w:adjustRightInd w:val="0"/>
              <w:ind w:left="102" w:right="-20"/>
              <w:rPr>
                <w:szCs w:val="24"/>
                <w:lang w:val="en-GB"/>
              </w:rPr>
            </w:pPr>
          </w:p>
        </w:tc>
        <w:tc>
          <w:tcPr>
            <w:tcW w:w="4887" w:type="dxa"/>
            <w:shd w:val="clear" w:color="auto" w:fill="D9D1C3" w:themeFill="accent3" w:themeFillTint="66"/>
            <w:vAlign w:val="center"/>
          </w:tcPr>
          <w:p w:rsidR="000F2170" w:rsidRPr="00E9099D" w:rsidRDefault="000F2170" w:rsidP="000F2170">
            <w:pPr>
              <w:widowControl w:val="0"/>
              <w:autoSpaceDE w:val="0"/>
              <w:autoSpaceDN w:val="0"/>
              <w:adjustRightInd w:val="0"/>
              <w:ind w:left="102" w:right="-20"/>
              <w:rPr>
                <w:b/>
                <w:szCs w:val="24"/>
                <w:lang w:val="en-GB"/>
              </w:rPr>
            </w:pPr>
            <w:r w:rsidRPr="00E9099D">
              <w:rPr>
                <w:b/>
                <w:szCs w:val="24"/>
                <w:lang w:val="en-GB"/>
              </w:rPr>
              <w:t xml:space="preserve">Date of report approval by the Monitoring Committee: </w:t>
            </w:r>
          </w:p>
        </w:tc>
      </w:tr>
    </w:tbl>
    <w:p w:rsidR="000F2170" w:rsidRPr="00E9099D" w:rsidRDefault="000F2170" w:rsidP="000F2170">
      <w:pPr>
        <w:rPr>
          <w:szCs w:val="24"/>
          <w:lang w:val="en-GB"/>
        </w:rPr>
      </w:pPr>
    </w:p>
    <w:p w:rsidR="000F2170" w:rsidRPr="00E9099D" w:rsidRDefault="000F2170" w:rsidP="000F2170">
      <w:pPr>
        <w:tabs>
          <w:tab w:val="left" w:pos="3135"/>
        </w:tabs>
        <w:spacing w:after="0"/>
        <w:jc w:val="both"/>
        <w:rPr>
          <w:szCs w:val="24"/>
          <w:lang w:val="en-GB"/>
        </w:rPr>
      </w:pPr>
      <w:r w:rsidRPr="00E9099D">
        <w:rPr>
          <w:szCs w:val="24"/>
          <w:lang w:val="en-GB"/>
        </w:rPr>
        <w:t>The ROP SV is the second-largest regional programme in Poland as far as the amount of funds allocated is concerned. The Board of the Silesia Voivodeship as a Managing Authority (MA) is responsible for the implementation of the programme, and the tasks are performed by:</w:t>
      </w:r>
      <w:r w:rsidRPr="00E9099D">
        <w:rPr>
          <w:szCs w:val="24"/>
          <w:lang w:val="en-GB"/>
        </w:rPr>
        <w:tab/>
      </w:r>
    </w:p>
    <w:p w:rsidR="000F2170" w:rsidRPr="00E9099D" w:rsidRDefault="000F2170" w:rsidP="00BA2FE7">
      <w:pPr>
        <w:pStyle w:val="Akapitzlist"/>
        <w:numPr>
          <w:ilvl w:val="0"/>
          <w:numId w:val="40"/>
        </w:numPr>
        <w:spacing w:after="0"/>
        <w:jc w:val="both"/>
        <w:rPr>
          <w:szCs w:val="24"/>
          <w:lang w:val="en-GB"/>
        </w:rPr>
      </w:pPr>
      <w:r w:rsidRPr="00E9099D">
        <w:rPr>
          <w:szCs w:val="24"/>
          <w:lang w:val="en-GB"/>
        </w:rPr>
        <w:t>Regional Development Department in the Marshall Office – implementation of priorities dedicated</w:t>
      </w:r>
      <w:r>
        <w:rPr>
          <w:szCs w:val="24"/>
          <w:lang w:val="en-GB"/>
        </w:rPr>
        <w:t>,</w:t>
      </w:r>
      <w:r w:rsidRPr="00E9099D">
        <w:rPr>
          <w:szCs w:val="24"/>
          <w:lang w:val="en-GB"/>
        </w:rPr>
        <w:t xml:space="preserve"> first of all</w:t>
      </w:r>
      <w:r>
        <w:rPr>
          <w:szCs w:val="24"/>
          <w:lang w:val="en-GB"/>
        </w:rPr>
        <w:t>,</w:t>
      </w:r>
      <w:r w:rsidRPr="00E9099D">
        <w:rPr>
          <w:szCs w:val="24"/>
          <w:lang w:val="en-GB"/>
        </w:rPr>
        <w:t xml:space="preserve"> to units of administrative division,</w:t>
      </w:r>
    </w:p>
    <w:p w:rsidR="000F2170" w:rsidRPr="00E9099D" w:rsidRDefault="000F2170" w:rsidP="00BA2FE7">
      <w:pPr>
        <w:pStyle w:val="Akapitzlist"/>
        <w:numPr>
          <w:ilvl w:val="0"/>
          <w:numId w:val="40"/>
        </w:numPr>
        <w:spacing w:after="0"/>
        <w:ind w:left="714" w:hanging="357"/>
        <w:jc w:val="both"/>
        <w:rPr>
          <w:szCs w:val="24"/>
          <w:lang w:val="en-GB"/>
        </w:rPr>
      </w:pPr>
      <w:r w:rsidRPr="00E9099D">
        <w:rPr>
          <w:szCs w:val="24"/>
          <w:lang w:val="en-GB"/>
        </w:rPr>
        <w:t>Silesian Centre of Entrepreneurship (SCE) – implementation of priorities dedicated to entrepreneurs.</w:t>
      </w:r>
    </w:p>
    <w:p w:rsidR="000F2170" w:rsidRPr="00E9099D" w:rsidRDefault="000F2170" w:rsidP="000F2170">
      <w:pPr>
        <w:autoSpaceDE w:val="0"/>
        <w:autoSpaceDN w:val="0"/>
        <w:adjustRightInd w:val="0"/>
        <w:jc w:val="both"/>
        <w:rPr>
          <w:sz w:val="23"/>
          <w:szCs w:val="23"/>
          <w:lang w:val="en-GB"/>
        </w:rPr>
      </w:pPr>
      <w:r w:rsidRPr="00E9099D">
        <w:rPr>
          <w:szCs w:val="24"/>
          <w:lang w:val="en-GB"/>
        </w:rPr>
        <w:t xml:space="preserve">The main objective of the </w:t>
      </w:r>
      <w:r w:rsidRPr="00E9099D">
        <w:rPr>
          <w:iCs/>
          <w:szCs w:val="24"/>
          <w:lang w:val="en-GB"/>
        </w:rPr>
        <w:t xml:space="preserve">ROP SV </w:t>
      </w:r>
      <w:r w:rsidRPr="00E9099D">
        <w:rPr>
          <w:szCs w:val="24"/>
          <w:lang w:val="en-GB"/>
        </w:rPr>
        <w:t>is to stimulate dynamic growth through enhancing the social, economic and spatial cohesion of the region. According to the main objective, the priorities were selected that corresponded to the areas which are essential for the dynamic development of the region.</w:t>
      </w:r>
      <w:r w:rsidRPr="00E9099D">
        <w:rPr>
          <w:sz w:val="23"/>
          <w:szCs w:val="23"/>
          <w:lang w:val="en-GB"/>
        </w:rPr>
        <w:t xml:space="preserve"> </w:t>
      </w:r>
    </w:p>
    <w:p w:rsidR="000F2170" w:rsidRPr="00E9099D" w:rsidRDefault="000F2170" w:rsidP="000F2170">
      <w:pPr>
        <w:autoSpaceDE w:val="0"/>
        <w:autoSpaceDN w:val="0"/>
        <w:adjustRightInd w:val="0"/>
        <w:jc w:val="both"/>
        <w:rPr>
          <w:szCs w:val="24"/>
          <w:lang w:val="en-GB"/>
        </w:rPr>
      </w:pPr>
      <w:r w:rsidRPr="00E9099D">
        <w:rPr>
          <w:szCs w:val="24"/>
          <w:lang w:val="en-GB"/>
        </w:rPr>
        <w:t>Within the ROP SV implementation</w:t>
      </w:r>
      <w:r>
        <w:rPr>
          <w:szCs w:val="24"/>
          <w:lang w:val="en-GB"/>
        </w:rPr>
        <w:t>, the sum of</w:t>
      </w:r>
      <w:r w:rsidRPr="00E9099D">
        <w:rPr>
          <w:szCs w:val="24"/>
          <w:lang w:val="en-GB"/>
        </w:rPr>
        <w:t xml:space="preserve"> EUR 1 747 104 507 is going to be allocated to financing projects from EU funds. Below</w:t>
      </w:r>
      <w:r>
        <w:rPr>
          <w:szCs w:val="24"/>
          <w:lang w:val="en-GB"/>
        </w:rPr>
        <w:t>,</w:t>
      </w:r>
      <w:r w:rsidRPr="00E9099D">
        <w:rPr>
          <w:szCs w:val="24"/>
          <w:lang w:val="en-GB"/>
        </w:rPr>
        <w:t xml:space="preserve"> the distribution of funds according to priorities (areas of support). </w:t>
      </w:r>
    </w:p>
    <w:p w:rsidR="000F2170" w:rsidRPr="00E9099D" w:rsidRDefault="000F2170" w:rsidP="000F2170">
      <w:pPr>
        <w:rPr>
          <w:szCs w:val="24"/>
          <w:lang w:val="en-GB"/>
        </w:rPr>
      </w:pPr>
    </w:p>
    <w:p w:rsidR="000F2170" w:rsidRPr="00E9099D" w:rsidRDefault="000F2170" w:rsidP="000F2170">
      <w:pPr>
        <w:rPr>
          <w:szCs w:val="24"/>
          <w:lang w:val="en-GB"/>
        </w:rPr>
      </w:pPr>
      <w:r w:rsidRPr="00E9099D">
        <w:rPr>
          <w:noProof/>
          <w:szCs w:val="24"/>
        </w:rPr>
        <w:drawing>
          <wp:inline distT="0" distB="0" distL="0" distR="0">
            <wp:extent cx="5029199" cy="4781549"/>
            <wp:effectExtent l="57150" t="57150" r="76835" b="153035"/>
            <wp:docPr id="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0F2170" w:rsidRPr="00E9099D" w:rsidRDefault="000F2170" w:rsidP="000F2170">
      <w:pPr>
        <w:pStyle w:val="Legenda"/>
        <w:rPr>
          <w:color w:val="000000" w:themeColor="text1"/>
          <w:sz w:val="20"/>
          <w:szCs w:val="20"/>
          <w:lang w:val="en-GB"/>
        </w:rPr>
      </w:pPr>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58</w:t>
      </w:r>
      <w:r w:rsidR="008F7228" w:rsidRPr="00E9099D">
        <w:rPr>
          <w:color w:val="000000" w:themeColor="text1"/>
          <w:sz w:val="20"/>
          <w:szCs w:val="20"/>
          <w:lang w:val="en-GB"/>
        </w:rPr>
        <w:fldChar w:fldCharType="end"/>
      </w:r>
      <w:r w:rsidRPr="00E9099D">
        <w:rPr>
          <w:color w:val="000000" w:themeColor="text1"/>
          <w:sz w:val="20"/>
          <w:szCs w:val="20"/>
          <w:lang w:val="en-GB"/>
        </w:rPr>
        <w:t xml:space="preserve"> </w:t>
      </w:r>
      <w:r w:rsidRPr="00E9099D">
        <w:rPr>
          <w:b w:val="0"/>
          <w:i/>
          <w:color w:val="000000" w:themeColor="text1"/>
          <w:sz w:val="20"/>
          <w:szCs w:val="20"/>
          <w:lang w:val="en-GB"/>
        </w:rPr>
        <w:t>Distribution of the ROP SV funds according to areas of support</w:t>
      </w:r>
    </w:p>
    <w:p w:rsidR="000F2170" w:rsidRPr="00E9099D" w:rsidRDefault="000F2170" w:rsidP="000F2170">
      <w:pPr>
        <w:rPr>
          <w:szCs w:val="24"/>
          <w:lang w:val="en-GB"/>
        </w:rPr>
      </w:pPr>
    </w:p>
    <w:p w:rsidR="000F2170" w:rsidRPr="00E9099D" w:rsidRDefault="000F2170" w:rsidP="000F2170">
      <w:pPr>
        <w:spacing w:after="240"/>
        <w:rPr>
          <w:b/>
          <w:i/>
          <w:szCs w:val="24"/>
          <w:lang w:val="en-GB"/>
        </w:rPr>
      </w:pPr>
      <w:r w:rsidRPr="00E9099D">
        <w:rPr>
          <w:b/>
          <w:i/>
          <w:szCs w:val="24"/>
          <w:lang w:val="en-GB"/>
        </w:rPr>
        <w:t xml:space="preserve">The state of the ROP SV implementation in 2011 and since the Programme launch </w:t>
      </w:r>
    </w:p>
    <w:p w:rsidR="000F2170" w:rsidRPr="00E9099D" w:rsidRDefault="000F2170" w:rsidP="000F2170">
      <w:pPr>
        <w:jc w:val="both"/>
        <w:rPr>
          <w:szCs w:val="24"/>
          <w:lang w:val="en-GB"/>
        </w:rPr>
      </w:pPr>
      <w:r w:rsidRPr="00E9099D">
        <w:rPr>
          <w:szCs w:val="24"/>
          <w:lang w:val="en-GB"/>
        </w:rPr>
        <w:t>All variables presented on the chart below reveal the positive dynamics of financial progress. At the end of 2011</w:t>
      </w:r>
      <w:r>
        <w:rPr>
          <w:szCs w:val="24"/>
          <w:lang w:val="en-GB"/>
        </w:rPr>
        <w:t>,</w:t>
      </w:r>
      <w:r w:rsidRPr="00E9099D">
        <w:rPr>
          <w:szCs w:val="24"/>
          <w:lang w:val="en-GB"/>
        </w:rPr>
        <w:t xml:space="preserve"> the allocation made for the beneficiaries </w:t>
      </w:r>
      <w:r>
        <w:rPr>
          <w:szCs w:val="24"/>
          <w:lang w:val="en-GB"/>
        </w:rPr>
        <w:t>did not exceed</w:t>
      </w:r>
      <w:r w:rsidRPr="00E9099D">
        <w:rPr>
          <w:szCs w:val="24"/>
          <w:lang w:val="en-GB"/>
        </w:rPr>
        <w:t xml:space="preserve"> 50%. However, the specific of the EU programme implementation should be borne in mind here. During the first period of their implementation, it is common that the rate of projects selected for funding (83.61%) grows in the fastest manner. Then</w:t>
      </w:r>
      <w:r>
        <w:rPr>
          <w:szCs w:val="24"/>
          <w:lang w:val="en-GB"/>
        </w:rPr>
        <w:t>,</w:t>
      </w:r>
      <w:r w:rsidRPr="00E9099D">
        <w:rPr>
          <w:szCs w:val="24"/>
          <w:lang w:val="en-GB"/>
        </w:rPr>
        <w:t xml:space="preserve"> according to the project life circle, the other ratios increase, among others</w:t>
      </w:r>
      <w:r>
        <w:rPr>
          <w:szCs w:val="24"/>
          <w:lang w:val="en-GB"/>
        </w:rPr>
        <w:t>,</w:t>
      </w:r>
      <w:r w:rsidRPr="00E9099D">
        <w:rPr>
          <w:szCs w:val="24"/>
          <w:lang w:val="en-GB"/>
        </w:rPr>
        <w:t xml:space="preserve"> </w:t>
      </w:r>
      <w:bookmarkStart w:id="745" w:name="OLE_LINK1"/>
      <w:bookmarkStart w:id="746" w:name="OLE_LINK2"/>
      <w:r w:rsidRPr="00E9099D">
        <w:rPr>
          <w:szCs w:val="24"/>
          <w:lang w:val="en-GB"/>
        </w:rPr>
        <w:t xml:space="preserve">contract award procedure </w:t>
      </w:r>
      <w:bookmarkEnd w:id="745"/>
      <w:bookmarkEnd w:id="746"/>
      <w:r w:rsidRPr="00E9099D">
        <w:rPr>
          <w:szCs w:val="24"/>
          <w:lang w:val="en-GB"/>
        </w:rPr>
        <w:t>(69.16%) and</w:t>
      </w:r>
      <w:r>
        <w:rPr>
          <w:szCs w:val="24"/>
          <w:lang w:val="en-GB"/>
        </w:rPr>
        <w:t>,</w:t>
      </w:r>
      <w:r w:rsidRPr="00E9099D">
        <w:rPr>
          <w:szCs w:val="24"/>
          <w:lang w:val="en-GB"/>
        </w:rPr>
        <w:t xml:space="preserve"> finally</w:t>
      </w:r>
      <w:r>
        <w:rPr>
          <w:szCs w:val="24"/>
          <w:lang w:val="en-GB"/>
        </w:rPr>
        <w:t>,</w:t>
      </w:r>
      <w:r w:rsidRPr="00E9099D">
        <w:rPr>
          <w:szCs w:val="24"/>
          <w:lang w:val="en-GB"/>
        </w:rPr>
        <w:t xml:space="preserve"> payments.     </w:t>
      </w:r>
    </w:p>
    <w:p w:rsidR="000F2170" w:rsidRPr="00E9099D" w:rsidRDefault="000F2170" w:rsidP="000F2170">
      <w:pPr>
        <w:jc w:val="both"/>
        <w:rPr>
          <w:szCs w:val="24"/>
          <w:lang w:val="en-GB"/>
        </w:rPr>
      </w:pPr>
      <w:r w:rsidRPr="00E9099D">
        <w:rPr>
          <w:szCs w:val="24"/>
          <w:lang w:val="en-GB"/>
        </w:rPr>
        <w:t xml:space="preserve">The chart below shows the general data concerning progress in the ROP SV implementation since the </w:t>
      </w:r>
      <w:r w:rsidRPr="00E9099D">
        <w:rPr>
          <w:i/>
          <w:szCs w:val="24"/>
          <w:lang w:val="en-GB"/>
        </w:rPr>
        <w:t>Programme</w:t>
      </w:r>
      <w:r w:rsidRPr="00E9099D">
        <w:rPr>
          <w:szCs w:val="24"/>
          <w:lang w:val="en-GB"/>
        </w:rPr>
        <w:t xml:space="preserve"> launch and during the reporting period.  </w:t>
      </w:r>
    </w:p>
    <w:p w:rsidR="000F2170" w:rsidRPr="00E9099D" w:rsidRDefault="000F2170" w:rsidP="000F2170">
      <w:pPr>
        <w:pStyle w:val="Legenda"/>
        <w:spacing w:after="120" w:line="276" w:lineRule="auto"/>
        <w:ind w:left="-567"/>
        <w:jc w:val="both"/>
        <w:rPr>
          <w:color w:val="000000" w:themeColor="text1"/>
          <w:sz w:val="24"/>
          <w:szCs w:val="24"/>
          <w:lang w:val="en-GB"/>
        </w:rPr>
      </w:pPr>
    </w:p>
    <w:p w:rsidR="000F2170" w:rsidRDefault="000F2170" w:rsidP="000F2170">
      <w:pPr>
        <w:pStyle w:val="Legenda"/>
        <w:rPr>
          <w:color w:val="000000" w:themeColor="text1"/>
          <w:sz w:val="20"/>
          <w:szCs w:val="20"/>
          <w:lang w:val="en-GB"/>
        </w:rPr>
      </w:pPr>
      <w:bookmarkStart w:id="747" w:name="_Toc324855830"/>
      <w:r w:rsidRPr="00B43A5E">
        <w:rPr>
          <w:noProof/>
          <w:color w:val="000000" w:themeColor="text1"/>
          <w:sz w:val="20"/>
          <w:szCs w:val="20"/>
        </w:rPr>
        <w:drawing>
          <wp:inline distT="0" distB="0" distL="0" distR="0">
            <wp:extent cx="6019800" cy="3152775"/>
            <wp:effectExtent l="38100" t="19050" r="19050" b="0"/>
            <wp:docPr id="22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0F2170" w:rsidRPr="00E9099D" w:rsidRDefault="000F2170" w:rsidP="000F2170">
      <w:pPr>
        <w:pStyle w:val="Legenda"/>
        <w:rPr>
          <w:b w:val="0"/>
          <w:i/>
          <w:color w:val="auto"/>
          <w:sz w:val="20"/>
          <w:szCs w:val="20"/>
          <w:lang w:val="en-GB"/>
        </w:rPr>
      </w:pPr>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59</w:t>
      </w:r>
      <w:r w:rsidR="008F7228" w:rsidRPr="00E9099D">
        <w:rPr>
          <w:color w:val="000000" w:themeColor="text1"/>
          <w:sz w:val="20"/>
          <w:szCs w:val="20"/>
          <w:lang w:val="en-GB"/>
        </w:rPr>
        <w:fldChar w:fldCharType="end"/>
      </w:r>
      <w:r w:rsidRPr="00E9099D">
        <w:rPr>
          <w:lang w:val="en-GB"/>
        </w:rPr>
        <w:t xml:space="preserve"> </w:t>
      </w:r>
      <w:r w:rsidRPr="00E9099D">
        <w:rPr>
          <w:b w:val="0"/>
          <w:i/>
          <w:color w:val="auto"/>
          <w:sz w:val="20"/>
          <w:szCs w:val="20"/>
          <w:lang w:val="en-GB"/>
        </w:rPr>
        <w:t>The Progress of the ROP SV implementation during the reporting period and since the Programme launch</w:t>
      </w:r>
      <w:bookmarkEnd w:id="747"/>
    </w:p>
    <w:p w:rsidR="000F2170" w:rsidRPr="00E9099D" w:rsidRDefault="000F2170" w:rsidP="000F2170">
      <w:pPr>
        <w:pStyle w:val="Akapitzlist"/>
        <w:widowControl w:val="0"/>
        <w:autoSpaceDE w:val="0"/>
        <w:autoSpaceDN w:val="0"/>
        <w:adjustRightInd w:val="0"/>
        <w:spacing w:after="0"/>
        <w:ind w:left="0"/>
        <w:jc w:val="both"/>
        <w:rPr>
          <w:szCs w:val="24"/>
          <w:lang w:val="en-GB"/>
        </w:rPr>
      </w:pPr>
      <w:r w:rsidRPr="00E9099D">
        <w:rPr>
          <w:szCs w:val="24"/>
          <w:lang w:val="en-GB"/>
        </w:rPr>
        <w:t xml:space="preserve">While analysing the implementation level of particular priorities, one should take the structure of their allocation into consideration, i.e. value of funds allocated within them for projects implemented following competitive procedure, SDP and KP.   </w:t>
      </w:r>
    </w:p>
    <w:p w:rsidR="000F2170" w:rsidRPr="00E9099D" w:rsidRDefault="000F2170" w:rsidP="000F2170">
      <w:pPr>
        <w:pStyle w:val="Akapitzlist"/>
        <w:widowControl w:val="0"/>
        <w:autoSpaceDE w:val="0"/>
        <w:autoSpaceDN w:val="0"/>
        <w:adjustRightInd w:val="0"/>
        <w:spacing w:after="0"/>
        <w:ind w:left="0"/>
        <w:jc w:val="both"/>
        <w:rPr>
          <w:szCs w:val="24"/>
          <w:lang w:val="en-GB"/>
        </w:rPr>
      </w:pPr>
      <w:r w:rsidRPr="00E9099D">
        <w:rPr>
          <w:i/>
          <w:szCs w:val="24"/>
          <w:lang w:val="en-GB"/>
        </w:rPr>
        <w:t>The priority VI</w:t>
      </w:r>
      <w:r w:rsidRPr="00E9099D">
        <w:rPr>
          <w:szCs w:val="24"/>
          <w:lang w:val="en-GB"/>
        </w:rPr>
        <w:t xml:space="preserve"> and </w:t>
      </w:r>
      <w:r w:rsidRPr="00E9099D">
        <w:rPr>
          <w:i/>
          <w:szCs w:val="24"/>
          <w:lang w:val="en-GB"/>
        </w:rPr>
        <w:t>the priority VII</w:t>
      </w:r>
      <w:r w:rsidRPr="00E9099D">
        <w:rPr>
          <w:szCs w:val="24"/>
          <w:lang w:val="en-GB"/>
        </w:rPr>
        <w:t xml:space="preserve"> are characterised by very similar number of KP, SDP and competitions in the structure of their allocation (priority VI: KP -41%, SDP - 13%, competitions -47%, priority VII: KP -42%, SDP -11%, competitions -48%) and</w:t>
      </w:r>
      <w:r>
        <w:rPr>
          <w:szCs w:val="24"/>
          <w:lang w:val="en-GB"/>
        </w:rPr>
        <w:t>,</w:t>
      </w:r>
      <w:r w:rsidRPr="00E9099D">
        <w:rPr>
          <w:szCs w:val="24"/>
          <w:lang w:val="en-GB"/>
        </w:rPr>
        <w:t xml:space="preserve"> in 2011</w:t>
      </w:r>
      <w:r>
        <w:rPr>
          <w:szCs w:val="24"/>
          <w:lang w:val="en-GB"/>
        </w:rPr>
        <w:t>,</w:t>
      </w:r>
      <w:r w:rsidRPr="00E9099D">
        <w:rPr>
          <w:szCs w:val="24"/>
          <w:lang w:val="en-GB"/>
        </w:rPr>
        <w:t xml:space="preserve"> the level of their implementation is similar as opposed to 2010. It resulted from the fact that within the </w:t>
      </w:r>
      <w:r w:rsidRPr="00E9099D">
        <w:rPr>
          <w:i/>
          <w:szCs w:val="24"/>
          <w:lang w:val="en-GB"/>
        </w:rPr>
        <w:t xml:space="preserve">priority VI </w:t>
      </w:r>
      <w:r w:rsidRPr="00E9099D">
        <w:rPr>
          <w:szCs w:val="24"/>
          <w:lang w:val="en-GB"/>
        </w:rPr>
        <w:t>the call for applications was suspended due to lack of regulations concerning rules of granting aid for projects within the scope of revitalization. After approval of the above mentioned directive in 2011</w:t>
      </w:r>
      <w:r>
        <w:rPr>
          <w:szCs w:val="24"/>
          <w:lang w:val="en-GB"/>
        </w:rPr>
        <w:t>,</w:t>
      </w:r>
      <w:r w:rsidRPr="00E9099D">
        <w:rPr>
          <w:szCs w:val="24"/>
          <w:lang w:val="en-GB"/>
        </w:rPr>
        <w:t xml:space="preserve"> the rapid grow in implementation of the </w:t>
      </w:r>
      <w:r w:rsidRPr="00E9099D">
        <w:rPr>
          <w:i/>
          <w:szCs w:val="24"/>
          <w:lang w:val="en-GB"/>
        </w:rPr>
        <w:t xml:space="preserve">priority VI </w:t>
      </w:r>
      <w:r w:rsidRPr="00E9099D">
        <w:rPr>
          <w:szCs w:val="24"/>
          <w:lang w:val="en-GB"/>
        </w:rPr>
        <w:t>occurred.</w:t>
      </w:r>
    </w:p>
    <w:p w:rsidR="000F2170" w:rsidRPr="00E9099D" w:rsidRDefault="000F2170" w:rsidP="000F2170">
      <w:pPr>
        <w:pStyle w:val="Akapitzlist"/>
        <w:widowControl w:val="0"/>
        <w:autoSpaceDE w:val="0"/>
        <w:autoSpaceDN w:val="0"/>
        <w:adjustRightInd w:val="0"/>
        <w:spacing w:after="0"/>
        <w:ind w:left="0"/>
        <w:jc w:val="both"/>
        <w:rPr>
          <w:szCs w:val="24"/>
          <w:lang w:val="en-GB"/>
        </w:rPr>
      </w:pPr>
      <w:r w:rsidRPr="00E9099D">
        <w:rPr>
          <w:szCs w:val="24"/>
          <w:lang w:val="en-GB"/>
        </w:rPr>
        <w:t xml:space="preserve">It has also not been observed that the number of KP in the structure of priorities has had higher influence on the implementation level of particular priorities. For instance, the state of implementation of the </w:t>
      </w:r>
      <w:r w:rsidRPr="00E9099D">
        <w:rPr>
          <w:i/>
          <w:szCs w:val="24"/>
          <w:lang w:val="en-GB"/>
        </w:rPr>
        <w:t xml:space="preserve">priority VII, </w:t>
      </w:r>
      <w:r w:rsidRPr="00E9099D">
        <w:rPr>
          <w:szCs w:val="24"/>
          <w:lang w:val="en-GB"/>
        </w:rPr>
        <w:t xml:space="preserve">despite the fact that KP constitute 42% of its allocation, was high in comparison with remaining priorities.  </w:t>
      </w:r>
    </w:p>
    <w:p w:rsidR="000F2170" w:rsidRPr="00E9099D" w:rsidRDefault="000F2170" w:rsidP="000F2170">
      <w:pPr>
        <w:pStyle w:val="Akapitzlist"/>
        <w:widowControl w:val="0"/>
        <w:autoSpaceDE w:val="0"/>
        <w:autoSpaceDN w:val="0"/>
        <w:adjustRightInd w:val="0"/>
        <w:spacing w:after="0"/>
        <w:ind w:left="0"/>
        <w:jc w:val="both"/>
        <w:rPr>
          <w:szCs w:val="24"/>
          <w:lang w:val="en-GB"/>
        </w:rPr>
      </w:pPr>
      <w:r>
        <w:rPr>
          <w:szCs w:val="24"/>
          <w:lang w:val="en-GB"/>
        </w:rPr>
        <w:t>In turn</w:t>
      </w:r>
      <w:r w:rsidRPr="00E9099D">
        <w:rPr>
          <w:szCs w:val="24"/>
          <w:lang w:val="en-GB"/>
        </w:rPr>
        <w:t xml:space="preserve">, SDP constitute the highest share in the structure of funds allocated for implementation of particular priorities in the following priorities: II, IV and V, and the implementation level of these priorities, especially when comparing the </w:t>
      </w:r>
      <w:r w:rsidRPr="00E9099D">
        <w:rPr>
          <w:i/>
          <w:szCs w:val="24"/>
          <w:lang w:val="en-GB"/>
        </w:rPr>
        <w:t xml:space="preserve">priority II </w:t>
      </w:r>
      <w:r w:rsidRPr="00E9099D">
        <w:rPr>
          <w:szCs w:val="24"/>
          <w:lang w:val="en-GB"/>
        </w:rPr>
        <w:t xml:space="preserve">and the </w:t>
      </w:r>
      <w:r w:rsidRPr="00E9099D">
        <w:rPr>
          <w:i/>
          <w:szCs w:val="24"/>
          <w:lang w:val="en-GB"/>
        </w:rPr>
        <w:t xml:space="preserve">priority IV and V </w:t>
      </w:r>
      <w:r w:rsidRPr="00E9099D">
        <w:rPr>
          <w:szCs w:val="24"/>
          <w:lang w:val="en-GB"/>
        </w:rPr>
        <w:t xml:space="preserve">looks </w:t>
      </w:r>
      <w:r>
        <w:rPr>
          <w:szCs w:val="24"/>
          <w:lang w:val="en-GB"/>
        </w:rPr>
        <w:t>quite</w:t>
      </w:r>
      <w:r w:rsidRPr="00E9099D">
        <w:rPr>
          <w:szCs w:val="24"/>
          <w:lang w:val="en-GB"/>
        </w:rPr>
        <w:t xml:space="preserve"> different. However, this situation is caused by other factors, mainly lack of the appropriate directive.   </w:t>
      </w:r>
    </w:p>
    <w:p w:rsidR="000F2170" w:rsidRPr="00E9099D" w:rsidRDefault="000F2170" w:rsidP="000F2170">
      <w:pPr>
        <w:pStyle w:val="Akapitzlist"/>
        <w:widowControl w:val="0"/>
        <w:autoSpaceDE w:val="0"/>
        <w:autoSpaceDN w:val="0"/>
        <w:adjustRightInd w:val="0"/>
        <w:spacing w:after="0"/>
        <w:ind w:left="0"/>
        <w:jc w:val="both"/>
        <w:rPr>
          <w:szCs w:val="24"/>
          <w:lang w:val="en-GB"/>
        </w:rPr>
      </w:pPr>
    </w:p>
    <w:p w:rsidR="000F2170" w:rsidRPr="00E9099D" w:rsidRDefault="000F2170" w:rsidP="000F2170">
      <w:pPr>
        <w:pStyle w:val="Akapitzlist"/>
        <w:widowControl w:val="0"/>
        <w:autoSpaceDE w:val="0"/>
        <w:autoSpaceDN w:val="0"/>
        <w:adjustRightInd w:val="0"/>
        <w:spacing w:after="0"/>
        <w:ind w:left="0"/>
        <w:jc w:val="both"/>
        <w:rPr>
          <w:szCs w:val="24"/>
          <w:lang w:val="en-GB"/>
        </w:rPr>
      </w:pPr>
      <w:r w:rsidRPr="00E9099D">
        <w:rPr>
          <w:szCs w:val="24"/>
          <w:lang w:val="en-GB"/>
        </w:rPr>
        <w:t xml:space="preserve">The priority </w:t>
      </w:r>
      <w:r w:rsidRPr="00A41F02">
        <w:rPr>
          <w:i/>
          <w:szCs w:val="24"/>
          <w:lang w:val="en-GB"/>
        </w:rPr>
        <w:t>IX</w:t>
      </w:r>
      <w:r w:rsidRPr="00E9099D">
        <w:rPr>
          <w:szCs w:val="24"/>
          <w:lang w:val="en-GB"/>
        </w:rPr>
        <w:t xml:space="preserve"> </w:t>
      </w:r>
      <w:r w:rsidRPr="00E9099D">
        <w:rPr>
          <w:i/>
          <w:szCs w:val="24"/>
          <w:lang w:val="en-GB"/>
        </w:rPr>
        <w:t xml:space="preserve">Health and Recreation </w:t>
      </w:r>
      <w:r w:rsidRPr="00E9099D">
        <w:rPr>
          <w:szCs w:val="24"/>
          <w:lang w:val="en-GB"/>
        </w:rPr>
        <w:t xml:space="preserve">is the most advanced one in terms of implementation. The level of contract award procedure exceeded 92% and level of payments 71% respectively. The considerable progress of implementation can also be observed in the </w:t>
      </w:r>
      <w:r w:rsidRPr="00E9099D">
        <w:rPr>
          <w:i/>
          <w:szCs w:val="24"/>
          <w:lang w:val="en-GB"/>
        </w:rPr>
        <w:t xml:space="preserve">priority IV Culture. </w:t>
      </w:r>
      <w:r w:rsidRPr="00E9099D">
        <w:rPr>
          <w:szCs w:val="24"/>
          <w:lang w:val="en-GB"/>
        </w:rPr>
        <w:t xml:space="preserve"> </w:t>
      </w:r>
    </w:p>
    <w:p w:rsidR="000F2170" w:rsidRPr="00E9099D" w:rsidRDefault="000F2170" w:rsidP="000F2170">
      <w:pPr>
        <w:pStyle w:val="Akapitzlist"/>
        <w:widowControl w:val="0"/>
        <w:autoSpaceDE w:val="0"/>
        <w:autoSpaceDN w:val="0"/>
        <w:adjustRightInd w:val="0"/>
        <w:spacing w:after="0"/>
        <w:ind w:left="0"/>
        <w:jc w:val="both"/>
        <w:rPr>
          <w:i/>
          <w:szCs w:val="24"/>
          <w:lang w:val="en-GB"/>
        </w:rPr>
      </w:pPr>
    </w:p>
    <w:p w:rsidR="000F2170" w:rsidRPr="00E9099D" w:rsidRDefault="000F2170" w:rsidP="000F2170">
      <w:pPr>
        <w:pStyle w:val="Akapitzlist"/>
        <w:widowControl w:val="0"/>
        <w:autoSpaceDE w:val="0"/>
        <w:autoSpaceDN w:val="0"/>
        <w:adjustRightInd w:val="0"/>
        <w:spacing w:after="0"/>
        <w:ind w:left="0"/>
        <w:jc w:val="both"/>
        <w:rPr>
          <w:szCs w:val="24"/>
          <w:lang w:val="en-GB"/>
        </w:rPr>
      </w:pPr>
      <w:r w:rsidRPr="00E9099D">
        <w:rPr>
          <w:szCs w:val="24"/>
          <w:lang w:val="en-GB"/>
        </w:rPr>
        <w:t>Till the end of 2011</w:t>
      </w:r>
      <w:r>
        <w:rPr>
          <w:szCs w:val="24"/>
          <w:lang w:val="en-GB"/>
        </w:rPr>
        <w:t>,</w:t>
      </w:r>
      <w:r w:rsidRPr="00E9099D">
        <w:rPr>
          <w:szCs w:val="24"/>
          <w:lang w:val="en-GB"/>
        </w:rPr>
        <w:t xml:space="preserve"> the weakest progress in implementation is observed in</w:t>
      </w:r>
      <w:r>
        <w:rPr>
          <w:szCs w:val="24"/>
          <w:lang w:val="en-GB"/>
        </w:rPr>
        <w:t xml:space="preserve"> the</w:t>
      </w:r>
      <w:r w:rsidRPr="00E9099D">
        <w:rPr>
          <w:szCs w:val="24"/>
          <w:lang w:val="en-GB"/>
        </w:rPr>
        <w:t xml:space="preserve"> case of the priority </w:t>
      </w:r>
      <w:r w:rsidRPr="00E9099D">
        <w:rPr>
          <w:i/>
          <w:szCs w:val="24"/>
          <w:lang w:val="en-GB"/>
        </w:rPr>
        <w:t>II Information Society</w:t>
      </w:r>
      <w:r w:rsidRPr="00E9099D">
        <w:rPr>
          <w:szCs w:val="24"/>
          <w:lang w:val="en-GB"/>
        </w:rPr>
        <w:t xml:space="preserve">, </w:t>
      </w:r>
      <w:r>
        <w:rPr>
          <w:szCs w:val="24"/>
          <w:lang w:val="en-GB"/>
        </w:rPr>
        <w:t>while</w:t>
      </w:r>
      <w:r w:rsidRPr="00E9099D">
        <w:rPr>
          <w:szCs w:val="24"/>
          <w:lang w:val="en-GB"/>
        </w:rPr>
        <w:t xml:space="preserve"> not taking the priority </w:t>
      </w:r>
      <w:r w:rsidRPr="00E9099D">
        <w:rPr>
          <w:i/>
          <w:szCs w:val="24"/>
          <w:lang w:val="en-GB"/>
        </w:rPr>
        <w:t xml:space="preserve">X Technical Assistance </w:t>
      </w:r>
      <w:r w:rsidRPr="00E9099D">
        <w:rPr>
          <w:szCs w:val="24"/>
          <w:lang w:val="en-GB"/>
        </w:rPr>
        <w:t>into consideration.</w:t>
      </w:r>
      <w:r>
        <w:rPr>
          <w:szCs w:val="24"/>
          <w:lang w:val="en-GB"/>
        </w:rPr>
        <w:t xml:space="preserve"> The main reason for</w:t>
      </w:r>
      <w:r w:rsidRPr="00E9099D">
        <w:rPr>
          <w:szCs w:val="24"/>
          <w:lang w:val="en-GB"/>
        </w:rPr>
        <w:t xml:space="preserve"> the implementation delay includes consequences of problems with public assistance. Within the reporting period, there is a considerable increase in implementation of this priority on each level. </w:t>
      </w:r>
    </w:p>
    <w:p w:rsidR="000F2170" w:rsidRPr="00E9099D" w:rsidRDefault="000F2170" w:rsidP="000F2170">
      <w:pPr>
        <w:pStyle w:val="Akapitzlist"/>
        <w:widowControl w:val="0"/>
        <w:autoSpaceDE w:val="0"/>
        <w:autoSpaceDN w:val="0"/>
        <w:adjustRightInd w:val="0"/>
        <w:spacing w:after="0"/>
        <w:ind w:left="0"/>
        <w:jc w:val="both"/>
        <w:rPr>
          <w:szCs w:val="24"/>
          <w:lang w:val="en-GB"/>
        </w:rPr>
      </w:pPr>
      <w:r w:rsidRPr="00E9099D">
        <w:rPr>
          <w:szCs w:val="24"/>
          <w:lang w:val="en-GB"/>
        </w:rPr>
        <w:t xml:space="preserve">Under the Priority </w:t>
      </w:r>
      <w:r w:rsidRPr="00C00ABF">
        <w:rPr>
          <w:i/>
          <w:szCs w:val="24"/>
          <w:lang w:val="en-GB"/>
        </w:rPr>
        <w:t>VI</w:t>
      </w:r>
      <w:r w:rsidRPr="00E9099D">
        <w:rPr>
          <w:szCs w:val="24"/>
          <w:lang w:val="en-GB"/>
        </w:rPr>
        <w:t xml:space="preserve"> </w:t>
      </w:r>
      <w:r w:rsidRPr="00E9099D">
        <w:rPr>
          <w:i/>
          <w:iCs/>
          <w:szCs w:val="24"/>
          <w:lang w:val="en-GB"/>
        </w:rPr>
        <w:t>Sustainable Urban Development</w:t>
      </w:r>
      <w:r w:rsidRPr="00E9099D">
        <w:rPr>
          <w:szCs w:val="24"/>
          <w:lang w:val="en-GB"/>
        </w:rPr>
        <w:t xml:space="preserve">, the percentage of the allocation based on the use of signed contracts is greater than the level of selected applications for funding in relation to the implementation of the JESSICA Facility, which is the result of culture differences as well as varied specificity of financial engineering instrument implementation. </w:t>
      </w:r>
    </w:p>
    <w:p w:rsidR="000F2170" w:rsidRPr="00E9099D" w:rsidRDefault="000F2170" w:rsidP="000F2170">
      <w:pPr>
        <w:pStyle w:val="Akapitzlist"/>
        <w:widowControl w:val="0"/>
        <w:autoSpaceDE w:val="0"/>
        <w:autoSpaceDN w:val="0"/>
        <w:adjustRightInd w:val="0"/>
        <w:spacing w:after="0"/>
        <w:ind w:left="0"/>
        <w:jc w:val="both"/>
        <w:rPr>
          <w:szCs w:val="24"/>
          <w:lang w:val="en-GB"/>
        </w:rPr>
      </w:pPr>
    </w:p>
    <w:p w:rsidR="000F2170" w:rsidRDefault="000F2170" w:rsidP="000F2170">
      <w:pPr>
        <w:pStyle w:val="Akapitzlist"/>
        <w:widowControl w:val="0"/>
        <w:autoSpaceDE w:val="0"/>
        <w:autoSpaceDN w:val="0"/>
        <w:adjustRightInd w:val="0"/>
        <w:spacing w:after="0"/>
        <w:ind w:left="0"/>
        <w:jc w:val="both"/>
        <w:rPr>
          <w:szCs w:val="24"/>
          <w:lang w:val="en-GB"/>
        </w:rPr>
      </w:pPr>
      <w:r w:rsidRPr="00E9099D">
        <w:rPr>
          <w:szCs w:val="24"/>
          <w:lang w:val="en-GB"/>
        </w:rPr>
        <w:t xml:space="preserve">The following Figure presents the progress of implementing the ROP SV divided into priorities and quarters. The detailed information concerning the implementation level of particular priorities was presented in item 3 of the following </w:t>
      </w:r>
      <w:r w:rsidRPr="00E9099D">
        <w:rPr>
          <w:i/>
          <w:szCs w:val="24"/>
          <w:lang w:val="en-GB"/>
        </w:rPr>
        <w:t>Report</w:t>
      </w:r>
      <w:r w:rsidRPr="00E9099D">
        <w:rPr>
          <w:szCs w:val="24"/>
          <w:lang w:val="en-GB"/>
        </w:rPr>
        <w:t>.</w:t>
      </w:r>
    </w:p>
    <w:p w:rsidR="000F2170" w:rsidRDefault="000F2170" w:rsidP="000F2170">
      <w:pPr>
        <w:pStyle w:val="Akapitzlist"/>
        <w:widowControl w:val="0"/>
        <w:autoSpaceDE w:val="0"/>
        <w:autoSpaceDN w:val="0"/>
        <w:adjustRightInd w:val="0"/>
        <w:spacing w:after="0"/>
        <w:ind w:left="0"/>
        <w:jc w:val="both"/>
        <w:rPr>
          <w:szCs w:val="24"/>
          <w:lang w:val="en-GB"/>
        </w:rPr>
      </w:pPr>
    </w:p>
    <w:p w:rsidR="000F2170" w:rsidRPr="00E9099D" w:rsidRDefault="000F2170" w:rsidP="000F2170">
      <w:pPr>
        <w:pStyle w:val="Akapitzlist"/>
        <w:widowControl w:val="0"/>
        <w:autoSpaceDE w:val="0"/>
        <w:autoSpaceDN w:val="0"/>
        <w:adjustRightInd w:val="0"/>
        <w:spacing w:after="0"/>
        <w:ind w:left="0"/>
        <w:jc w:val="both"/>
        <w:rPr>
          <w:szCs w:val="24"/>
          <w:lang w:val="en-GB"/>
        </w:rPr>
      </w:pPr>
      <w:r w:rsidRPr="0082444A">
        <w:rPr>
          <w:noProof/>
          <w:szCs w:val="24"/>
        </w:rPr>
        <w:drawing>
          <wp:inline distT="0" distB="0" distL="0" distR="0">
            <wp:extent cx="6019800" cy="5295900"/>
            <wp:effectExtent l="38100" t="19050" r="19050" b="0"/>
            <wp:docPr id="23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0F2170" w:rsidRPr="00E9099D" w:rsidRDefault="000F2170" w:rsidP="000F2170">
      <w:pPr>
        <w:pStyle w:val="Legenda"/>
        <w:jc w:val="both"/>
        <w:rPr>
          <w:b w:val="0"/>
          <w:i/>
          <w:color w:val="auto"/>
          <w:sz w:val="20"/>
          <w:szCs w:val="20"/>
          <w:lang w:val="en-GB"/>
        </w:rPr>
      </w:pPr>
      <w:bookmarkStart w:id="748" w:name="_Toc324855831"/>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60</w:t>
      </w:r>
      <w:r w:rsidR="008F7228" w:rsidRPr="00E9099D">
        <w:rPr>
          <w:color w:val="000000" w:themeColor="text1"/>
          <w:sz w:val="20"/>
          <w:szCs w:val="20"/>
          <w:lang w:val="en-GB"/>
        </w:rPr>
        <w:fldChar w:fldCharType="end"/>
      </w:r>
      <w:r w:rsidRPr="00E9099D">
        <w:rPr>
          <w:lang w:val="en-GB"/>
        </w:rPr>
        <w:t xml:space="preserve"> </w:t>
      </w:r>
      <w:r w:rsidRPr="00E9099D">
        <w:rPr>
          <w:b w:val="0"/>
          <w:i/>
          <w:color w:val="auto"/>
          <w:sz w:val="20"/>
          <w:szCs w:val="20"/>
          <w:lang w:val="en-GB"/>
        </w:rPr>
        <w:t xml:space="preserve">The implementation progress of the ROP SV </w:t>
      </w:r>
      <w:bookmarkEnd w:id="748"/>
      <w:r w:rsidRPr="00E9099D">
        <w:rPr>
          <w:b w:val="0"/>
          <w:i/>
          <w:color w:val="auto"/>
          <w:sz w:val="20"/>
          <w:szCs w:val="20"/>
          <w:lang w:val="en-GB"/>
        </w:rPr>
        <w:t>divided into priority axis</w:t>
      </w:r>
    </w:p>
    <w:p w:rsidR="000F2170" w:rsidRPr="00E9099D" w:rsidRDefault="000F2170" w:rsidP="000F2170">
      <w:pPr>
        <w:spacing w:after="120"/>
        <w:rPr>
          <w:szCs w:val="24"/>
          <w:lang w:val="en-GB"/>
        </w:rPr>
      </w:pPr>
      <w:r w:rsidRPr="00C25DB0">
        <w:rPr>
          <w:noProof/>
          <w:szCs w:val="24"/>
        </w:rPr>
        <w:drawing>
          <wp:inline distT="0" distB="0" distL="0" distR="0">
            <wp:extent cx="5962650" cy="4362450"/>
            <wp:effectExtent l="38100" t="19050" r="19050" b="0"/>
            <wp:docPr id="23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0F2170" w:rsidRPr="00E9099D" w:rsidRDefault="000F2170" w:rsidP="000F2170">
      <w:pPr>
        <w:pStyle w:val="Legenda"/>
        <w:rPr>
          <w:b w:val="0"/>
          <w:i/>
          <w:color w:val="auto"/>
          <w:sz w:val="20"/>
          <w:szCs w:val="20"/>
          <w:lang w:val="en-GB"/>
        </w:rPr>
      </w:pPr>
      <w:bookmarkStart w:id="749" w:name="_Toc324855832"/>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61</w:t>
      </w:r>
      <w:r w:rsidR="008F7228" w:rsidRPr="00E9099D">
        <w:rPr>
          <w:color w:val="000000" w:themeColor="text1"/>
          <w:sz w:val="20"/>
          <w:szCs w:val="20"/>
          <w:lang w:val="en-GB"/>
        </w:rPr>
        <w:fldChar w:fldCharType="end"/>
      </w:r>
      <w:r w:rsidRPr="00E9099D">
        <w:rPr>
          <w:lang w:val="en-GB"/>
        </w:rPr>
        <w:t xml:space="preserve"> </w:t>
      </w:r>
      <w:r w:rsidRPr="00E9099D">
        <w:rPr>
          <w:b w:val="0"/>
          <w:i/>
          <w:color w:val="auto"/>
          <w:sz w:val="20"/>
          <w:szCs w:val="20"/>
          <w:lang w:val="en-GB"/>
        </w:rPr>
        <w:t>The implementation progress of the ROP SV divided into quarters</w:t>
      </w:r>
      <w:bookmarkEnd w:id="749"/>
    </w:p>
    <w:p w:rsidR="000F2170" w:rsidRPr="00E9099D" w:rsidRDefault="000F2170" w:rsidP="000F2170">
      <w:pPr>
        <w:tabs>
          <w:tab w:val="left" w:pos="1605"/>
        </w:tabs>
        <w:rPr>
          <w:szCs w:val="24"/>
          <w:lang w:val="en-GB"/>
        </w:rPr>
      </w:pPr>
    </w:p>
    <w:p w:rsidR="000F2170" w:rsidRPr="00E9099D" w:rsidRDefault="000F2170" w:rsidP="000F2170">
      <w:pPr>
        <w:jc w:val="both"/>
        <w:rPr>
          <w:szCs w:val="24"/>
          <w:lang w:val="en-GB"/>
        </w:rPr>
      </w:pPr>
      <w:r w:rsidRPr="00E9099D">
        <w:rPr>
          <w:szCs w:val="24"/>
          <w:lang w:val="en-GB"/>
        </w:rPr>
        <w:t>Below</w:t>
      </w:r>
      <w:r>
        <w:rPr>
          <w:szCs w:val="24"/>
          <w:lang w:val="en-GB"/>
        </w:rPr>
        <w:t>,</w:t>
      </w:r>
      <w:r w:rsidRPr="00E9099D">
        <w:rPr>
          <w:szCs w:val="24"/>
          <w:lang w:val="en-GB"/>
        </w:rPr>
        <w:t xml:space="preserve"> the level of use of allocations on different stages of project implementation. At the end of 2011</w:t>
      </w:r>
      <w:r>
        <w:rPr>
          <w:szCs w:val="24"/>
          <w:lang w:val="en-GB"/>
        </w:rPr>
        <w:t>,</w:t>
      </w:r>
      <w:r w:rsidRPr="00E9099D">
        <w:rPr>
          <w:szCs w:val="24"/>
          <w:lang w:val="en-GB"/>
        </w:rPr>
        <w:t xml:space="preserve"> most finished projects were implemented within the priority </w:t>
      </w:r>
      <w:r w:rsidRPr="00E9099D">
        <w:rPr>
          <w:i/>
          <w:szCs w:val="24"/>
          <w:lang w:val="en-GB"/>
        </w:rPr>
        <w:t xml:space="preserve">IV Culture </w:t>
      </w:r>
      <w:r w:rsidRPr="00E9099D">
        <w:rPr>
          <w:szCs w:val="24"/>
          <w:lang w:val="en-GB"/>
        </w:rPr>
        <w:t xml:space="preserve">(18.7%) and the lowest amount of projects within the priority </w:t>
      </w:r>
      <w:r w:rsidRPr="00E9099D">
        <w:rPr>
          <w:i/>
          <w:szCs w:val="24"/>
          <w:lang w:val="en-GB"/>
        </w:rPr>
        <w:t xml:space="preserve">VI Sustainable Urban Development </w:t>
      </w:r>
      <w:r w:rsidRPr="00E9099D">
        <w:rPr>
          <w:szCs w:val="24"/>
          <w:lang w:val="en-GB"/>
        </w:rPr>
        <w:t xml:space="preserve">(0.54%). The reason for the small amount of finished projects within this priority was the delay in approval of </w:t>
      </w:r>
      <w:r w:rsidRPr="00E9099D">
        <w:rPr>
          <w:i/>
          <w:szCs w:val="24"/>
          <w:lang w:val="en-GB"/>
        </w:rPr>
        <w:t>the Directive</w:t>
      </w:r>
      <w:r w:rsidRPr="00E9099D">
        <w:rPr>
          <w:szCs w:val="24"/>
          <w:lang w:val="en-GB"/>
        </w:rPr>
        <w:t xml:space="preserve">, which caused announcing the first call not until 2010. Besides, the implemented projects are time-consuming and measurable effects need time to be noticed. The calls within the priority IV were announced as one of the first at the beginning of 2008, thus the advanced measurable progress could be observed.     </w:t>
      </w:r>
    </w:p>
    <w:p w:rsidR="000F2170" w:rsidRPr="00E9099D" w:rsidRDefault="000F2170" w:rsidP="000F2170">
      <w:pPr>
        <w:spacing w:after="120"/>
        <w:rPr>
          <w:b/>
          <w:i/>
          <w:szCs w:val="24"/>
          <w:u w:val="single"/>
          <w:lang w:val="en-GB"/>
        </w:rPr>
      </w:pPr>
      <w:r w:rsidRPr="000F40CE">
        <w:rPr>
          <w:b/>
          <w:i/>
          <w:noProof/>
          <w:szCs w:val="24"/>
          <w:u w:val="single"/>
        </w:rPr>
        <w:drawing>
          <wp:inline distT="0" distB="0" distL="0" distR="0">
            <wp:extent cx="5760720" cy="4808970"/>
            <wp:effectExtent l="38100" t="19050" r="11430" b="0"/>
            <wp:docPr id="25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0F2170" w:rsidRPr="00E9099D" w:rsidRDefault="000F2170" w:rsidP="000F2170">
      <w:pPr>
        <w:pStyle w:val="Legenda"/>
        <w:rPr>
          <w:b w:val="0"/>
          <w:i/>
          <w:color w:val="auto"/>
          <w:sz w:val="20"/>
          <w:szCs w:val="20"/>
          <w:lang w:val="en-GB"/>
        </w:rPr>
      </w:pPr>
      <w:bookmarkStart w:id="750" w:name="_Toc324855833"/>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62</w:t>
      </w:r>
      <w:r w:rsidR="008F7228" w:rsidRPr="00E9099D">
        <w:rPr>
          <w:color w:val="000000" w:themeColor="text1"/>
          <w:sz w:val="20"/>
          <w:szCs w:val="20"/>
          <w:lang w:val="en-GB"/>
        </w:rPr>
        <w:fldChar w:fldCharType="end"/>
      </w:r>
      <w:r w:rsidRPr="00E9099D">
        <w:rPr>
          <w:lang w:val="en-GB"/>
        </w:rPr>
        <w:t xml:space="preserve"> </w:t>
      </w:r>
      <w:r w:rsidRPr="00E9099D">
        <w:rPr>
          <w:b w:val="0"/>
          <w:i/>
          <w:color w:val="auto"/>
          <w:sz w:val="20"/>
          <w:szCs w:val="20"/>
          <w:lang w:val="en-GB"/>
        </w:rPr>
        <w:t>The implementation Progress of the ROP SV</w:t>
      </w:r>
      <w:r w:rsidRPr="00E9099D">
        <w:rPr>
          <w:color w:val="auto"/>
          <w:sz w:val="20"/>
          <w:szCs w:val="20"/>
          <w:lang w:val="en-GB"/>
        </w:rPr>
        <w:t xml:space="preserve"> </w:t>
      </w:r>
      <w:r w:rsidRPr="00E9099D">
        <w:rPr>
          <w:b w:val="0"/>
          <w:i/>
          <w:color w:val="auto"/>
          <w:sz w:val="20"/>
          <w:szCs w:val="20"/>
          <w:lang w:val="en-GB"/>
        </w:rPr>
        <w:t>divided into projects of different development stages</w:t>
      </w:r>
      <w:bookmarkEnd w:id="750"/>
    </w:p>
    <w:p w:rsidR="000F2170" w:rsidRPr="00E9099D" w:rsidRDefault="000F2170" w:rsidP="000F2170">
      <w:pPr>
        <w:rPr>
          <w:szCs w:val="24"/>
          <w:lang w:val="en-GB"/>
        </w:rPr>
      </w:pPr>
    </w:p>
    <w:p w:rsidR="000F2170" w:rsidRPr="00E9099D" w:rsidRDefault="000F2170" w:rsidP="000F2170">
      <w:pPr>
        <w:jc w:val="both"/>
        <w:rPr>
          <w:szCs w:val="24"/>
          <w:lang w:val="en-GB"/>
        </w:rPr>
      </w:pPr>
      <w:r w:rsidRPr="00E9099D">
        <w:rPr>
          <w:szCs w:val="24"/>
          <w:lang w:val="en-GB"/>
        </w:rPr>
        <w:t>The chart below shows the implementation progress of the ROP SV divided into years. The turn of 2007/2008 was the period of institutional preparation of the Silesia Voivodeship for the implementation of the ROP SV as well as creating procedures and documents required to serve beneficiaries in a proper way. The third year of the ROP S</w:t>
      </w:r>
      <w:r>
        <w:rPr>
          <w:szCs w:val="24"/>
          <w:lang w:val="en-GB"/>
        </w:rPr>
        <w:t>V implementation was characteris</w:t>
      </w:r>
      <w:r w:rsidRPr="00E9099D">
        <w:rPr>
          <w:szCs w:val="24"/>
          <w:lang w:val="en-GB"/>
        </w:rPr>
        <w:t>ed by the high dynamics within submitting applications for EU grants by beneficiaries. It is mainly the result of the fact that in 2009 most calls within the ROP SV were announced (about 24 calls).  In 2010</w:t>
      </w:r>
      <w:r>
        <w:rPr>
          <w:szCs w:val="24"/>
          <w:lang w:val="en-GB"/>
        </w:rPr>
        <w:t>,</w:t>
      </w:r>
      <w:r w:rsidRPr="00E9099D">
        <w:rPr>
          <w:szCs w:val="24"/>
          <w:lang w:val="en-GB"/>
        </w:rPr>
        <w:t xml:space="preserve"> there was a significant growth in the contract award procedure and the level of payments was still low. The level of payments in 2010 and 2011 was remaining similar. However, in relation to the fact that the perspective 2007-2013 is coming slowly to the end in subsequent years, this ratio is going to be the highest. The character of projects implemented within the ROP SV should be also mentioned here – the infrastructure projects are more time-consuming and thus</w:t>
      </w:r>
      <w:r>
        <w:rPr>
          <w:szCs w:val="24"/>
          <w:lang w:val="en-GB"/>
        </w:rPr>
        <w:t>,</w:t>
      </w:r>
      <w:r w:rsidRPr="00E9099D">
        <w:rPr>
          <w:szCs w:val="24"/>
          <w:lang w:val="en-GB"/>
        </w:rPr>
        <w:t xml:space="preserve"> measurable effects need time to be noticed.</w:t>
      </w:r>
    </w:p>
    <w:p w:rsidR="000F2170" w:rsidRPr="00E9099D" w:rsidRDefault="000F2170" w:rsidP="000F2170">
      <w:pPr>
        <w:rPr>
          <w:szCs w:val="24"/>
          <w:lang w:val="en-GB"/>
        </w:rPr>
      </w:pPr>
    </w:p>
    <w:p w:rsidR="000F2170" w:rsidRPr="00E9099D" w:rsidRDefault="000F2170" w:rsidP="000F2170">
      <w:pPr>
        <w:spacing w:after="120"/>
        <w:rPr>
          <w:szCs w:val="24"/>
          <w:lang w:val="en-GB"/>
        </w:rPr>
      </w:pPr>
      <w:r w:rsidRPr="000F40CE">
        <w:rPr>
          <w:noProof/>
          <w:szCs w:val="24"/>
        </w:rPr>
        <w:drawing>
          <wp:inline distT="0" distB="0" distL="0" distR="0">
            <wp:extent cx="6086475" cy="3505200"/>
            <wp:effectExtent l="38100" t="19050" r="9525" b="0"/>
            <wp:docPr id="253"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0F2170" w:rsidRPr="00E9099D" w:rsidRDefault="000F2170" w:rsidP="000F2170">
      <w:pPr>
        <w:pStyle w:val="Legenda"/>
        <w:rPr>
          <w:b w:val="0"/>
          <w:i/>
          <w:color w:val="auto"/>
          <w:sz w:val="20"/>
          <w:szCs w:val="20"/>
          <w:lang w:val="en-GB"/>
        </w:rPr>
      </w:pPr>
      <w:bookmarkStart w:id="751" w:name="_Toc324855834"/>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63</w:t>
      </w:r>
      <w:r w:rsidR="008F7228" w:rsidRPr="00E9099D">
        <w:rPr>
          <w:color w:val="000000" w:themeColor="text1"/>
          <w:sz w:val="20"/>
          <w:szCs w:val="20"/>
          <w:lang w:val="en-GB"/>
        </w:rPr>
        <w:fldChar w:fldCharType="end"/>
      </w:r>
      <w:r w:rsidRPr="00E9099D">
        <w:rPr>
          <w:lang w:val="en-GB"/>
        </w:rPr>
        <w:t xml:space="preserve"> </w:t>
      </w:r>
      <w:r w:rsidRPr="00E9099D">
        <w:rPr>
          <w:b w:val="0"/>
          <w:i/>
          <w:color w:val="auto"/>
          <w:sz w:val="20"/>
          <w:szCs w:val="20"/>
          <w:lang w:val="en-GB"/>
        </w:rPr>
        <w:t>The ROP SV implementation divided into years</w:t>
      </w:r>
      <w:bookmarkEnd w:id="751"/>
    </w:p>
    <w:p w:rsidR="000F2170" w:rsidRPr="00E9099D" w:rsidRDefault="000F2170" w:rsidP="000F2170">
      <w:pPr>
        <w:rPr>
          <w:szCs w:val="24"/>
          <w:lang w:val="en-GB"/>
        </w:rPr>
      </w:pPr>
    </w:p>
    <w:p w:rsidR="000F2170" w:rsidRPr="00E9099D" w:rsidRDefault="000F2170" w:rsidP="000F2170">
      <w:pPr>
        <w:jc w:val="both"/>
        <w:rPr>
          <w:szCs w:val="24"/>
          <w:lang w:val="en-GB"/>
        </w:rPr>
      </w:pPr>
      <w:r w:rsidRPr="00E9099D">
        <w:rPr>
          <w:szCs w:val="24"/>
          <w:lang w:val="en-GB"/>
        </w:rPr>
        <w:t xml:space="preserve">The chart below shows the implementation progress (contract award procedure and payments) of the ROP SV divided into project selection paths.  </w:t>
      </w:r>
    </w:p>
    <w:p w:rsidR="000F2170" w:rsidRPr="00E9099D" w:rsidRDefault="000F2170" w:rsidP="000F2170">
      <w:pPr>
        <w:jc w:val="both"/>
        <w:rPr>
          <w:szCs w:val="24"/>
          <w:lang w:val="en-GB"/>
        </w:rPr>
      </w:pPr>
      <w:r w:rsidRPr="00E9099D">
        <w:rPr>
          <w:szCs w:val="24"/>
          <w:lang w:val="en-GB"/>
        </w:rPr>
        <w:t xml:space="preserve">EUR 60 m was allocated for the implementation of the JESSICA Initiative in the Silesia Voivodeship – EUR 51 m from </w:t>
      </w:r>
      <w:r w:rsidRPr="00E9099D">
        <w:rPr>
          <w:i/>
          <w:szCs w:val="24"/>
          <w:lang w:val="en-GB"/>
        </w:rPr>
        <w:t xml:space="preserve">Measure 6.2.Regeneration of Degraded Areas ROP SV </w:t>
      </w:r>
      <w:r w:rsidRPr="00E9099D">
        <w:rPr>
          <w:szCs w:val="24"/>
          <w:lang w:val="en-GB"/>
        </w:rPr>
        <w:t>and EUR 9 m from the budget. During the reporting period according to the rate EUR 1 = PLN 4.5270</w:t>
      </w:r>
      <w:r>
        <w:rPr>
          <w:szCs w:val="24"/>
          <w:lang w:val="en-GB"/>
        </w:rPr>
        <w:t>,</w:t>
      </w:r>
      <w:r w:rsidRPr="00E9099D">
        <w:rPr>
          <w:szCs w:val="24"/>
          <w:lang w:val="en-GB"/>
        </w:rPr>
        <w:t xml:space="preserve"> the sum allocated for the JESSICA Initiative amounts to EUR 55.14 m (PLN 249.62 m), thus on the chart below the amount of subsidy for JESSICA differs from the amount determined in the </w:t>
      </w:r>
      <w:r w:rsidRPr="00E9099D">
        <w:rPr>
          <w:i/>
          <w:szCs w:val="24"/>
          <w:lang w:val="en-GB"/>
        </w:rPr>
        <w:t>Agreement for financing between EIB and the Silesia Voivodeship</w:t>
      </w:r>
      <w:r w:rsidRPr="00E9099D">
        <w:rPr>
          <w:szCs w:val="24"/>
          <w:lang w:val="en-GB"/>
        </w:rPr>
        <w:t xml:space="preserve">. </w:t>
      </w:r>
    </w:p>
    <w:p w:rsidR="000F2170" w:rsidRPr="00E9099D" w:rsidRDefault="000F2170" w:rsidP="000F2170">
      <w:pPr>
        <w:rPr>
          <w:szCs w:val="24"/>
          <w:lang w:val="en-GB"/>
        </w:rPr>
      </w:pPr>
    </w:p>
    <w:p w:rsidR="000F2170" w:rsidRPr="00E9099D" w:rsidRDefault="000F2170" w:rsidP="000F2170">
      <w:pPr>
        <w:rPr>
          <w:szCs w:val="24"/>
          <w:lang w:val="en-GB"/>
        </w:rPr>
        <w:sectPr w:rsidR="000F2170" w:rsidRPr="00E9099D" w:rsidSect="000F2170">
          <w:footerReference w:type="default" r:id="rId162"/>
          <w:footerReference w:type="first" r:id="rId163"/>
          <w:endnotePr>
            <w:numFmt w:val="decimal"/>
          </w:endnotePr>
          <w:type w:val="continuous"/>
          <w:pgSz w:w="11906" w:h="16838" w:code="9"/>
          <w:pgMar w:top="1134" w:right="1417" w:bottom="1417" w:left="1417" w:header="0" w:footer="726" w:gutter="0"/>
          <w:cols w:space="708"/>
          <w:noEndnote/>
          <w:docGrid w:linePitch="326"/>
        </w:sectPr>
      </w:pPr>
    </w:p>
    <w:p w:rsidR="000F2170" w:rsidRPr="00E9099D" w:rsidRDefault="000F2170" w:rsidP="000F2170">
      <w:pPr>
        <w:keepNext/>
        <w:tabs>
          <w:tab w:val="left" w:pos="1843"/>
        </w:tabs>
        <w:rPr>
          <w:szCs w:val="24"/>
          <w:lang w:val="en-GB"/>
        </w:rPr>
      </w:pPr>
      <w:r w:rsidRPr="00E9099D">
        <w:rPr>
          <w:b/>
          <w:i/>
          <w:noProof/>
          <w:szCs w:val="24"/>
          <w:u w:val="single"/>
        </w:rPr>
        <w:drawing>
          <wp:inline distT="0" distB="0" distL="0" distR="0">
            <wp:extent cx="9115883" cy="5284381"/>
            <wp:effectExtent l="57150" t="0" r="85725" b="0"/>
            <wp:docPr id="255"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0F2170" w:rsidRPr="00E9099D" w:rsidRDefault="000F2170" w:rsidP="000F2170">
      <w:pPr>
        <w:pStyle w:val="Legenda"/>
        <w:rPr>
          <w:b w:val="0"/>
          <w:color w:val="auto"/>
          <w:sz w:val="20"/>
          <w:szCs w:val="20"/>
          <w:lang w:val="en-GB"/>
        </w:rPr>
      </w:pPr>
      <w:bookmarkStart w:id="752" w:name="_Toc324855835"/>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64</w:t>
      </w:r>
      <w:r w:rsidR="008F7228" w:rsidRPr="00E9099D">
        <w:rPr>
          <w:color w:val="000000" w:themeColor="text1"/>
          <w:sz w:val="20"/>
          <w:szCs w:val="20"/>
          <w:lang w:val="en-GB"/>
        </w:rPr>
        <w:fldChar w:fldCharType="end"/>
      </w:r>
      <w:r w:rsidRPr="00E9099D">
        <w:rPr>
          <w:lang w:val="en-GB"/>
        </w:rPr>
        <w:t xml:space="preserve"> </w:t>
      </w:r>
      <w:r w:rsidRPr="00E9099D">
        <w:rPr>
          <w:b w:val="0"/>
          <w:i/>
          <w:color w:val="auto"/>
          <w:sz w:val="20"/>
          <w:szCs w:val="20"/>
          <w:lang w:val="en-GB"/>
        </w:rPr>
        <w:t>The implementation progress of the ROP SV divided into project selection paths</w:t>
      </w:r>
      <w:bookmarkEnd w:id="752"/>
    </w:p>
    <w:p w:rsidR="000F2170" w:rsidRPr="00E9099D" w:rsidRDefault="000F2170" w:rsidP="000F2170">
      <w:pPr>
        <w:pStyle w:val="Tekstpodstawowywcity"/>
        <w:spacing w:after="0"/>
        <w:ind w:left="0"/>
        <w:jc w:val="both"/>
        <w:rPr>
          <w:b/>
          <w:i/>
          <w:szCs w:val="24"/>
          <w:u w:val="single"/>
          <w:lang w:val="en-GB"/>
        </w:rPr>
        <w:sectPr w:rsidR="000F2170" w:rsidRPr="00E9099D" w:rsidSect="000F2170">
          <w:endnotePr>
            <w:numFmt w:val="decimal"/>
          </w:endnotePr>
          <w:pgSz w:w="16838" w:h="11906" w:orient="landscape" w:code="9"/>
          <w:pgMar w:top="1134" w:right="1134" w:bottom="1418" w:left="1418" w:header="0" w:footer="726" w:gutter="0"/>
          <w:cols w:space="708"/>
          <w:noEndnote/>
          <w:titlePg/>
          <w:docGrid w:linePitch="326"/>
        </w:sectPr>
      </w:pPr>
    </w:p>
    <w:p w:rsidR="000F2170" w:rsidRPr="00E9099D" w:rsidRDefault="000F2170" w:rsidP="000F2170">
      <w:pPr>
        <w:pStyle w:val="Tekstpodstawowywcity"/>
        <w:ind w:left="0"/>
        <w:jc w:val="both"/>
        <w:rPr>
          <w:b/>
          <w:i/>
          <w:szCs w:val="24"/>
          <w:lang w:val="en-GB"/>
        </w:rPr>
      </w:pPr>
      <w:r w:rsidRPr="00E9099D">
        <w:rPr>
          <w:b/>
          <w:i/>
          <w:szCs w:val="24"/>
          <w:lang w:val="en-GB"/>
        </w:rPr>
        <w:t>Non-competition project selection procedure</w:t>
      </w:r>
    </w:p>
    <w:p w:rsidR="000F2170" w:rsidRPr="00DA56FE" w:rsidRDefault="000F2170" w:rsidP="00DA56FE">
      <w:pPr>
        <w:autoSpaceDE w:val="0"/>
        <w:autoSpaceDN w:val="0"/>
        <w:adjustRightInd w:val="0"/>
        <w:jc w:val="both"/>
        <w:rPr>
          <w:color w:val="000000"/>
          <w:szCs w:val="24"/>
          <w:lang w:val="en-GB"/>
        </w:rPr>
      </w:pPr>
      <w:r w:rsidRPr="00E9099D">
        <w:rPr>
          <w:color w:val="000000"/>
          <w:szCs w:val="24"/>
          <w:lang w:val="en-GB"/>
        </w:rPr>
        <w:t>There are two non-competition project selection procedures within the ROP SV: SDP and ILIKP. In 2010</w:t>
      </w:r>
      <w:r>
        <w:rPr>
          <w:color w:val="000000"/>
          <w:szCs w:val="24"/>
          <w:lang w:val="en-GB"/>
        </w:rPr>
        <w:t>,</w:t>
      </w:r>
      <w:r w:rsidRPr="00E9099D">
        <w:rPr>
          <w:color w:val="000000"/>
          <w:szCs w:val="24"/>
          <w:lang w:val="en-GB"/>
        </w:rPr>
        <w:t xml:space="preserve"> MA of the ROP SV conducted an evaluation research titled </w:t>
      </w:r>
      <w:r w:rsidRPr="00E9099D">
        <w:rPr>
          <w:i/>
          <w:color w:val="000000"/>
          <w:szCs w:val="24"/>
          <w:lang w:val="en-GB"/>
        </w:rPr>
        <w:t>Non-competition project selection procedures within the Regional Operational Programme of the Silesia Voivodeship for the years 2007-201</w:t>
      </w:r>
      <w:r>
        <w:rPr>
          <w:i/>
          <w:color w:val="000000"/>
          <w:szCs w:val="24"/>
          <w:lang w:val="en-GB"/>
        </w:rPr>
        <w:t>3</w:t>
      </w:r>
      <w:r w:rsidRPr="00E9099D">
        <w:rPr>
          <w:i/>
          <w:color w:val="000000"/>
          <w:szCs w:val="24"/>
          <w:lang w:val="en-GB"/>
        </w:rPr>
        <w:t xml:space="preserve">: Indicative List of Key Projects and Subregions Development Programmes. </w:t>
      </w:r>
      <w:r w:rsidRPr="00E9099D">
        <w:rPr>
          <w:color w:val="000000"/>
          <w:szCs w:val="24"/>
          <w:lang w:val="en-GB"/>
        </w:rPr>
        <w:t xml:space="preserve">The research resulted in recommendations relating to a significant extent to future programming period (years 2014-2020). The study proved that a non-competition procedure shall be continued for selection of some projects because thanks to implementation of non-competition projects, it is possible to allocate EU funds on undertakings strategic both for the whole region as well as particular subregions. The implemented projects correspond better to the needs of residents. Besides, the popularization of the model used in the Western Subregion was recommended. The role of the Subregion Leader is accomplished there by the Western Subregion Association established by the local government. This solution ensures higher objectivity and operational effectiveness of the Subregion Leader in terms of coordination of SDP implementation as well as representing beneficiaries towards MA.        </w:t>
      </w:r>
      <w:r w:rsidRPr="00E9099D">
        <w:rPr>
          <w:i/>
          <w:color w:val="000000"/>
          <w:szCs w:val="24"/>
          <w:lang w:val="en-GB"/>
        </w:rPr>
        <w:t xml:space="preserve"> </w:t>
      </w:r>
      <w:r w:rsidRPr="00E9099D">
        <w:rPr>
          <w:color w:val="000000"/>
          <w:szCs w:val="24"/>
          <w:lang w:val="en-GB"/>
        </w:rPr>
        <w:t xml:space="preserve"> </w:t>
      </w:r>
    </w:p>
    <w:p w:rsidR="000F2170" w:rsidRPr="00E9099D" w:rsidRDefault="000F2170" w:rsidP="000F2170">
      <w:pPr>
        <w:pStyle w:val="Tekstpodstawowywcity"/>
        <w:ind w:left="0"/>
        <w:jc w:val="both"/>
        <w:rPr>
          <w:b/>
          <w:i/>
          <w:szCs w:val="24"/>
          <w:lang w:val="en-GB"/>
        </w:rPr>
      </w:pPr>
      <w:r w:rsidRPr="005D6B25">
        <w:rPr>
          <w:b/>
          <w:i/>
          <w:szCs w:val="24"/>
          <w:lang w:val="en-GB"/>
        </w:rPr>
        <w:t>Key projects</w:t>
      </w:r>
      <w:r w:rsidRPr="00E9099D">
        <w:rPr>
          <w:b/>
          <w:i/>
          <w:szCs w:val="24"/>
          <w:lang w:val="en-GB"/>
        </w:rPr>
        <w:t xml:space="preserve"> </w:t>
      </w:r>
    </w:p>
    <w:p w:rsidR="000F2170" w:rsidRPr="00E9099D" w:rsidRDefault="000F2170" w:rsidP="000F2170">
      <w:pPr>
        <w:pStyle w:val="Tekstpodstawowy2"/>
        <w:tabs>
          <w:tab w:val="left" w:pos="284"/>
        </w:tabs>
        <w:spacing w:line="276" w:lineRule="auto"/>
        <w:jc w:val="both"/>
        <w:rPr>
          <w:noProof w:val="0"/>
          <w:szCs w:val="24"/>
          <w:lang w:val="en-GB"/>
        </w:rPr>
      </w:pPr>
      <w:r w:rsidRPr="00E9099D">
        <w:rPr>
          <w:noProof w:val="0"/>
          <w:szCs w:val="24"/>
          <w:lang w:val="en-GB"/>
        </w:rPr>
        <w:t>The most important undertakings of fundamental significance for the development of the regions are implemented within the non-competition procedure. These are specific projects of the greatest influence on functioning local communities. They are selected as a result of extensive consultation. Such investments, the most important ones from the perspective of the voivodeship interests, create the network of connections with other strategic undertakings in the country. They concern mainly development of such fields as infrastructure, especially a transport one. For instance</w:t>
      </w:r>
      <w:r>
        <w:rPr>
          <w:noProof w:val="0"/>
          <w:szCs w:val="24"/>
          <w:lang w:val="en-GB"/>
        </w:rPr>
        <w:t>,</w:t>
      </w:r>
      <w:r w:rsidRPr="00E9099D">
        <w:rPr>
          <w:noProof w:val="0"/>
          <w:szCs w:val="24"/>
          <w:lang w:val="en-GB"/>
        </w:rPr>
        <w:t xml:space="preserve"> thanks to construction of Bytom bypass</w:t>
      </w:r>
      <w:r>
        <w:rPr>
          <w:noProof w:val="0"/>
          <w:szCs w:val="24"/>
          <w:lang w:val="en-GB"/>
        </w:rPr>
        <w:t>,</w:t>
      </w:r>
      <w:r w:rsidRPr="00E9099D">
        <w:rPr>
          <w:noProof w:val="0"/>
          <w:szCs w:val="24"/>
          <w:lang w:val="en-GB"/>
        </w:rPr>
        <w:t xml:space="preserve"> the transport of goods will be moved onto the city outskirts, which will improve safety of all motor traffic participants in the city (key project: </w:t>
      </w:r>
      <w:r w:rsidRPr="00E9099D">
        <w:rPr>
          <w:i/>
          <w:noProof w:val="0"/>
          <w:szCs w:val="24"/>
          <w:lang w:val="en-GB"/>
        </w:rPr>
        <w:t>Construction of Bytom section of the Northern Bypass of the Upper Silesian Agglomeration</w:t>
      </w:r>
      <w:r w:rsidRPr="00E9099D">
        <w:rPr>
          <w:noProof w:val="0"/>
          <w:szCs w:val="24"/>
          <w:lang w:val="en-GB"/>
        </w:rPr>
        <w:t xml:space="preserve">). The communication network crossing Bielsko-Biała abounded with </w:t>
      </w:r>
      <w:r>
        <w:rPr>
          <w:noProof w:val="0"/>
          <w:szCs w:val="24"/>
          <w:lang w:val="en-GB"/>
        </w:rPr>
        <w:t>so-</w:t>
      </w:r>
      <w:r w:rsidRPr="00E9099D">
        <w:rPr>
          <w:noProof w:val="0"/>
          <w:szCs w:val="24"/>
          <w:lang w:val="en-GB"/>
        </w:rPr>
        <w:t xml:space="preserve">called </w:t>
      </w:r>
      <w:r>
        <w:rPr>
          <w:i/>
          <w:noProof w:val="0"/>
          <w:szCs w:val="24"/>
          <w:lang w:val="en-GB"/>
        </w:rPr>
        <w:t>bottle necks</w:t>
      </w:r>
      <w:r w:rsidRPr="00E9099D">
        <w:rPr>
          <w:noProof w:val="0"/>
          <w:szCs w:val="24"/>
          <w:lang w:val="en-GB"/>
        </w:rPr>
        <w:t xml:space="preserve">. The reconstruction of a section of national road no 52 (key project: </w:t>
      </w:r>
      <w:r w:rsidRPr="00E9099D">
        <w:rPr>
          <w:i/>
          <w:noProof w:val="0"/>
          <w:szCs w:val="24"/>
          <w:lang w:val="en-GB"/>
        </w:rPr>
        <w:t>The reconstruction of a section of national</w:t>
      </w:r>
      <w:r>
        <w:rPr>
          <w:i/>
          <w:noProof w:val="0"/>
          <w:szCs w:val="24"/>
          <w:lang w:val="en-GB"/>
        </w:rPr>
        <w:t xml:space="preserve"> road N</w:t>
      </w:r>
      <w:r w:rsidRPr="00E9099D">
        <w:rPr>
          <w:i/>
          <w:noProof w:val="0"/>
          <w:szCs w:val="24"/>
          <w:lang w:val="en-GB"/>
        </w:rPr>
        <w:t>o</w:t>
      </w:r>
      <w:r>
        <w:rPr>
          <w:i/>
          <w:noProof w:val="0"/>
          <w:szCs w:val="24"/>
          <w:lang w:val="en-GB"/>
        </w:rPr>
        <w:t>.</w:t>
      </w:r>
      <w:r w:rsidRPr="00E9099D">
        <w:rPr>
          <w:i/>
          <w:noProof w:val="0"/>
          <w:szCs w:val="24"/>
          <w:lang w:val="en-GB"/>
        </w:rPr>
        <w:t xml:space="preserve"> 52</w:t>
      </w:r>
      <w:r w:rsidRPr="00E9099D">
        <w:rPr>
          <w:noProof w:val="0"/>
          <w:szCs w:val="24"/>
          <w:lang w:val="en-GB"/>
        </w:rPr>
        <w:t xml:space="preserve">) was a remedy for this problem.    </w:t>
      </w:r>
    </w:p>
    <w:p w:rsidR="000F2170" w:rsidRPr="00E9099D" w:rsidRDefault="000F2170" w:rsidP="000F2170">
      <w:pPr>
        <w:pStyle w:val="Tekstpodstawowy2"/>
        <w:tabs>
          <w:tab w:val="left" w:pos="284"/>
        </w:tabs>
        <w:spacing w:line="276" w:lineRule="auto"/>
        <w:jc w:val="both"/>
        <w:rPr>
          <w:noProof w:val="0"/>
          <w:szCs w:val="24"/>
          <w:lang w:val="en-GB"/>
        </w:rPr>
      </w:pPr>
      <w:r w:rsidRPr="00E9099D">
        <w:rPr>
          <w:noProof w:val="0"/>
          <w:szCs w:val="24"/>
          <w:lang w:val="en-GB"/>
        </w:rPr>
        <w:t>There are 17 key projects implemented under the ROP SV and one project being on the reserve project list. Moreover, in 2011 8 projects within the scope of removing flood effects were added (according to the recommendation of MRD above mentioned</w:t>
      </w:r>
      <w:r>
        <w:rPr>
          <w:noProof w:val="0"/>
          <w:szCs w:val="24"/>
          <w:lang w:val="en-GB"/>
        </w:rPr>
        <w:t xml:space="preserve"> investmen</w:t>
      </w:r>
      <w:r w:rsidRPr="00E9099D">
        <w:rPr>
          <w:noProof w:val="0"/>
          <w:szCs w:val="24"/>
          <w:lang w:val="en-GB"/>
        </w:rPr>
        <w:t xml:space="preserve">ts are implemented as the key projects). The additional sum of EUR 8 757 251 (from the ERDF) and EUR 1 545 397 (from the country budget) was allocated for the implementation of the above mentioned projects. Additionally, the reserve list has been supplemented with 4 projects implemented in order to reconstruct infrastructure damaged as a result of the flood. </w:t>
      </w:r>
    </w:p>
    <w:p w:rsidR="000F2170" w:rsidRPr="00E9099D" w:rsidRDefault="000F2170" w:rsidP="000F2170">
      <w:pPr>
        <w:pStyle w:val="Tekstpodstawowy2"/>
        <w:tabs>
          <w:tab w:val="left" w:pos="284"/>
        </w:tabs>
        <w:spacing w:line="276" w:lineRule="auto"/>
        <w:jc w:val="both"/>
        <w:rPr>
          <w:noProof w:val="0"/>
          <w:szCs w:val="24"/>
          <w:lang w:val="en-GB"/>
        </w:rPr>
      </w:pPr>
      <w:r w:rsidRPr="00E9099D">
        <w:rPr>
          <w:noProof w:val="0"/>
          <w:szCs w:val="24"/>
          <w:lang w:val="en-GB"/>
        </w:rPr>
        <w:t>Before the end of the reporting period</w:t>
      </w:r>
      <w:r>
        <w:rPr>
          <w:noProof w:val="0"/>
          <w:szCs w:val="24"/>
          <w:lang w:val="en-GB"/>
        </w:rPr>
        <w:t>,</w:t>
      </w:r>
      <w:r w:rsidRPr="00E9099D">
        <w:rPr>
          <w:noProof w:val="0"/>
          <w:szCs w:val="24"/>
          <w:lang w:val="en-GB"/>
        </w:rPr>
        <w:t xml:space="preserve"> all applications for subsidy from </w:t>
      </w:r>
      <w:r w:rsidRPr="00E9099D">
        <w:rPr>
          <w:noProof w:val="0"/>
          <w:color w:val="000000"/>
          <w:szCs w:val="24"/>
          <w:lang w:val="en-GB"/>
        </w:rPr>
        <w:t xml:space="preserve">ILIKP (70) were submitted and approved, from which 68 contracts for grants were signed. The agreements within the large project </w:t>
      </w:r>
      <w:r w:rsidRPr="00E9099D">
        <w:rPr>
          <w:i/>
          <w:noProof w:val="0"/>
          <w:color w:val="000000"/>
          <w:szCs w:val="24"/>
          <w:lang w:val="en-GB"/>
        </w:rPr>
        <w:t>Continuation of construction of Drogowa Trasa Średnicowa WEST</w:t>
      </w:r>
      <w:r w:rsidRPr="00E9099D">
        <w:rPr>
          <w:noProof w:val="0"/>
          <w:color w:val="000000"/>
          <w:szCs w:val="24"/>
          <w:lang w:val="en-GB"/>
        </w:rPr>
        <w:t xml:space="preserve"> </w:t>
      </w:r>
      <w:r w:rsidRPr="00E9099D">
        <w:rPr>
          <w:i/>
          <w:noProof w:val="0"/>
          <w:color w:val="000000"/>
          <w:szCs w:val="24"/>
          <w:lang w:val="en-GB"/>
        </w:rPr>
        <w:t>section Zabrze-Gliwice, Subproject 3 – section G2 in Gliwice</w:t>
      </w:r>
      <w:r w:rsidRPr="00E9099D">
        <w:rPr>
          <w:noProof w:val="0"/>
          <w:color w:val="000000"/>
          <w:szCs w:val="24"/>
          <w:lang w:val="en-GB"/>
        </w:rPr>
        <w:t xml:space="preserve"> have not been signed yet because this project needs to be approved by the European Commission. Detailed information on large projects can be found in item 5 of the following </w:t>
      </w:r>
      <w:r w:rsidRPr="00E9099D">
        <w:rPr>
          <w:i/>
          <w:noProof w:val="0"/>
          <w:color w:val="000000"/>
          <w:szCs w:val="24"/>
          <w:lang w:val="en-GB"/>
        </w:rPr>
        <w:t xml:space="preserve">Report. </w:t>
      </w:r>
      <w:r w:rsidRPr="00E9099D">
        <w:rPr>
          <w:noProof w:val="0"/>
          <w:color w:val="000000"/>
          <w:szCs w:val="24"/>
          <w:lang w:val="en-GB"/>
        </w:rPr>
        <w:t xml:space="preserve"> </w:t>
      </w:r>
    </w:p>
    <w:p w:rsidR="000F2170" w:rsidRDefault="000F2170" w:rsidP="000F2170">
      <w:pPr>
        <w:pStyle w:val="Tekstpodstawowy2"/>
        <w:tabs>
          <w:tab w:val="left" w:pos="284"/>
        </w:tabs>
        <w:spacing w:line="276" w:lineRule="auto"/>
        <w:jc w:val="both"/>
        <w:rPr>
          <w:noProof w:val="0"/>
          <w:szCs w:val="24"/>
          <w:lang w:val="en-GB"/>
        </w:rPr>
      </w:pPr>
      <w:r w:rsidRPr="00E9099D">
        <w:rPr>
          <w:noProof w:val="0"/>
          <w:szCs w:val="24"/>
          <w:lang w:val="en-GB"/>
        </w:rPr>
        <w:t xml:space="preserve">The following information summary pertains to the implementation of the key projects since the launch of the </w:t>
      </w:r>
      <w:r w:rsidRPr="00E9099D">
        <w:rPr>
          <w:i/>
          <w:noProof w:val="0"/>
          <w:szCs w:val="24"/>
          <w:lang w:val="en-GB"/>
        </w:rPr>
        <w:t>Programme</w:t>
      </w:r>
      <w:r w:rsidRPr="00E9099D">
        <w:rPr>
          <w:noProof w:val="0"/>
          <w:szCs w:val="24"/>
          <w:lang w:val="en-GB"/>
        </w:rPr>
        <w:t xml:space="preserve"> up to the end of 2011 as well as divided into priorities.</w:t>
      </w:r>
    </w:p>
    <w:p w:rsidR="000F2170" w:rsidRDefault="000F2170" w:rsidP="000F2170">
      <w:pPr>
        <w:pStyle w:val="Tekstpodstawowy2"/>
        <w:tabs>
          <w:tab w:val="left" w:pos="284"/>
        </w:tabs>
        <w:spacing w:line="276" w:lineRule="auto"/>
        <w:jc w:val="both"/>
        <w:rPr>
          <w:noProof w:val="0"/>
          <w:szCs w:val="24"/>
          <w:lang w:val="en-GB"/>
        </w:rPr>
      </w:pPr>
    </w:p>
    <w:p w:rsidR="000F2170" w:rsidRPr="00E9099D" w:rsidRDefault="000F2170" w:rsidP="000F2170">
      <w:pPr>
        <w:pStyle w:val="Tekstpodstawowy2"/>
        <w:tabs>
          <w:tab w:val="left" w:pos="284"/>
        </w:tabs>
        <w:spacing w:line="276" w:lineRule="auto"/>
        <w:jc w:val="both"/>
        <w:rPr>
          <w:noProof w:val="0"/>
          <w:szCs w:val="24"/>
          <w:lang w:val="en-GB"/>
        </w:rPr>
      </w:pPr>
      <w:r w:rsidRPr="00305863">
        <w:rPr>
          <w:b/>
          <w:szCs w:val="24"/>
        </w:rPr>
        <w:drawing>
          <wp:inline distT="0" distB="0" distL="0" distR="0">
            <wp:extent cx="5867400" cy="3705225"/>
            <wp:effectExtent l="38100" t="19050" r="19050" b="0"/>
            <wp:docPr id="32"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0F2170" w:rsidRPr="00E9099D" w:rsidRDefault="000F2170" w:rsidP="000F2170">
      <w:pPr>
        <w:pStyle w:val="Legenda"/>
        <w:rPr>
          <w:b w:val="0"/>
          <w:i/>
          <w:color w:val="auto"/>
          <w:sz w:val="20"/>
          <w:szCs w:val="20"/>
          <w:lang w:val="en-GB"/>
        </w:rPr>
      </w:pPr>
      <w:bookmarkStart w:id="753" w:name="_Toc324855836"/>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65</w:t>
      </w:r>
      <w:r w:rsidR="008F7228" w:rsidRPr="00E9099D">
        <w:rPr>
          <w:color w:val="000000" w:themeColor="text1"/>
          <w:sz w:val="20"/>
          <w:szCs w:val="20"/>
          <w:lang w:val="en-GB"/>
        </w:rPr>
        <w:fldChar w:fldCharType="end"/>
      </w:r>
      <w:r w:rsidRPr="00E9099D">
        <w:rPr>
          <w:lang w:val="en-GB"/>
        </w:rPr>
        <w:t xml:space="preserve"> </w:t>
      </w:r>
      <w:r w:rsidRPr="00E9099D">
        <w:rPr>
          <w:b w:val="0"/>
          <w:i/>
          <w:color w:val="auto"/>
          <w:sz w:val="20"/>
          <w:szCs w:val="20"/>
          <w:lang w:val="en-GB"/>
        </w:rPr>
        <w:t>The implementation progress of key projects implemented under the ROP SV</w:t>
      </w:r>
      <w:bookmarkEnd w:id="753"/>
    </w:p>
    <w:p w:rsidR="000F2170" w:rsidRPr="00E9099D" w:rsidRDefault="000F2170" w:rsidP="000F2170">
      <w:pPr>
        <w:rPr>
          <w:szCs w:val="24"/>
          <w:lang w:val="en-GB"/>
        </w:rPr>
      </w:pPr>
    </w:p>
    <w:p w:rsidR="000F2170" w:rsidRPr="00E9099D" w:rsidRDefault="000F2170" w:rsidP="000F2170">
      <w:pPr>
        <w:pStyle w:val="Akapitzlist"/>
        <w:spacing w:after="120"/>
        <w:ind w:left="0"/>
        <w:jc w:val="both"/>
        <w:rPr>
          <w:b/>
          <w:szCs w:val="24"/>
          <w:lang w:val="en-GB" w:eastAsia="ar-SA"/>
        </w:rPr>
      </w:pPr>
      <w:r w:rsidRPr="00E9099D">
        <w:rPr>
          <w:b/>
          <w:szCs w:val="24"/>
          <w:lang w:val="en-GB" w:eastAsia="ar-SA"/>
        </w:rPr>
        <w:t>Subregions Development Programmes</w:t>
      </w:r>
    </w:p>
    <w:p w:rsidR="000F2170" w:rsidRDefault="000F2170" w:rsidP="000F2170">
      <w:pPr>
        <w:jc w:val="both"/>
        <w:rPr>
          <w:szCs w:val="24"/>
          <w:lang w:val="en-GB"/>
        </w:rPr>
      </w:pPr>
      <w:r w:rsidRPr="00E9099D">
        <w:rPr>
          <w:szCs w:val="24"/>
          <w:lang w:val="en-GB"/>
        </w:rPr>
        <w:t>During the reporting period</w:t>
      </w:r>
      <w:r>
        <w:rPr>
          <w:szCs w:val="24"/>
          <w:lang w:val="en-GB"/>
        </w:rPr>
        <w:t>,</w:t>
      </w:r>
      <w:r w:rsidRPr="00E9099D">
        <w:rPr>
          <w:szCs w:val="24"/>
          <w:lang w:val="en-GB"/>
        </w:rPr>
        <w:t xml:space="preserve"> the Board of the Silesia Voivodeship passed resolutions changing rules of </w:t>
      </w:r>
      <w:r>
        <w:rPr>
          <w:szCs w:val="24"/>
          <w:lang w:val="en-GB"/>
        </w:rPr>
        <w:t>co</w:t>
      </w:r>
      <w:r w:rsidRPr="00FA214F">
        <w:rPr>
          <w:szCs w:val="24"/>
          <w:lang w:val="en-US"/>
        </w:rPr>
        <w:t>-</w:t>
      </w:r>
      <w:r w:rsidRPr="00E9099D">
        <w:rPr>
          <w:szCs w:val="24"/>
          <w:lang w:val="en-GB"/>
        </w:rPr>
        <w:t xml:space="preserve">financing SDP, which take into consideration the updated </w:t>
      </w:r>
      <w:r w:rsidRPr="00E9099D">
        <w:rPr>
          <w:i/>
          <w:szCs w:val="24"/>
          <w:lang w:val="en-GB"/>
        </w:rPr>
        <w:t>Programmes</w:t>
      </w:r>
      <w:r>
        <w:rPr>
          <w:szCs w:val="24"/>
          <w:lang w:val="en-GB"/>
        </w:rPr>
        <w:t>. Each update</w:t>
      </w:r>
      <w:r w:rsidRPr="00E9099D">
        <w:rPr>
          <w:szCs w:val="24"/>
          <w:lang w:val="en-GB"/>
        </w:rPr>
        <w:t xml:space="preserve"> included the possible ways of spending money saved during implementation of the </w:t>
      </w:r>
      <w:r w:rsidRPr="00E9099D">
        <w:rPr>
          <w:i/>
          <w:szCs w:val="24"/>
          <w:lang w:val="en-GB"/>
        </w:rPr>
        <w:t>Programmes</w:t>
      </w:r>
      <w:r w:rsidRPr="00E9099D">
        <w:rPr>
          <w:szCs w:val="24"/>
          <w:lang w:val="en-GB"/>
        </w:rPr>
        <w:t xml:space="preserve"> (through selection of additional projects or raising funds granted to some projects from the basic list) as well as deferring the amounts not used within the implementation of SDP in the competition pool of the ROP SV. According to altered </w:t>
      </w:r>
      <w:r w:rsidRPr="00E9099D">
        <w:rPr>
          <w:i/>
          <w:szCs w:val="24"/>
          <w:lang w:val="en-GB"/>
        </w:rPr>
        <w:t>Guidelines for</w:t>
      </w:r>
      <w:r>
        <w:rPr>
          <w:i/>
          <w:szCs w:val="24"/>
          <w:lang w:val="en-GB"/>
        </w:rPr>
        <w:t xml:space="preserve"> </w:t>
      </w:r>
      <w:r w:rsidRPr="00E9099D">
        <w:rPr>
          <w:i/>
          <w:szCs w:val="24"/>
          <w:lang w:val="en-GB"/>
        </w:rPr>
        <w:t>Key Projects and Subregions Development Programmes Procedures</w:t>
      </w:r>
      <w:r w:rsidRPr="00E9099D">
        <w:rPr>
          <w:szCs w:val="24"/>
          <w:lang w:val="en-GB"/>
        </w:rPr>
        <w:t>, the final deadline of using savings by subregions was August 31</w:t>
      </w:r>
      <w:r w:rsidRPr="00E9099D">
        <w:rPr>
          <w:szCs w:val="24"/>
          <w:vertAlign w:val="superscript"/>
          <w:lang w:val="en-GB"/>
        </w:rPr>
        <w:t>st</w:t>
      </w:r>
      <w:r w:rsidRPr="00E9099D">
        <w:rPr>
          <w:szCs w:val="24"/>
          <w:lang w:val="en-GB"/>
        </w:rPr>
        <w:t>, 2011. All the project</w:t>
      </w:r>
      <w:r>
        <w:rPr>
          <w:szCs w:val="24"/>
          <w:lang w:val="en-GB"/>
        </w:rPr>
        <w:t>s</w:t>
      </w:r>
      <w:r w:rsidRPr="00E9099D">
        <w:rPr>
          <w:szCs w:val="24"/>
          <w:lang w:val="en-GB"/>
        </w:rPr>
        <w:t xml:space="preserve"> selected for financing within the use of savings in SDP were submitted before the end of the reporting year. The final number of projects selected for implementation within SDP amounted to 284. The majority of them, i.e. 100 projects are implemented by the central subregion. Within the SDP</w:t>
      </w:r>
      <w:r>
        <w:rPr>
          <w:szCs w:val="24"/>
          <w:lang w:val="en-GB"/>
        </w:rPr>
        <w:t>,</w:t>
      </w:r>
      <w:r w:rsidRPr="00E9099D">
        <w:rPr>
          <w:szCs w:val="24"/>
          <w:lang w:val="en-GB"/>
        </w:rPr>
        <w:t xml:space="preserve"> funds amounting to EUR 95.18 m were paid before the end of the reporting period. The western subregion is the most advanced in terms of SDP implementation as it signed 93% </w:t>
      </w:r>
      <w:r>
        <w:rPr>
          <w:szCs w:val="24"/>
          <w:lang w:val="en-GB"/>
        </w:rPr>
        <w:t xml:space="preserve">of </w:t>
      </w:r>
      <w:r w:rsidRPr="00E9099D">
        <w:rPr>
          <w:szCs w:val="24"/>
          <w:lang w:val="en-GB"/>
        </w:rPr>
        <w:t xml:space="preserve">contracts.       </w:t>
      </w:r>
    </w:p>
    <w:p w:rsidR="000F2170" w:rsidRDefault="000F2170" w:rsidP="000F2170">
      <w:pPr>
        <w:rPr>
          <w:szCs w:val="24"/>
          <w:lang w:val="en-GB"/>
        </w:rPr>
      </w:pPr>
    </w:p>
    <w:p w:rsidR="000F2170" w:rsidRDefault="000F2170" w:rsidP="000F2170">
      <w:pPr>
        <w:rPr>
          <w:szCs w:val="24"/>
          <w:lang w:val="en-GB"/>
        </w:rPr>
      </w:pPr>
    </w:p>
    <w:p w:rsidR="000F2170" w:rsidRPr="00E9099D" w:rsidRDefault="000F2170" w:rsidP="000F2170">
      <w:pPr>
        <w:rPr>
          <w:szCs w:val="24"/>
          <w:lang w:val="en-GB"/>
        </w:rPr>
      </w:pPr>
      <w:r w:rsidRPr="00DA7BB6">
        <w:rPr>
          <w:noProof/>
          <w:szCs w:val="24"/>
        </w:rPr>
        <w:drawing>
          <wp:inline distT="0" distB="0" distL="0" distR="0">
            <wp:extent cx="5760720" cy="4743450"/>
            <wp:effectExtent l="38100" t="19050" r="11430" b="0"/>
            <wp:docPr id="4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0F2170" w:rsidRDefault="000F2170" w:rsidP="000F2170">
      <w:pPr>
        <w:pStyle w:val="Legenda"/>
        <w:rPr>
          <w:b w:val="0"/>
          <w:i/>
          <w:color w:val="auto"/>
          <w:sz w:val="20"/>
          <w:szCs w:val="20"/>
          <w:lang w:val="en-GB"/>
        </w:rPr>
      </w:pPr>
      <w:bookmarkStart w:id="754" w:name="_Toc324855837"/>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66</w:t>
      </w:r>
      <w:r w:rsidR="008F7228" w:rsidRPr="00E9099D">
        <w:rPr>
          <w:color w:val="000000" w:themeColor="text1"/>
          <w:sz w:val="20"/>
          <w:szCs w:val="20"/>
          <w:lang w:val="en-GB"/>
        </w:rPr>
        <w:fldChar w:fldCharType="end"/>
      </w:r>
      <w:r w:rsidRPr="00E9099D">
        <w:rPr>
          <w:lang w:val="en-GB"/>
        </w:rPr>
        <w:t xml:space="preserve"> </w:t>
      </w:r>
      <w:r w:rsidRPr="00E9099D">
        <w:rPr>
          <w:b w:val="0"/>
          <w:i/>
          <w:color w:val="auto"/>
          <w:sz w:val="20"/>
          <w:szCs w:val="20"/>
          <w:lang w:val="en-GB"/>
        </w:rPr>
        <w:t>Financial Progress of SDP implementation</w:t>
      </w:r>
      <w:bookmarkEnd w:id="754"/>
    </w:p>
    <w:p w:rsidR="000F2170" w:rsidRDefault="000F2170" w:rsidP="000F2170">
      <w:pPr>
        <w:rPr>
          <w:lang w:val="en-GB"/>
        </w:rPr>
      </w:pPr>
      <w:r>
        <w:rPr>
          <w:lang w:val="en-GB"/>
        </w:rPr>
        <w:br w:type="page"/>
      </w:r>
    </w:p>
    <w:p w:rsidR="000F2170" w:rsidRPr="00E9099D" w:rsidRDefault="000F2170" w:rsidP="000F2170">
      <w:pPr>
        <w:pStyle w:val="Legenda"/>
        <w:rPr>
          <w:b w:val="0"/>
          <w:i/>
          <w:color w:val="auto"/>
          <w:sz w:val="20"/>
          <w:szCs w:val="20"/>
          <w:lang w:val="en-GB"/>
        </w:rPr>
      </w:pPr>
    </w:p>
    <w:p w:rsidR="000F2170" w:rsidRPr="00E9099D" w:rsidRDefault="000F2170" w:rsidP="000F2170">
      <w:pPr>
        <w:pStyle w:val="Legenda"/>
        <w:spacing w:after="0" w:line="276" w:lineRule="auto"/>
        <w:ind w:left="426"/>
        <w:jc w:val="both"/>
        <w:rPr>
          <w:sz w:val="24"/>
          <w:szCs w:val="24"/>
          <w:lang w:val="en-GB"/>
        </w:rPr>
      </w:pPr>
      <w:r w:rsidRPr="00E9099D">
        <w:rPr>
          <w:noProof/>
          <w:sz w:val="24"/>
          <w:szCs w:val="24"/>
        </w:rPr>
        <w:drawing>
          <wp:inline distT="0" distB="0" distL="0" distR="0">
            <wp:extent cx="2977117" cy="2126512"/>
            <wp:effectExtent l="0" t="0" r="0" b="0"/>
            <wp:docPr id="5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r w:rsidRPr="00E9099D">
        <w:rPr>
          <w:noProof/>
          <w:sz w:val="24"/>
          <w:szCs w:val="24"/>
        </w:rPr>
        <w:drawing>
          <wp:inline distT="0" distB="0" distL="0" distR="0">
            <wp:extent cx="2412000" cy="2126512"/>
            <wp:effectExtent l="0" t="0" r="0" b="0"/>
            <wp:docPr id="5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r w:rsidRPr="00E9099D">
        <w:rPr>
          <w:sz w:val="24"/>
          <w:szCs w:val="24"/>
          <w:lang w:val="en-GB"/>
        </w:rPr>
        <w:t xml:space="preserve"> </w:t>
      </w:r>
      <w:r w:rsidRPr="00E9099D">
        <w:rPr>
          <w:noProof/>
          <w:sz w:val="24"/>
          <w:szCs w:val="24"/>
        </w:rPr>
        <w:drawing>
          <wp:inline distT="0" distB="0" distL="0" distR="0">
            <wp:extent cx="2412000" cy="2126511"/>
            <wp:effectExtent l="0" t="0" r="0" b="0"/>
            <wp:docPr id="5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Pr="00E9099D">
        <w:rPr>
          <w:noProof/>
          <w:sz w:val="24"/>
          <w:szCs w:val="24"/>
        </w:rPr>
        <w:drawing>
          <wp:inline distT="0" distB="0" distL="0" distR="0">
            <wp:extent cx="2412000" cy="2126511"/>
            <wp:effectExtent l="0" t="0" r="0" b="0"/>
            <wp:docPr id="5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0F2170" w:rsidRPr="00E9099D" w:rsidRDefault="000F2170" w:rsidP="000F2170">
      <w:pPr>
        <w:pStyle w:val="Legenda"/>
        <w:rPr>
          <w:color w:val="auto"/>
          <w:sz w:val="20"/>
          <w:szCs w:val="20"/>
          <w:lang w:val="en-GB"/>
        </w:rPr>
      </w:pPr>
      <w:bookmarkStart w:id="755" w:name="_Toc324855838"/>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67</w:t>
      </w:r>
      <w:r w:rsidR="008F7228" w:rsidRPr="00E9099D">
        <w:rPr>
          <w:color w:val="000000" w:themeColor="text1"/>
          <w:sz w:val="20"/>
          <w:szCs w:val="20"/>
          <w:lang w:val="en-GB"/>
        </w:rPr>
        <w:fldChar w:fldCharType="end"/>
      </w:r>
      <w:r w:rsidRPr="00E9099D">
        <w:rPr>
          <w:lang w:val="en-GB"/>
        </w:rPr>
        <w:t xml:space="preserve"> </w:t>
      </w:r>
      <w:bookmarkEnd w:id="755"/>
      <w:r w:rsidRPr="00E9099D">
        <w:rPr>
          <w:b w:val="0"/>
          <w:i/>
          <w:color w:val="auto"/>
          <w:sz w:val="20"/>
          <w:szCs w:val="20"/>
          <w:lang w:val="en-GB"/>
        </w:rPr>
        <w:t>SDP implementation progress</w:t>
      </w:r>
    </w:p>
    <w:p w:rsidR="000F2170" w:rsidRPr="00E9099D" w:rsidRDefault="000F2170" w:rsidP="000F2170">
      <w:pPr>
        <w:jc w:val="both"/>
        <w:rPr>
          <w:szCs w:val="24"/>
          <w:lang w:val="en-GB"/>
        </w:rPr>
      </w:pPr>
      <w:r w:rsidRPr="00E9099D">
        <w:rPr>
          <w:szCs w:val="24"/>
          <w:lang w:val="en-GB"/>
        </w:rPr>
        <w:t xml:space="preserve">Expertise from the process of SDP implementation leads to the conclusion that the process of strategic planning should be enhanced in order to prepare even more programmes in the future. The SDP leaders are eager to participate actively in preparation of strategic and operational documents on the regional level. </w:t>
      </w:r>
      <w:r>
        <w:rPr>
          <w:szCs w:val="24"/>
          <w:lang w:val="en-GB"/>
        </w:rPr>
        <w:t>Meeting tho</w:t>
      </w:r>
      <w:r w:rsidRPr="00E9099D">
        <w:rPr>
          <w:szCs w:val="24"/>
          <w:lang w:val="en-GB"/>
        </w:rPr>
        <w:t>se demands</w:t>
      </w:r>
      <w:r>
        <w:rPr>
          <w:szCs w:val="24"/>
          <w:lang w:val="en-GB"/>
        </w:rPr>
        <w:t>,</w:t>
      </w:r>
      <w:r w:rsidRPr="00E9099D">
        <w:rPr>
          <w:szCs w:val="24"/>
          <w:lang w:val="en-GB"/>
        </w:rPr>
        <w:t xml:space="preserve"> MA firstly included the SDP leaders into works of the </w:t>
      </w:r>
      <w:r w:rsidRPr="00E9099D">
        <w:rPr>
          <w:i/>
          <w:szCs w:val="24"/>
          <w:lang w:val="en-GB"/>
        </w:rPr>
        <w:t xml:space="preserve">Team for Preparation of the Integrated Regional Programme Framework for the years 2014-2020 </w:t>
      </w:r>
      <w:r w:rsidRPr="00E9099D">
        <w:rPr>
          <w:szCs w:val="24"/>
          <w:lang w:val="en-GB"/>
        </w:rPr>
        <w:t>and secondly, designed for 2012 a series of workshops aiming at technical support for subregions preparing devel</w:t>
      </w:r>
      <w:r>
        <w:rPr>
          <w:szCs w:val="24"/>
          <w:lang w:val="en-GB"/>
        </w:rPr>
        <w:t>opment strategy of tho</w:t>
      </w:r>
      <w:r w:rsidRPr="00E9099D">
        <w:rPr>
          <w:szCs w:val="24"/>
          <w:lang w:val="en-GB"/>
        </w:rPr>
        <w:t xml:space="preserve">se areas. </w:t>
      </w:r>
    </w:p>
    <w:p w:rsidR="000F2170" w:rsidRPr="00E9099D" w:rsidRDefault="000F2170" w:rsidP="000F2170">
      <w:pPr>
        <w:jc w:val="both"/>
        <w:rPr>
          <w:szCs w:val="24"/>
          <w:lang w:val="en-GB"/>
        </w:rPr>
      </w:pPr>
      <w:r w:rsidRPr="00E9099D">
        <w:rPr>
          <w:szCs w:val="24"/>
          <w:lang w:val="en-GB"/>
        </w:rPr>
        <w:t xml:space="preserve">MA of the ROP SV will strive for continuation of subregions programmes within a future regional programme. The necessity is expected to introduce appropriate alterations resulting from different factors and possibly various forms and principles of support. The result-oriented approach will require from beneficiaries more discipline in terms of programme implementation. Additionally, the rules should be so determined that on the one hand, SDP could be still territorially-oriented instrument of solving the most crucial problems of each subregion and on the other hand, they could contribute to effective implementation of the whole operational programme through minimization of administrative load.     </w:t>
      </w:r>
    </w:p>
    <w:p w:rsidR="000F2170" w:rsidRPr="00E9099D" w:rsidRDefault="000F2170" w:rsidP="000F2170">
      <w:pPr>
        <w:jc w:val="both"/>
        <w:rPr>
          <w:szCs w:val="24"/>
          <w:lang w:val="en-GB"/>
        </w:rPr>
      </w:pPr>
      <w:r w:rsidRPr="00E9099D">
        <w:rPr>
          <w:szCs w:val="24"/>
          <w:lang w:val="en-GB"/>
        </w:rPr>
        <w:t xml:space="preserve">The table below presents the effects from implementation of particular SDP – projects. </w:t>
      </w:r>
    </w:p>
    <w:p w:rsidR="000F2170" w:rsidRPr="00E9099D" w:rsidRDefault="000F2170" w:rsidP="000F2170">
      <w:pPr>
        <w:rPr>
          <w:szCs w:val="24"/>
          <w:lang w:val="en-GB"/>
        </w:rPr>
      </w:pPr>
      <w:r w:rsidRPr="00E9099D">
        <w:rPr>
          <w:szCs w:val="24"/>
          <w:lang w:val="en-GB"/>
        </w:rPr>
        <w:br w:type="page"/>
      </w:r>
    </w:p>
    <w:p w:rsidR="000F2170" w:rsidRPr="00E9099D" w:rsidRDefault="000F2170" w:rsidP="000F2170">
      <w:pPr>
        <w:pStyle w:val="Legenda"/>
        <w:spacing w:after="120" w:line="276" w:lineRule="auto"/>
        <w:jc w:val="both"/>
        <w:rPr>
          <w:color w:val="000000" w:themeColor="text1"/>
          <w:sz w:val="20"/>
          <w:szCs w:val="20"/>
          <w:lang w:val="en-GB"/>
        </w:rPr>
      </w:pPr>
      <w:bookmarkStart w:id="756" w:name="_Toc324855864"/>
      <w:r w:rsidRPr="00E9099D">
        <w:rPr>
          <w:color w:val="000000" w:themeColor="text1"/>
          <w:sz w:val="20"/>
          <w:szCs w:val="20"/>
          <w:lang w:val="en-GB"/>
        </w:rPr>
        <w:t xml:space="preserve">Table 1 </w:t>
      </w:r>
      <w:r w:rsidRPr="00E9099D">
        <w:rPr>
          <w:b w:val="0"/>
          <w:i/>
          <w:color w:val="000000" w:themeColor="text1"/>
          <w:sz w:val="20"/>
          <w:szCs w:val="20"/>
          <w:lang w:val="en-GB"/>
        </w:rPr>
        <w:t>Effects from implementation of projects within the SDP</w:t>
      </w:r>
      <w:bookmarkEnd w:id="756"/>
      <w:r w:rsidRPr="00E9099D">
        <w:rPr>
          <w:b w:val="0"/>
          <w:i/>
          <w:color w:val="000000" w:themeColor="text1"/>
          <w:sz w:val="20"/>
          <w:szCs w:val="20"/>
          <w:lang w:val="en-GB"/>
        </w:rPr>
        <w:t xml:space="preserve">   </w:t>
      </w:r>
    </w:p>
    <w:tbl>
      <w:tblPr>
        <w:tblStyle w:val="redniasiatka3akcent1"/>
        <w:tblW w:w="9039" w:type="dxa"/>
        <w:shd w:val="clear" w:color="auto" w:fill="C7BBA5" w:themeFill="accent3" w:themeFillTint="99"/>
        <w:tblLook w:val="04A0" w:firstRow="1" w:lastRow="0" w:firstColumn="1" w:lastColumn="0" w:noHBand="0" w:noVBand="1"/>
      </w:tblPr>
      <w:tblGrid>
        <w:gridCol w:w="2018"/>
        <w:gridCol w:w="7021"/>
      </w:tblGrid>
      <w:tr w:rsidR="000F2170" w:rsidRPr="00DA56FE" w:rsidTr="00DA56FE">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018" w:type="dxa"/>
            <w:shd w:val="clear" w:color="auto" w:fill="C7BBA5" w:themeFill="accent3" w:themeFillTint="99"/>
            <w:vAlign w:val="center"/>
          </w:tcPr>
          <w:p w:rsidR="000F2170" w:rsidRPr="00DA56FE" w:rsidRDefault="000F2170" w:rsidP="00DA56FE">
            <w:pPr>
              <w:jc w:val="center"/>
              <w:rPr>
                <w:color w:val="auto"/>
                <w:sz w:val="20"/>
                <w:szCs w:val="20"/>
                <w:lang w:val="en-GB"/>
              </w:rPr>
            </w:pPr>
            <w:r w:rsidRPr="00DA56FE">
              <w:rPr>
                <w:color w:val="auto"/>
                <w:sz w:val="20"/>
                <w:szCs w:val="20"/>
                <w:lang w:val="en-GB"/>
              </w:rPr>
              <w:t>SUBREGION</w:t>
            </w:r>
          </w:p>
        </w:tc>
        <w:tc>
          <w:tcPr>
            <w:tcW w:w="7021" w:type="dxa"/>
            <w:shd w:val="clear" w:color="auto" w:fill="C7BBA5" w:themeFill="accent3" w:themeFillTint="99"/>
            <w:vAlign w:val="center"/>
          </w:tcPr>
          <w:p w:rsidR="000F2170" w:rsidRPr="00DA56FE" w:rsidRDefault="000F2170" w:rsidP="00DA56FE">
            <w:pPr>
              <w:jc w:val="center"/>
              <w:cnfStyle w:val="100000000000" w:firstRow="1" w:lastRow="0" w:firstColumn="0" w:lastColumn="0" w:oddVBand="0" w:evenVBand="0" w:oddHBand="0" w:evenHBand="0" w:firstRowFirstColumn="0" w:firstRowLastColumn="0" w:lastRowFirstColumn="0" w:lastRowLastColumn="0"/>
              <w:rPr>
                <w:color w:val="auto"/>
                <w:sz w:val="20"/>
                <w:szCs w:val="20"/>
                <w:lang w:val="en-GB"/>
              </w:rPr>
            </w:pPr>
            <w:r w:rsidRPr="00DA56FE">
              <w:rPr>
                <w:color w:val="auto"/>
                <w:sz w:val="20"/>
                <w:szCs w:val="20"/>
                <w:lang w:val="en-GB"/>
              </w:rPr>
              <w:t>EFFECTS</w:t>
            </w:r>
          </w:p>
        </w:tc>
      </w:tr>
      <w:tr w:rsidR="000F2170" w:rsidRPr="008861A0" w:rsidTr="00DA56FE">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2018" w:type="dxa"/>
            <w:shd w:val="clear" w:color="auto" w:fill="C7BBA5" w:themeFill="accent3" w:themeFillTint="99"/>
            <w:vAlign w:val="center"/>
          </w:tcPr>
          <w:p w:rsidR="000F2170" w:rsidRPr="00DA56FE" w:rsidRDefault="000F2170" w:rsidP="00DA56FE">
            <w:pPr>
              <w:jc w:val="center"/>
              <w:rPr>
                <w:color w:val="auto"/>
                <w:sz w:val="20"/>
                <w:szCs w:val="20"/>
                <w:lang w:val="en-GB"/>
              </w:rPr>
            </w:pPr>
            <w:r w:rsidRPr="00DA56FE">
              <w:rPr>
                <w:color w:val="auto"/>
                <w:sz w:val="20"/>
                <w:szCs w:val="20"/>
                <w:lang w:val="en-GB"/>
              </w:rPr>
              <w:t>Central Subregion</w:t>
            </w:r>
          </w:p>
        </w:tc>
        <w:tc>
          <w:tcPr>
            <w:tcW w:w="7021" w:type="dxa"/>
            <w:tcBorders>
              <w:top w:val="single" w:sz="24" w:space="0" w:color="FFFFFF" w:themeColor="background1"/>
            </w:tcBorders>
            <w:shd w:val="clear" w:color="auto" w:fill="D9D1C3" w:themeFill="accent3" w:themeFillTint="66"/>
            <w:vAlign w:val="center"/>
          </w:tcPr>
          <w:p w:rsidR="000F2170" w:rsidRPr="00DA56FE" w:rsidRDefault="000F2170" w:rsidP="00DA56FE">
            <w:pPr>
              <w:spacing w:before="120" w:after="120" w:line="240" w:lineRule="auto"/>
              <w:ind w:left="109"/>
              <w:cnfStyle w:val="000000100000" w:firstRow="0" w:lastRow="0" w:firstColumn="0" w:lastColumn="0" w:oddVBand="0" w:evenVBand="0" w:oddHBand="1" w:evenHBand="0" w:firstRowFirstColumn="0" w:firstRowLastColumn="0" w:lastRowFirstColumn="0" w:lastRowLastColumn="0"/>
              <w:rPr>
                <w:sz w:val="20"/>
                <w:szCs w:val="20"/>
                <w:lang w:val="en-GB"/>
              </w:rPr>
            </w:pPr>
            <w:r w:rsidRPr="00DA56FE">
              <w:rPr>
                <w:sz w:val="20"/>
                <w:szCs w:val="20"/>
                <w:lang w:val="en-GB"/>
              </w:rPr>
              <w:t xml:space="preserve">Activities supported within the Programme include mainly those related to creating information society in the subregion. </w:t>
            </w:r>
            <w:r w:rsidRPr="00DA56FE">
              <w:rPr>
                <w:i/>
                <w:sz w:val="20"/>
                <w:szCs w:val="20"/>
                <w:lang w:val="en-GB"/>
              </w:rPr>
              <w:t>The</w:t>
            </w:r>
            <w:r w:rsidRPr="00DA56FE">
              <w:rPr>
                <w:sz w:val="20"/>
                <w:szCs w:val="20"/>
                <w:lang w:val="en-GB"/>
              </w:rPr>
              <w:t xml:space="preserve"> </w:t>
            </w:r>
            <w:r w:rsidRPr="00DA56FE">
              <w:rPr>
                <w:i/>
                <w:sz w:val="20"/>
                <w:szCs w:val="20"/>
                <w:lang w:val="en-GB"/>
              </w:rPr>
              <w:t>Silesia Card of Public Services</w:t>
            </w:r>
            <w:r w:rsidRPr="00DA56FE">
              <w:rPr>
                <w:sz w:val="20"/>
                <w:szCs w:val="20"/>
                <w:lang w:val="en-GB"/>
              </w:rPr>
              <w:t xml:space="preserve"> can be found among the most important but very difficult projects. Besides, the huge amount of funds was allocated to implementation of projects within protection of environment as well as networks of bicycle lanes – infrastructure of active tourism forms within the cities of Katowice Agglomeration as well as the Polish Jurassic Highland.</w:t>
            </w:r>
          </w:p>
        </w:tc>
      </w:tr>
      <w:tr w:rsidR="000F2170" w:rsidRPr="008861A0" w:rsidTr="00DA56FE">
        <w:trPr>
          <w:trHeight w:val="1390"/>
        </w:trPr>
        <w:tc>
          <w:tcPr>
            <w:cnfStyle w:val="001000000000" w:firstRow="0" w:lastRow="0" w:firstColumn="1" w:lastColumn="0" w:oddVBand="0" w:evenVBand="0" w:oddHBand="0" w:evenHBand="0" w:firstRowFirstColumn="0" w:firstRowLastColumn="0" w:lastRowFirstColumn="0" w:lastRowLastColumn="0"/>
            <w:tcW w:w="2018" w:type="dxa"/>
            <w:shd w:val="clear" w:color="auto" w:fill="C7BBA5" w:themeFill="accent3" w:themeFillTint="99"/>
            <w:vAlign w:val="center"/>
          </w:tcPr>
          <w:p w:rsidR="000F2170" w:rsidRPr="00DA56FE" w:rsidRDefault="000F2170" w:rsidP="00DA56FE">
            <w:pPr>
              <w:jc w:val="center"/>
              <w:rPr>
                <w:color w:val="auto"/>
                <w:sz w:val="20"/>
                <w:szCs w:val="20"/>
                <w:lang w:val="en-GB"/>
              </w:rPr>
            </w:pPr>
            <w:r w:rsidRPr="00DA56FE">
              <w:rPr>
                <w:color w:val="auto"/>
                <w:sz w:val="20"/>
                <w:szCs w:val="20"/>
                <w:lang w:val="en-GB"/>
              </w:rPr>
              <w:t>Southern Subregion</w:t>
            </w:r>
          </w:p>
        </w:tc>
        <w:tc>
          <w:tcPr>
            <w:tcW w:w="7021" w:type="dxa"/>
            <w:tcBorders>
              <w:top w:val="single" w:sz="8" w:space="0" w:color="FFFFFF" w:themeColor="background1"/>
              <w:bottom w:val="single" w:sz="8" w:space="0" w:color="FFFFFF" w:themeColor="background1"/>
            </w:tcBorders>
            <w:shd w:val="clear" w:color="auto" w:fill="D9D1C3" w:themeFill="accent3" w:themeFillTint="66"/>
            <w:vAlign w:val="center"/>
          </w:tcPr>
          <w:p w:rsidR="000F2170" w:rsidRPr="00DA56FE" w:rsidRDefault="000F2170" w:rsidP="00DA56FE">
            <w:pPr>
              <w:spacing w:before="120" w:after="120" w:line="240" w:lineRule="auto"/>
              <w:ind w:left="109"/>
              <w:cnfStyle w:val="000000000000" w:firstRow="0" w:lastRow="0" w:firstColumn="0" w:lastColumn="0" w:oddVBand="0" w:evenVBand="0" w:oddHBand="0" w:evenHBand="0" w:firstRowFirstColumn="0" w:firstRowLastColumn="0" w:lastRowFirstColumn="0" w:lastRowLastColumn="0"/>
              <w:rPr>
                <w:sz w:val="20"/>
                <w:szCs w:val="20"/>
                <w:lang w:val="en-GB"/>
              </w:rPr>
            </w:pPr>
            <w:r w:rsidRPr="00DA56FE">
              <w:rPr>
                <w:sz w:val="20"/>
                <w:szCs w:val="20"/>
                <w:lang w:val="en-GB"/>
              </w:rPr>
              <w:t>Funds were mainly spent in order to improve cohesion of local road infrastructure. The construction of a multifunctional sports-performance-exhibition arena by the city Bielsko-Biała is the largest project within the subregion. The essential effect of the Programme implementation is also revitalization of small towns’ areas.</w:t>
            </w:r>
          </w:p>
        </w:tc>
      </w:tr>
      <w:tr w:rsidR="000F2170" w:rsidRPr="008861A0" w:rsidTr="00DA56FE">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018" w:type="dxa"/>
            <w:shd w:val="clear" w:color="auto" w:fill="C7BBA5" w:themeFill="accent3" w:themeFillTint="99"/>
            <w:vAlign w:val="center"/>
          </w:tcPr>
          <w:p w:rsidR="000F2170" w:rsidRPr="00DA56FE" w:rsidRDefault="000F2170" w:rsidP="00DA56FE">
            <w:pPr>
              <w:jc w:val="center"/>
              <w:rPr>
                <w:color w:val="auto"/>
                <w:sz w:val="20"/>
                <w:szCs w:val="20"/>
                <w:lang w:val="en-GB"/>
              </w:rPr>
            </w:pPr>
            <w:r w:rsidRPr="00DA56FE">
              <w:rPr>
                <w:color w:val="auto"/>
                <w:sz w:val="20"/>
                <w:szCs w:val="20"/>
                <w:lang w:val="en-GB"/>
              </w:rPr>
              <w:t>Northern Subregion</w:t>
            </w:r>
          </w:p>
        </w:tc>
        <w:tc>
          <w:tcPr>
            <w:tcW w:w="7021" w:type="dxa"/>
            <w:shd w:val="clear" w:color="auto" w:fill="D9D1C3" w:themeFill="accent3" w:themeFillTint="66"/>
            <w:vAlign w:val="center"/>
          </w:tcPr>
          <w:p w:rsidR="000F2170" w:rsidRPr="00DA56FE" w:rsidRDefault="000F2170" w:rsidP="00DA56FE">
            <w:pPr>
              <w:spacing w:before="120" w:after="120" w:line="240" w:lineRule="auto"/>
              <w:ind w:left="109"/>
              <w:cnfStyle w:val="000000100000" w:firstRow="0" w:lastRow="0" w:firstColumn="0" w:lastColumn="0" w:oddVBand="0" w:evenVBand="0" w:oddHBand="1" w:evenHBand="0" w:firstRowFirstColumn="0" w:firstRowLastColumn="0" w:lastRowFirstColumn="0" w:lastRowLastColumn="0"/>
              <w:rPr>
                <w:sz w:val="20"/>
                <w:szCs w:val="20"/>
                <w:lang w:val="en-GB"/>
              </w:rPr>
            </w:pPr>
            <w:r w:rsidRPr="00DA56FE">
              <w:rPr>
                <w:sz w:val="20"/>
                <w:szCs w:val="20"/>
                <w:lang w:val="en-GB"/>
              </w:rPr>
              <w:t xml:space="preserve">Within this subregion transport projects as well as those related to development of information society and revitalization were of importance. </w:t>
            </w:r>
            <w:r w:rsidRPr="00DA56FE">
              <w:rPr>
                <w:i/>
                <w:sz w:val="20"/>
                <w:szCs w:val="20"/>
                <w:lang w:val="en-GB"/>
              </w:rPr>
              <w:t xml:space="preserve">The Construction of the multifunctional sports hall in Częstochowa </w:t>
            </w:r>
            <w:r w:rsidRPr="00DA56FE">
              <w:rPr>
                <w:sz w:val="20"/>
                <w:szCs w:val="20"/>
                <w:lang w:val="en-GB"/>
              </w:rPr>
              <w:t xml:space="preserve">is the biggest undertaking. </w:t>
            </w:r>
            <w:r w:rsidRPr="00DA56FE">
              <w:rPr>
                <w:i/>
                <w:sz w:val="20"/>
                <w:szCs w:val="20"/>
                <w:lang w:val="en-GB"/>
              </w:rPr>
              <w:t xml:space="preserve">The Development of Information Infrastructure for the Northern Subregion Częstochowa E-region </w:t>
            </w:r>
            <w:r w:rsidRPr="00DA56FE">
              <w:rPr>
                <w:sz w:val="20"/>
                <w:szCs w:val="20"/>
                <w:lang w:val="en-GB"/>
              </w:rPr>
              <w:t>is also a very significant project, which involves connecting almost all communes of the subregion via the broadband internet access.</w:t>
            </w:r>
          </w:p>
        </w:tc>
      </w:tr>
      <w:tr w:rsidR="000F2170" w:rsidRPr="008861A0" w:rsidTr="00DA56FE">
        <w:trPr>
          <w:trHeight w:val="1200"/>
        </w:trPr>
        <w:tc>
          <w:tcPr>
            <w:cnfStyle w:val="001000000000" w:firstRow="0" w:lastRow="0" w:firstColumn="1" w:lastColumn="0" w:oddVBand="0" w:evenVBand="0" w:oddHBand="0" w:evenHBand="0" w:firstRowFirstColumn="0" w:firstRowLastColumn="0" w:lastRowFirstColumn="0" w:lastRowLastColumn="0"/>
            <w:tcW w:w="2018" w:type="dxa"/>
            <w:tcBorders>
              <w:bottom w:val="single" w:sz="8" w:space="0" w:color="FFFFFF" w:themeColor="background1"/>
            </w:tcBorders>
            <w:shd w:val="clear" w:color="auto" w:fill="C7BBA5" w:themeFill="accent3" w:themeFillTint="99"/>
            <w:vAlign w:val="center"/>
          </w:tcPr>
          <w:p w:rsidR="000F2170" w:rsidRPr="00DA56FE" w:rsidRDefault="000F2170" w:rsidP="00DA56FE">
            <w:pPr>
              <w:jc w:val="center"/>
              <w:rPr>
                <w:color w:val="auto"/>
                <w:sz w:val="20"/>
                <w:szCs w:val="20"/>
                <w:lang w:val="en-GB"/>
              </w:rPr>
            </w:pPr>
            <w:r w:rsidRPr="00DA56FE">
              <w:rPr>
                <w:color w:val="auto"/>
                <w:sz w:val="20"/>
                <w:szCs w:val="20"/>
                <w:lang w:val="en-GB"/>
              </w:rPr>
              <w:t>Western Subregion</w:t>
            </w:r>
          </w:p>
        </w:tc>
        <w:tc>
          <w:tcPr>
            <w:tcW w:w="7021" w:type="dxa"/>
            <w:tcBorders>
              <w:top w:val="single" w:sz="8" w:space="0" w:color="FFFFFF" w:themeColor="background1"/>
              <w:bottom w:val="single" w:sz="8" w:space="0" w:color="FFFFFF" w:themeColor="background1"/>
            </w:tcBorders>
            <w:shd w:val="clear" w:color="auto" w:fill="D9D1C3" w:themeFill="accent3" w:themeFillTint="66"/>
            <w:vAlign w:val="center"/>
          </w:tcPr>
          <w:p w:rsidR="000F2170" w:rsidRPr="00DA56FE" w:rsidRDefault="000F2170" w:rsidP="00DA56FE">
            <w:pPr>
              <w:spacing w:before="120" w:after="120" w:line="240" w:lineRule="auto"/>
              <w:ind w:left="109"/>
              <w:cnfStyle w:val="000000000000" w:firstRow="0" w:lastRow="0" w:firstColumn="0" w:lastColumn="0" w:oddVBand="0" w:evenVBand="0" w:oddHBand="0" w:evenHBand="0" w:firstRowFirstColumn="0" w:firstRowLastColumn="0" w:lastRowFirstColumn="0" w:lastRowLastColumn="0"/>
              <w:rPr>
                <w:sz w:val="20"/>
                <w:szCs w:val="20"/>
                <w:lang w:val="en-GB"/>
              </w:rPr>
            </w:pPr>
            <w:r w:rsidRPr="00DA56FE">
              <w:rPr>
                <w:sz w:val="20"/>
                <w:szCs w:val="20"/>
                <w:lang w:val="en-GB"/>
              </w:rPr>
              <w:t xml:space="preserve">The implemented Project include mainly road infrastructure and revitalization. Besides, quite high amount of funds was allocated to development of information society. </w:t>
            </w:r>
            <w:r w:rsidRPr="00DA56FE">
              <w:rPr>
                <w:i/>
                <w:sz w:val="20"/>
                <w:szCs w:val="20"/>
                <w:lang w:val="en-GB"/>
              </w:rPr>
              <w:t>Creating the Heritage Centre of Moravian Gate at the Piast Castle in Racibórz</w:t>
            </w:r>
            <w:r w:rsidRPr="00DA56FE">
              <w:rPr>
                <w:sz w:val="20"/>
                <w:szCs w:val="20"/>
                <w:lang w:val="en-GB"/>
              </w:rPr>
              <w:t xml:space="preserve"> is the largest project here.</w:t>
            </w:r>
          </w:p>
        </w:tc>
      </w:tr>
    </w:tbl>
    <w:p w:rsidR="000F2170" w:rsidRPr="00E9099D" w:rsidRDefault="000F2170" w:rsidP="000F2170">
      <w:pPr>
        <w:rPr>
          <w:b/>
          <w:lang w:val="en-GB" w:eastAsia="ar-SA"/>
        </w:rPr>
      </w:pPr>
    </w:p>
    <w:p w:rsidR="000F2170" w:rsidRPr="00E9099D" w:rsidRDefault="000F2170" w:rsidP="000F2170">
      <w:pPr>
        <w:spacing w:after="120"/>
        <w:rPr>
          <w:b/>
          <w:szCs w:val="24"/>
          <w:lang w:val="en-GB" w:eastAsia="ar-SA"/>
        </w:rPr>
      </w:pPr>
      <w:r w:rsidRPr="00E9099D">
        <w:rPr>
          <w:b/>
          <w:szCs w:val="24"/>
          <w:lang w:val="en-GB" w:eastAsia="ar-SA"/>
        </w:rPr>
        <w:t>JESSICA Initiative</w:t>
      </w:r>
    </w:p>
    <w:p w:rsidR="000F2170" w:rsidRPr="00E9099D" w:rsidRDefault="000F2170" w:rsidP="00C23A35">
      <w:pPr>
        <w:shd w:val="clear" w:color="auto" w:fill="FFFFFF"/>
        <w:jc w:val="both"/>
        <w:rPr>
          <w:szCs w:val="24"/>
          <w:lang w:val="en-GB"/>
        </w:rPr>
      </w:pPr>
      <w:r w:rsidRPr="00E9099D">
        <w:rPr>
          <w:szCs w:val="24"/>
          <w:lang w:val="en-GB"/>
        </w:rPr>
        <w:t>During the reporting period</w:t>
      </w:r>
      <w:r>
        <w:rPr>
          <w:szCs w:val="24"/>
          <w:lang w:val="en-GB"/>
        </w:rPr>
        <w:t>,</w:t>
      </w:r>
      <w:r w:rsidRPr="00E9099D">
        <w:rPr>
          <w:szCs w:val="24"/>
          <w:lang w:val="en-GB"/>
        </w:rPr>
        <w:t xml:space="preserve"> the European Investment Bank as the JESSICA Trust Fund Manager for the Silesia Voivodeship (JTFSV) undertook the following actions:</w:t>
      </w:r>
    </w:p>
    <w:p w:rsidR="00C23A35" w:rsidRDefault="000F2170" w:rsidP="00BA2FE7">
      <w:pPr>
        <w:keepNext/>
        <w:numPr>
          <w:ilvl w:val="0"/>
          <w:numId w:val="115"/>
        </w:numPr>
        <w:spacing w:after="0"/>
        <w:jc w:val="both"/>
        <w:rPr>
          <w:szCs w:val="24"/>
          <w:lang w:val="en-GB"/>
        </w:rPr>
      </w:pPr>
      <w:r w:rsidRPr="00E9099D">
        <w:rPr>
          <w:szCs w:val="24"/>
          <w:lang w:val="en-GB"/>
        </w:rPr>
        <w:t xml:space="preserve">Monitoring and supervision over advisory works performed by the business consultant (TPA Horwath EU Sp. z o.o.), who after fulfilling the task prepared </w:t>
      </w:r>
      <w:r w:rsidRPr="00E9099D">
        <w:rPr>
          <w:i/>
          <w:szCs w:val="24"/>
          <w:lang w:val="en-GB"/>
        </w:rPr>
        <w:t>the Final Report on Activities undertaken within the Business Advisory services for the JESSICA Trust Fund for the Silesia Voivodeship</w:t>
      </w:r>
      <w:r w:rsidRPr="00E9099D">
        <w:rPr>
          <w:szCs w:val="24"/>
          <w:lang w:val="en-GB"/>
        </w:rPr>
        <w:t xml:space="preserve">, which sums up all undertaken activities. </w:t>
      </w:r>
    </w:p>
    <w:p w:rsidR="00C23A35" w:rsidRDefault="000F2170" w:rsidP="00BA2FE7">
      <w:pPr>
        <w:keepNext/>
        <w:numPr>
          <w:ilvl w:val="0"/>
          <w:numId w:val="115"/>
        </w:numPr>
        <w:spacing w:after="0"/>
        <w:jc w:val="both"/>
        <w:rPr>
          <w:szCs w:val="24"/>
          <w:lang w:val="en-GB"/>
        </w:rPr>
      </w:pPr>
      <w:r w:rsidRPr="00C23A35">
        <w:rPr>
          <w:szCs w:val="24"/>
          <w:lang w:val="en-GB"/>
        </w:rPr>
        <w:t xml:space="preserve">Preparation and participation in the meetings of the Investment Council of the JESSICA Trust Fund for the Silesia Voivodeship. </w:t>
      </w:r>
    </w:p>
    <w:p w:rsidR="000F2170" w:rsidRPr="00C23A35" w:rsidRDefault="000F2170" w:rsidP="00BA2FE7">
      <w:pPr>
        <w:keepNext/>
        <w:numPr>
          <w:ilvl w:val="0"/>
          <w:numId w:val="115"/>
        </w:numPr>
        <w:spacing w:after="0"/>
        <w:jc w:val="both"/>
        <w:rPr>
          <w:szCs w:val="24"/>
          <w:lang w:val="en-GB"/>
        </w:rPr>
      </w:pPr>
      <w:r w:rsidRPr="00C23A35">
        <w:rPr>
          <w:szCs w:val="24"/>
          <w:lang w:val="en-GB"/>
        </w:rPr>
        <w:t xml:space="preserve">Preparation, announcing and running the </w:t>
      </w:r>
      <w:r w:rsidRPr="00C23A35">
        <w:rPr>
          <w:i/>
          <w:szCs w:val="24"/>
          <w:lang w:val="en-GB"/>
        </w:rPr>
        <w:t>Call for Expression of Interest</w:t>
      </w:r>
      <w:r w:rsidRPr="00C23A35">
        <w:rPr>
          <w:szCs w:val="24"/>
          <w:lang w:val="en-GB"/>
        </w:rPr>
        <w:t xml:space="preserve"> procedure aimed at selection of FROMs (Urban Development Funds) as well as assessment of applications in form of business plans submitted by candidates on the second stage of the </w:t>
      </w:r>
      <w:r w:rsidRPr="00C23A35">
        <w:rPr>
          <w:i/>
          <w:szCs w:val="24"/>
          <w:lang w:val="en-GB"/>
        </w:rPr>
        <w:t xml:space="preserve">Call for Expression of Interest </w:t>
      </w:r>
      <w:r w:rsidRPr="00C23A35">
        <w:rPr>
          <w:szCs w:val="24"/>
          <w:lang w:val="en-GB"/>
        </w:rPr>
        <w:t>procedure and preparation of recommendations in terms of FROMs selection for the Investment Council. The list of institutions/candidates which expressed their interest is as follows:</w:t>
      </w:r>
    </w:p>
    <w:p w:rsidR="000F2170" w:rsidRPr="00E9099D" w:rsidRDefault="000F2170" w:rsidP="00BA2FE7">
      <w:pPr>
        <w:pStyle w:val="Default"/>
        <w:numPr>
          <w:ilvl w:val="0"/>
          <w:numId w:val="45"/>
        </w:numPr>
        <w:suppressAutoHyphens/>
        <w:autoSpaceDE/>
        <w:autoSpaceDN/>
        <w:adjustRightInd/>
        <w:spacing w:line="276" w:lineRule="auto"/>
        <w:ind w:left="1701"/>
        <w:jc w:val="both"/>
        <w:rPr>
          <w:lang w:val="en-GB"/>
        </w:rPr>
      </w:pPr>
      <w:r w:rsidRPr="00E9099D">
        <w:rPr>
          <w:lang w:val="en-GB"/>
        </w:rPr>
        <w:t>AP Group sp. z o.o.</w:t>
      </w:r>
    </w:p>
    <w:p w:rsidR="000F2170" w:rsidRPr="00B43A5E" w:rsidRDefault="000F2170" w:rsidP="00BA2FE7">
      <w:pPr>
        <w:pStyle w:val="Default"/>
        <w:numPr>
          <w:ilvl w:val="0"/>
          <w:numId w:val="45"/>
        </w:numPr>
        <w:suppressAutoHyphens/>
        <w:autoSpaceDE/>
        <w:autoSpaceDN/>
        <w:adjustRightInd/>
        <w:spacing w:line="276" w:lineRule="auto"/>
        <w:ind w:left="1701"/>
        <w:jc w:val="both"/>
      </w:pPr>
      <w:r w:rsidRPr="00B43A5E">
        <w:t>Bank Handlowy w Warszawie S.A.</w:t>
      </w:r>
    </w:p>
    <w:p w:rsidR="000F2170" w:rsidRPr="00B43A5E" w:rsidRDefault="000F2170" w:rsidP="00BA2FE7">
      <w:pPr>
        <w:pStyle w:val="Default"/>
        <w:numPr>
          <w:ilvl w:val="0"/>
          <w:numId w:val="45"/>
        </w:numPr>
        <w:suppressAutoHyphens/>
        <w:autoSpaceDE/>
        <w:autoSpaceDN/>
        <w:adjustRightInd/>
        <w:spacing w:line="276" w:lineRule="auto"/>
        <w:ind w:left="1701"/>
        <w:jc w:val="both"/>
      </w:pPr>
      <w:r w:rsidRPr="00B43A5E">
        <w:t>Bank Zachodni WBK S.A. (in consortium with Fundusz Górnośląski)</w:t>
      </w:r>
    </w:p>
    <w:p w:rsidR="000F2170" w:rsidRPr="00E9099D" w:rsidRDefault="000F2170" w:rsidP="00BA2FE7">
      <w:pPr>
        <w:pStyle w:val="Default"/>
        <w:numPr>
          <w:ilvl w:val="0"/>
          <w:numId w:val="45"/>
        </w:numPr>
        <w:suppressAutoHyphens/>
        <w:autoSpaceDE/>
        <w:autoSpaceDN/>
        <w:adjustRightInd/>
        <w:spacing w:line="276" w:lineRule="auto"/>
        <w:ind w:left="1701"/>
        <w:jc w:val="both"/>
        <w:rPr>
          <w:lang w:val="en-GB"/>
        </w:rPr>
      </w:pPr>
      <w:r w:rsidRPr="00E9099D">
        <w:rPr>
          <w:lang w:val="en-GB"/>
        </w:rPr>
        <w:t>Bank Gospodarstwa Krajowego</w:t>
      </w:r>
    </w:p>
    <w:p w:rsidR="000F2170" w:rsidRPr="00B43A5E" w:rsidRDefault="000F2170" w:rsidP="00BA2FE7">
      <w:pPr>
        <w:pStyle w:val="Default"/>
        <w:numPr>
          <w:ilvl w:val="0"/>
          <w:numId w:val="45"/>
        </w:numPr>
        <w:suppressAutoHyphens/>
        <w:autoSpaceDE/>
        <w:autoSpaceDN/>
        <w:adjustRightInd/>
        <w:spacing w:line="276" w:lineRule="auto"/>
        <w:ind w:left="1701"/>
        <w:jc w:val="both"/>
      </w:pPr>
      <w:r w:rsidRPr="00B43A5E">
        <w:t>Skarbiec Towarzystwa Funduszy Inwestycyjnych S.A.</w:t>
      </w:r>
    </w:p>
    <w:p w:rsidR="000F2170" w:rsidRPr="00E9099D" w:rsidRDefault="000F2170" w:rsidP="00BA2FE7">
      <w:pPr>
        <w:keepNext/>
        <w:numPr>
          <w:ilvl w:val="0"/>
          <w:numId w:val="45"/>
        </w:numPr>
        <w:tabs>
          <w:tab w:val="left" w:pos="1701"/>
        </w:tabs>
        <w:spacing w:after="0"/>
        <w:ind w:left="1701"/>
        <w:jc w:val="both"/>
        <w:rPr>
          <w:szCs w:val="24"/>
          <w:lang w:val="en-GB"/>
        </w:rPr>
      </w:pPr>
      <w:r w:rsidRPr="00E9099D">
        <w:rPr>
          <w:szCs w:val="24"/>
          <w:lang w:val="en-GB"/>
        </w:rPr>
        <w:t>Bank Ochrony Środowiska</w:t>
      </w:r>
    </w:p>
    <w:p w:rsidR="005F022C" w:rsidRDefault="000F2170" w:rsidP="00C23A35">
      <w:pPr>
        <w:pStyle w:val="Default"/>
        <w:tabs>
          <w:tab w:val="left" w:pos="567"/>
        </w:tabs>
        <w:spacing w:line="276" w:lineRule="auto"/>
        <w:ind w:left="567"/>
        <w:jc w:val="both"/>
        <w:rPr>
          <w:lang w:val="en-GB"/>
        </w:rPr>
      </w:pPr>
      <w:r w:rsidRPr="00E9099D">
        <w:rPr>
          <w:lang w:val="en-GB"/>
        </w:rPr>
        <w:t xml:space="preserve">All above mentioned institutions were assessed positively during the “first stage” and were called for “Tenders” – “second stage”. Bank Ochrony Środowiska was assessed the best on the second stage and was selected by </w:t>
      </w:r>
      <w:r w:rsidR="005F022C">
        <w:rPr>
          <w:lang w:val="en-GB"/>
        </w:rPr>
        <w:t>the Investment Council as FROM.</w:t>
      </w:r>
    </w:p>
    <w:p w:rsidR="00DA56FE" w:rsidRDefault="000F2170" w:rsidP="00BA2FE7">
      <w:pPr>
        <w:pStyle w:val="Default"/>
        <w:numPr>
          <w:ilvl w:val="0"/>
          <w:numId w:val="116"/>
        </w:numPr>
        <w:tabs>
          <w:tab w:val="left" w:pos="567"/>
        </w:tabs>
        <w:spacing w:line="276" w:lineRule="auto"/>
        <w:ind w:left="567"/>
        <w:jc w:val="both"/>
        <w:rPr>
          <w:lang w:val="en-GB"/>
        </w:rPr>
      </w:pPr>
      <w:r w:rsidRPr="00E9099D">
        <w:rPr>
          <w:lang w:val="en-GB"/>
        </w:rPr>
        <w:t>Negotiations and signing on October 24</w:t>
      </w:r>
      <w:r w:rsidRPr="00E9099D">
        <w:rPr>
          <w:vertAlign w:val="superscript"/>
          <w:lang w:val="en-GB"/>
        </w:rPr>
        <w:t>th</w:t>
      </w:r>
      <w:r w:rsidRPr="00E9099D">
        <w:rPr>
          <w:lang w:val="en-GB"/>
        </w:rPr>
        <w:t xml:space="preserve">, 2011 the Agreement on Funds Depositing and Managing (“Operational Agreement”) with Bank Ochrony Środowiska S.A. (“BOŚ”) – the entity approved by the Investment Council as FROM managing for the Silesia Voivodeship.  </w:t>
      </w:r>
    </w:p>
    <w:p w:rsidR="00DA56FE" w:rsidRDefault="000F2170" w:rsidP="00BA2FE7">
      <w:pPr>
        <w:pStyle w:val="Default"/>
        <w:numPr>
          <w:ilvl w:val="0"/>
          <w:numId w:val="116"/>
        </w:numPr>
        <w:tabs>
          <w:tab w:val="left" w:pos="567"/>
        </w:tabs>
        <w:spacing w:line="276" w:lineRule="auto"/>
        <w:ind w:left="567"/>
        <w:jc w:val="both"/>
        <w:rPr>
          <w:lang w:val="en-GB"/>
        </w:rPr>
      </w:pPr>
      <w:r w:rsidRPr="00DA56FE">
        <w:rPr>
          <w:lang w:val="en-GB"/>
        </w:rPr>
        <w:t>On December 1</w:t>
      </w:r>
      <w:r w:rsidRPr="00DA56FE">
        <w:rPr>
          <w:vertAlign w:val="superscript"/>
          <w:lang w:val="en-GB"/>
        </w:rPr>
        <w:t>st</w:t>
      </w:r>
      <w:r w:rsidRPr="00DA56FE">
        <w:rPr>
          <w:lang w:val="en-GB"/>
        </w:rPr>
        <w:t>, 2011 Bank Ochrony Środowiska announced call for applications for granting JESSICA loan to implement the Urban Projects within the ROP SV. Applications for granting JESSICA loan have been accepted since December 5</w:t>
      </w:r>
      <w:r w:rsidRPr="00DA56FE">
        <w:rPr>
          <w:vertAlign w:val="superscript"/>
          <w:lang w:val="en-GB"/>
        </w:rPr>
        <w:t>th</w:t>
      </w:r>
      <w:r w:rsidRPr="00DA56FE">
        <w:rPr>
          <w:lang w:val="en-GB"/>
        </w:rPr>
        <w:t xml:space="preserve">, 2011 till the depletion of allocation.  </w:t>
      </w:r>
    </w:p>
    <w:p w:rsidR="00DA56FE" w:rsidRDefault="000F2170" w:rsidP="00BA2FE7">
      <w:pPr>
        <w:pStyle w:val="Default"/>
        <w:numPr>
          <w:ilvl w:val="0"/>
          <w:numId w:val="116"/>
        </w:numPr>
        <w:tabs>
          <w:tab w:val="left" w:pos="567"/>
        </w:tabs>
        <w:spacing w:line="276" w:lineRule="auto"/>
        <w:ind w:left="567"/>
        <w:jc w:val="both"/>
        <w:rPr>
          <w:lang w:val="en-GB"/>
        </w:rPr>
      </w:pPr>
      <w:r w:rsidRPr="00DA56FE">
        <w:rPr>
          <w:lang w:val="en-GB"/>
        </w:rPr>
        <w:t>Payment of funds for FROM on December 12</w:t>
      </w:r>
      <w:r w:rsidRPr="00DA56FE">
        <w:rPr>
          <w:vertAlign w:val="superscript"/>
          <w:lang w:val="en-GB"/>
        </w:rPr>
        <w:t>th</w:t>
      </w:r>
      <w:r w:rsidRPr="00DA56FE">
        <w:rPr>
          <w:lang w:val="en-GB"/>
        </w:rPr>
        <w:t>, 2011 based on the advance payment application dated November 24</w:t>
      </w:r>
      <w:r w:rsidRPr="00DA56FE">
        <w:rPr>
          <w:vertAlign w:val="superscript"/>
          <w:lang w:val="en-GB"/>
        </w:rPr>
        <w:t>th</w:t>
      </w:r>
      <w:r w:rsidRPr="00DA56FE">
        <w:rPr>
          <w:lang w:val="en-GB"/>
        </w:rPr>
        <w:t xml:space="preserve">, 2011.  </w:t>
      </w:r>
    </w:p>
    <w:p w:rsidR="00DA56FE" w:rsidRDefault="000F2170" w:rsidP="00BA2FE7">
      <w:pPr>
        <w:pStyle w:val="Default"/>
        <w:numPr>
          <w:ilvl w:val="0"/>
          <w:numId w:val="116"/>
        </w:numPr>
        <w:tabs>
          <w:tab w:val="left" w:pos="567"/>
        </w:tabs>
        <w:spacing w:line="276" w:lineRule="auto"/>
        <w:ind w:left="567"/>
        <w:jc w:val="both"/>
        <w:rPr>
          <w:lang w:val="en-GB"/>
        </w:rPr>
      </w:pPr>
      <w:r w:rsidRPr="00DA56FE">
        <w:rPr>
          <w:lang w:val="en-GB"/>
        </w:rPr>
        <w:t xml:space="preserve">Organisation of information and promotion events, which were performed in close cooperation with the Managing Authority of the ROP SV and the Consultant. Then, after completion of the </w:t>
      </w:r>
      <w:r w:rsidRPr="00DA56FE">
        <w:rPr>
          <w:i/>
          <w:lang w:val="en-GB"/>
        </w:rPr>
        <w:t>Call for Expression of Interest</w:t>
      </w:r>
      <w:r w:rsidRPr="00DA56FE">
        <w:rPr>
          <w:lang w:val="en-GB"/>
        </w:rPr>
        <w:t xml:space="preserve"> procedure and signing the </w:t>
      </w:r>
      <w:r w:rsidRPr="00DA56FE">
        <w:rPr>
          <w:i/>
          <w:lang w:val="en-GB"/>
        </w:rPr>
        <w:t>Operational Agreement</w:t>
      </w:r>
      <w:r w:rsidRPr="00DA56FE">
        <w:rPr>
          <w:lang w:val="en-GB"/>
        </w:rPr>
        <w:t xml:space="preserve">, some activities within information and promotion were taken over by the selected FROM, i.e. BOŚ. </w:t>
      </w:r>
    </w:p>
    <w:p w:rsidR="000F2170" w:rsidRPr="00DA56FE" w:rsidRDefault="000F2170" w:rsidP="00BA2FE7">
      <w:pPr>
        <w:pStyle w:val="Default"/>
        <w:numPr>
          <w:ilvl w:val="0"/>
          <w:numId w:val="116"/>
        </w:numPr>
        <w:tabs>
          <w:tab w:val="left" w:pos="567"/>
        </w:tabs>
        <w:spacing w:after="120" w:line="276" w:lineRule="auto"/>
        <w:ind w:left="567" w:hanging="357"/>
        <w:jc w:val="both"/>
        <w:rPr>
          <w:lang w:val="en-GB"/>
        </w:rPr>
      </w:pPr>
      <w:r w:rsidRPr="00DA56FE">
        <w:rPr>
          <w:lang w:val="en-GB"/>
        </w:rPr>
        <w:t>Conducting the external audit of JTFSV (</w:t>
      </w:r>
      <w:r w:rsidRPr="00DA56FE">
        <w:rPr>
          <w:i/>
          <w:lang w:val="en-GB"/>
        </w:rPr>
        <w:t>Financial Statement of the JESSICA Trust Fund for the Silesia Voivodeship on December 31</w:t>
      </w:r>
      <w:r w:rsidRPr="00DA56FE">
        <w:rPr>
          <w:i/>
          <w:vertAlign w:val="superscript"/>
          <w:lang w:val="en-GB"/>
        </w:rPr>
        <w:t>st</w:t>
      </w:r>
      <w:r w:rsidRPr="00DA56FE">
        <w:rPr>
          <w:i/>
          <w:lang w:val="en-GB"/>
        </w:rPr>
        <w:t xml:space="preserve">, 2010. </w:t>
      </w:r>
      <w:r w:rsidRPr="00DA56FE">
        <w:rPr>
          <w:lang w:val="en-GB"/>
        </w:rPr>
        <w:t xml:space="preserve">(“Financial Statement”) was audited by an independent expert auditor (KPMG). </w:t>
      </w:r>
    </w:p>
    <w:p w:rsidR="000F2170" w:rsidRPr="00E9099D" w:rsidRDefault="000F2170" w:rsidP="000F2170">
      <w:pPr>
        <w:rPr>
          <w:szCs w:val="24"/>
          <w:lang w:val="en-GB"/>
        </w:rPr>
      </w:pPr>
      <w:r w:rsidRPr="00E9099D">
        <w:rPr>
          <w:szCs w:val="24"/>
          <w:lang w:val="en-GB"/>
        </w:rPr>
        <w:t xml:space="preserve">According to the </w:t>
      </w:r>
      <w:r w:rsidRPr="00E9099D">
        <w:rPr>
          <w:i/>
          <w:szCs w:val="24"/>
          <w:lang w:val="en-GB"/>
        </w:rPr>
        <w:t xml:space="preserve">Investment Strategy </w:t>
      </w:r>
      <w:r w:rsidRPr="00E9099D">
        <w:rPr>
          <w:szCs w:val="24"/>
          <w:lang w:val="en-GB"/>
        </w:rPr>
        <w:t xml:space="preserve">Urban Projects supported from the JESSICA Initiative in the Silesia Voivodeship should contribute to achievement of proper ratios of the ROP SV. However, ratios do not find application on the stage of JESSICA Initiative implementation, which this </w:t>
      </w:r>
      <w:r w:rsidRPr="00E9099D">
        <w:rPr>
          <w:i/>
          <w:szCs w:val="24"/>
          <w:lang w:val="en-GB"/>
        </w:rPr>
        <w:t>Report</w:t>
      </w:r>
      <w:r w:rsidRPr="00E9099D">
        <w:rPr>
          <w:szCs w:val="24"/>
          <w:lang w:val="en-GB"/>
        </w:rPr>
        <w:t xml:space="preserve"> concerns because the selected FROM in the Silesia Voivodeship has not started investments in Urban Projects yet. </w:t>
      </w:r>
    </w:p>
    <w:p w:rsidR="000F2170" w:rsidRPr="00E9099D" w:rsidRDefault="000F2170" w:rsidP="000F2170">
      <w:pPr>
        <w:rPr>
          <w:szCs w:val="24"/>
          <w:lang w:val="en-GB"/>
        </w:rPr>
      </w:pPr>
      <w:r w:rsidRPr="00E9099D">
        <w:rPr>
          <w:szCs w:val="24"/>
          <w:lang w:val="en-GB"/>
        </w:rPr>
        <w:t>Before the end of the reporting period any loan within the JESSICA Initiative was granted.</w:t>
      </w:r>
    </w:p>
    <w:p w:rsidR="000F2170" w:rsidRPr="00E9099D" w:rsidRDefault="000F2170" w:rsidP="000F2170">
      <w:pPr>
        <w:autoSpaceDE w:val="0"/>
        <w:autoSpaceDN w:val="0"/>
        <w:adjustRightInd w:val="0"/>
        <w:spacing w:after="240"/>
        <w:rPr>
          <w:rFonts w:eastAsiaTheme="minorHAnsi"/>
          <w:b/>
          <w:bCs/>
          <w:color w:val="000000"/>
          <w:szCs w:val="24"/>
          <w:lang w:val="en-GB"/>
        </w:rPr>
      </w:pPr>
      <w:r w:rsidRPr="00E9099D">
        <w:rPr>
          <w:rFonts w:eastAsiaTheme="minorHAnsi"/>
          <w:b/>
          <w:bCs/>
          <w:color w:val="000000"/>
          <w:szCs w:val="24"/>
          <w:lang w:val="en-GB"/>
        </w:rPr>
        <w:t xml:space="preserve">The capitalisation of external sources of entrepreneurship funding </w:t>
      </w:r>
    </w:p>
    <w:p w:rsidR="000F2170" w:rsidRPr="00E9099D" w:rsidRDefault="000F2170" w:rsidP="00C23A35">
      <w:pPr>
        <w:autoSpaceDE w:val="0"/>
        <w:autoSpaceDN w:val="0"/>
        <w:adjustRightInd w:val="0"/>
        <w:jc w:val="both"/>
        <w:rPr>
          <w:rFonts w:eastAsiaTheme="minorHAnsi"/>
          <w:color w:val="000000"/>
          <w:szCs w:val="24"/>
          <w:lang w:val="en-GB"/>
        </w:rPr>
      </w:pPr>
      <w:r w:rsidRPr="00E9099D">
        <w:rPr>
          <w:rFonts w:eastAsiaTheme="minorHAnsi"/>
          <w:color w:val="000000"/>
          <w:szCs w:val="24"/>
          <w:lang w:val="en-GB"/>
        </w:rPr>
        <w:t xml:space="preserve">The MA of the ROP SV, under </w:t>
      </w:r>
      <w:r w:rsidRPr="00E9099D">
        <w:rPr>
          <w:rFonts w:eastAsiaTheme="minorHAnsi"/>
          <w:i/>
          <w:iCs/>
          <w:color w:val="000000"/>
          <w:szCs w:val="24"/>
          <w:lang w:val="en-GB"/>
        </w:rPr>
        <w:t>Priority I: Research and Business Development (R &amp; D), Innovation and Entrepreneurship</w:t>
      </w:r>
      <w:r w:rsidRPr="00E9099D">
        <w:rPr>
          <w:rFonts w:eastAsiaTheme="minorHAnsi"/>
          <w:color w:val="000000"/>
          <w:szCs w:val="24"/>
          <w:lang w:val="en-GB"/>
        </w:rPr>
        <w:t>, implements sub-measure 1.1.1 project type 7 aiming at facilitating access to external sources of SMEs financing for the enterprises which were established in the Silesia Voivodeship or those that have their investments in the Silesia Voivodeship, through the recapitalisation of local, regional and supra-regional loan funds, micro-loans and guarantee funds. This instrument provides additional financial support to entrepreneurs (excluding EU subsidies), who were established in the Silesia Voivo</w:t>
      </w:r>
      <w:r>
        <w:rPr>
          <w:rFonts w:eastAsiaTheme="minorHAnsi"/>
          <w:color w:val="000000"/>
          <w:szCs w:val="24"/>
          <w:lang w:val="en-GB"/>
        </w:rPr>
        <w:t>d</w:t>
      </w:r>
      <w:r w:rsidRPr="00E9099D">
        <w:rPr>
          <w:rFonts w:eastAsiaTheme="minorHAnsi"/>
          <w:color w:val="000000"/>
          <w:szCs w:val="24"/>
          <w:lang w:val="en-GB"/>
        </w:rPr>
        <w:t>eship, or have investments in the region. Within the ROP SV</w:t>
      </w:r>
      <w:r>
        <w:rPr>
          <w:rFonts w:eastAsiaTheme="minorHAnsi"/>
          <w:color w:val="000000"/>
          <w:szCs w:val="24"/>
          <w:lang w:val="en-GB"/>
        </w:rPr>
        <w:t>,</w:t>
      </w:r>
      <w:r w:rsidRPr="00E9099D">
        <w:rPr>
          <w:rFonts w:eastAsiaTheme="minorHAnsi"/>
          <w:color w:val="000000"/>
          <w:szCs w:val="24"/>
          <w:lang w:val="en-GB"/>
        </w:rPr>
        <w:t xml:space="preserve"> 3 loan funds and 1 guarantee fund were created. The loans should be allocated to finance investment and capital undertakings implemented by SMEs from the area of the Silesia Voivodeship. The guarantees are granted to SMEs from the area of the Silesia Voivodeship in order to facilitate their access to credits and loans through additional security for the repayment of these obligations. </w:t>
      </w:r>
    </w:p>
    <w:p w:rsidR="000F2170" w:rsidRPr="00E9099D" w:rsidRDefault="000F2170" w:rsidP="00C23A35">
      <w:pPr>
        <w:autoSpaceDE w:val="0"/>
        <w:autoSpaceDN w:val="0"/>
        <w:adjustRightInd w:val="0"/>
        <w:spacing w:after="240"/>
        <w:jc w:val="both"/>
        <w:rPr>
          <w:rFonts w:eastAsiaTheme="minorHAnsi"/>
          <w:color w:val="000000"/>
          <w:szCs w:val="24"/>
          <w:lang w:val="en-GB"/>
        </w:rPr>
      </w:pPr>
      <w:r w:rsidRPr="00E9099D">
        <w:rPr>
          <w:rFonts w:eastAsiaTheme="minorHAnsi"/>
          <w:color w:val="000000"/>
          <w:szCs w:val="24"/>
          <w:lang w:val="en-GB"/>
        </w:rPr>
        <w:t xml:space="preserve">The structure of resources within the above mentioned funds is as follows: 71% - loan funds, 29% - guarantee fund. Entities implementing FI are capital companies with the major public contribution (they are no trust funds). </w:t>
      </w:r>
    </w:p>
    <w:p w:rsidR="000F2170" w:rsidRPr="00E9099D" w:rsidRDefault="000F2170" w:rsidP="000F2170">
      <w:pPr>
        <w:pStyle w:val="Legenda"/>
        <w:rPr>
          <w:rFonts w:eastAsia="+mn-ea"/>
          <w:color w:val="auto"/>
          <w:sz w:val="20"/>
          <w:szCs w:val="20"/>
          <w:lang w:val="en-GB"/>
        </w:rPr>
      </w:pPr>
      <w:bookmarkStart w:id="757" w:name="_Toc324855868"/>
      <w:r w:rsidRPr="00E9099D">
        <w:rPr>
          <w:color w:val="auto"/>
          <w:sz w:val="20"/>
          <w:szCs w:val="20"/>
          <w:lang w:val="en-GB"/>
        </w:rPr>
        <w:t xml:space="preserve">Table 2 </w:t>
      </w:r>
      <w:r w:rsidRPr="00E9099D">
        <w:rPr>
          <w:b w:val="0"/>
          <w:i/>
          <w:color w:val="auto"/>
          <w:sz w:val="20"/>
          <w:szCs w:val="20"/>
          <w:lang w:val="en-GB"/>
        </w:rPr>
        <w:t>List of granted guarantees and paid loans</w:t>
      </w:r>
      <w:bookmarkEnd w:id="757"/>
    </w:p>
    <w:tbl>
      <w:tblPr>
        <w:tblStyle w:val="redniasiatka1akcent3"/>
        <w:tblW w:w="10632" w:type="dxa"/>
        <w:tblInd w:w="-459" w:type="dxa"/>
        <w:shd w:val="clear" w:color="auto" w:fill="C7BBA5" w:themeFill="accent3" w:themeFillTint="99"/>
        <w:tblLayout w:type="fixed"/>
        <w:tblLook w:val="04A0" w:firstRow="1" w:lastRow="0" w:firstColumn="1" w:lastColumn="0" w:noHBand="0" w:noVBand="1"/>
      </w:tblPr>
      <w:tblGrid>
        <w:gridCol w:w="1416"/>
        <w:gridCol w:w="1703"/>
        <w:gridCol w:w="1417"/>
        <w:gridCol w:w="1276"/>
        <w:gridCol w:w="1276"/>
        <w:gridCol w:w="1559"/>
        <w:gridCol w:w="1985"/>
      </w:tblGrid>
      <w:tr w:rsidR="000F2170" w:rsidRPr="00E9099D" w:rsidTr="000F2170">
        <w:trPr>
          <w:cnfStyle w:val="100000000000" w:firstRow="1" w:lastRow="0" w:firstColumn="0" w:lastColumn="0" w:oddVBand="0" w:evenVBand="0" w:oddHBand="0"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1416" w:type="dxa"/>
            <w:shd w:val="clear" w:color="auto" w:fill="C7BBA5" w:themeFill="accent3" w:themeFillTint="99"/>
            <w:vAlign w:val="center"/>
          </w:tcPr>
          <w:p w:rsidR="000F2170" w:rsidRPr="00E9099D" w:rsidRDefault="000F2170" w:rsidP="000F2170">
            <w:pPr>
              <w:pStyle w:val="NormalnyWeb"/>
              <w:jc w:val="center"/>
              <w:rPr>
                <w:sz w:val="36"/>
                <w:szCs w:val="36"/>
                <w:lang w:val="en-GB"/>
              </w:rPr>
            </w:pPr>
            <w:r w:rsidRPr="00E9099D">
              <w:rPr>
                <w:rFonts w:eastAsia="Calibri"/>
                <w:bCs w:val="0"/>
                <w:kern w:val="24"/>
                <w:sz w:val="20"/>
                <w:szCs w:val="20"/>
                <w:lang w:val="en-GB"/>
              </w:rPr>
              <w:t>FI type</w:t>
            </w:r>
          </w:p>
        </w:tc>
        <w:tc>
          <w:tcPr>
            <w:tcW w:w="1703" w:type="dxa"/>
            <w:tcBorders>
              <w:bottom w:val="single" w:sz="8" w:space="0" w:color="B9AA8F" w:themeColor="accent3" w:themeTint="BF"/>
            </w:tcBorders>
            <w:shd w:val="clear" w:color="auto" w:fill="C7BBA5" w:themeFill="accent3" w:themeFillTint="99"/>
            <w:vAlign w:val="center"/>
          </w:tcPr>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 xml:space="preserve">Total project amount </w:t>
            </w:r>
            <w:r w:rsidRPr="00E9099D">
              <w:rPr>
                <w:rFonts w:eastAsia="Calibri"/>
                <w:bCs w:val="0"/>
                <w:kern w:val="24"/>
                <w:sz w:val="20"/>
                <w:szCs w:val="20"/>
                <w:lang w:val="en-GB"/>
              </w:rPr>
              <w:br/>
              <w:t>(subsidy and own contribution)</w:t>
            </w:r>
          </w:p>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[EUR]</w:t>
            </w:r>
          </w:p>
        </w:tc>
        <w:tc>
          <w:tcPr>
            <w:tcW w:w="1417" w:type="dxa"/>
            <w:tcBorders>
              <w:bottom w:val="single" w:sz="8" w:space="0" w:color="B9AA8F" w:themeColor="accent3" w:themeTint="BF"/>
            </w:tcBorders>
            <w:shd w:val="clear" w:color="auto" w:fill="C7BBA5" w:themeFill="accent3" w:themeFillTint="99"/>
            <w:vAlign w:val="center"/>
          </w:tcPr>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Contribution from ERDF [EUR]</w:t>
            </w:r>
          </w:p>
        </w:tc>
        <w:tc>
          <w:tcPr>
            <w:tcW w:w="1276" w:type="dxa"/>
            <w:tcBorders>
              <w:bottom w:val="single" w:sz="8" w:space="0" w:color="B9AA8F" w:themeColor="accent3" w:themeTint="BF"/>
            </w:tcBorders>
            <w:shd w:val="clear" w:color="auto" w:fill="C7BBA5" w:themeFill="accent3" w:themeFillTint="99"/>
            <w:vAlign w:val="center"/>
          </w:tcPr>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Value of granted loans/ guarantees</w:t>
            </w:r>
          </w:p>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[EUR]</w:t>
            </w:r>
          </w:p>
        </w:tc>
        <w:tc>
          <w:tcPr>
            <w:tcW w:w="1276" w:type="dxa"/>
            <w:tcBorders>
              <w:bottom w:val="single" w:sz="8" w:space="0" w:color="B9AA8F" w:themeColor="accent3" w:themeTint="BF"/>
            </w:tcBorders>
            <w:shd w:val="clear" w:color="auto" w:fill="C7BBA5" w:themeFill="accent3" w:themeFillTint="99"/>
            <w:vAlign w:val="center"/>
          </w:tcPr>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Number of granted loans/ guarantees</w:t>
            </w:r>
          </w:p>
        </w:tc>
        <w:tc>
          <w:tcPr>
            <w:tcW w:w="1559" w:type="dxa"/>
            <w:tcBorders>
              <w:bottom w:val="single" w:sz="8" w:space="0" w:color="B9AA8F" w:themeColor="accent3" w:themeTint="BF"/>
            </w:tcBorders>
            <w:shd w:val="clear" w:color="auto" w:fill="C7BBA5" w:themeFill="accent3" w:themeFillTint="99"/>
            <w:vAlign w:val="center"/>
          </w:tcPr>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 xml:space="preserve">Value of really paid loans/granted guarantees </w:t>
            </w:r>
            <w:r w:rsidRPr="00E9099D">
              <w:rPr>
                <w:sz w:val="36"/>
                <w:szCs w:val="36"/>
                <w:lang w:val="en-GB"/>
              </w:rPr>
              <w:t xml:space="preserve">            </w:t>
            </w:r>
            <w:r w:rsidRPr="00E9099D">
              <w:rPr>
                <w:rFonts w:eastAsia="Calibri"/>
                <w:bCs w:val="0"/>
                <w:kern w:val="24"/>
                <w:sz w:val="20"/>
                <w:szCs w:val="20"/>
                <w:lang w:val="en-GB"/>
              </w:rPr>
              <w:t>(from ERDF)</w:t>
            </w:r>
          </w:p>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[EUR]</w:t>
            </w:r>
          </w:p>
        </w:tc>
        <w:tc>
          <w:tcPr>
            <w:tcW w:w="1985" w:type="dxa"/>
            <w:tcBorders>
              <w:bottom w:val="single" w:sz="8" w:space="0" w:color="B9AA8F" w:themeColor="accent3" w:themeTint="BF"/>
            </w:tcBorders>
            <w:shd w:val="clear" w:color="auto" w:fill="C7BBA5" w:themeFill="accent3" w:themeFillTint="99"/>
            <w:vAlign w:val="center"/>
          </w:tcPr>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 xml:space="preserve">Value of really paid loans/granted guarantees </w:t>
            </w:r>
            <w:r w:rsidRPr="00E9099D">
              <w:rPr>
                <w:sz w:val="36"/>
                <w:szCs w:val="36"/>
                <w:lang w:val="en-GB"/>
              </w:rPr>
              <w:t xml:space="preserve">            </w:t>
            </w:r>
            <w:r w:rsidRPr="00E9099D">
              <w:rPr>
                <w:rFonts w:eastAsia="Calibri"/>
                <w:bCs w:val="0"/>
                <w:kern w:val="24"/>
                <w:sz w:val="20"/>
                <w:szCs w:val="20"/>
                <w:lang w:val="en-GB"/>
              </w:rPr>
              <w:t>(domestic contribution)</w:t>
            </w:r>
          </w:p>
          <w:p w:rsidR="000F2170" w:rsidRPr="00E9099D" w:rsidRDefault="000F2170" w:rsidP="000F2170">
            <w:pPr>
              <w:pStyle w:val="NormalnyWeb"/>
              <w:jc w:val="center"/>
              <w:cnfStyle w:val="100000000000" w:firstRow="1" w:lastRow="0" w:firstColumn="0" w:lastColumn="0" w:oddVBand="0" w:evenVBand="0" w:oddHBand="0" w:evenHBand="0" w:firstRowFirstColumn="0" w:firstRowLastColumn="0" w:lastRowFirstColumn="0" w:lastRowLastColumn="0"/>
              <w:rPr>
                <w:sz w:val="36"/>
                <w:szCs w:val="36"/>
                <w:lang w:val="en-GB"/>
              </w:rPr>
            </w:pPr>
            <w:r w:rsidRPr="00E9099D">
              <w:rPr>
                <w:rFonts w:eastAsia="Calibri"/>
                <w:bCs w:val="0"/>
                <w:kern w:val="24"/>
                <w:sz w:val="20"/>
                <w:szCs w:val="20"/>
                <w:lang w:val="en-GB"/>
              </w:rPr>
              <w:t>[EUR]</w:t>
            </w:r>
          </w:p>
        </w:tc>
      </w:tr>
      <w:tr w:rsidR="000F2170" w:rsidRPr="00E9099D" w:rsidTr="000F2170">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416" w:type="dxa"/>
            <w:shd w:val="clear" w:color="auto" w:fill="C7BBA5" w:themeFill="accent3" w:themeFillTint="99"/>
            <w:vAlign w:val="center"/>
          </w:tcPr>
          <w:p w:rsidR="000F2170" w:rsidRPr="00E9099D" w:rsidRDefault="000F2170" w:rsidP="000F2170">
            <w:pPr>
              <w:pStyle w:val="NormalnyWeb"/>
              <w:jc w:val="center"/>
              <w:rPr>
                <w:sz w:val="36"/>
                <w:szCs w:val="36"/>
                <w:lang w:val="en-GB"/>
              </w:rPr>
            </w:pPr>
            <w:r w:rsidRPr="00E9099D">
              <w:rPr>
                <w:rFonts w:eastAsia="Calibri"/>
                <w:color w:val="000000"/>
                <w:kern w:val="24"/>
                <w:sz w:val="20"/>
                <w:szCs w:val="20"/>
                <w:lang w:val="en-GB"/>
              </w:rPr>
              <w:t xml:space="preserve">Loan </w:t>
            </w:r>
          </w:p>
        </w:tc>
        <w:tc>
          <w:tcPr>
            <w:tcW w:w="1703" w:type="dxa"/>
            <w:shd w:val="clear" w:color="auto" w:fill="D9D1C3" w:themeFill="accent3" w:themeFillTint="66"/>
            <w:vAlign w:val="center"/>
          </w:tcPr>
          <w:p w:rsidR="000F2170" w:rsidRPr="00E9099D" w:rsidRDefault="000F2170" w:rsidP="000F2170">
            <w:pPr>
              <w:pStyle w:val="NormalnyWeb"/>
              <w:jc w:val="center"/>
              <w:cnfStyle w:val="000000100000" w:firstRow="0" w:lastRow="0" w:firstColumn="0" w:lastColumn="0" w:oddVBand="0" w:evenVBand="0" w:oddHBand="1"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12 997 662.90</w:t>
            </w:r>
          </w:p>
        </w:tc>
        <w:tc>
          <w:tcPr>
            <w:tcW w:w="1417" w:type="dxa"/>
            <w:shd w:val="clear" w:color="auto" w:fill="D9D1C3" w:themeFill="accent3" w:themeFillTint="66"/>
            <w:vAlign w:val="center"/>
          </w:tcPr>
          <w:p w:rsidR="000F2170" w:rsidRPr="00E9099D" w:rsidRDefault="000F2170" w:rsidP="000F2170">
            <w:pPr>
              <w:pStyle w:val="NormalnyWeb"/>
              <w:jc w:val="center"/>
              <w:cnfStyle w:val="000000100000" w:firstRow="0" w:lastRow="0" w:firstColumn="0" w:lastColumn="0" w:oddVBand="0" w:evenVBand="0" w:oddHBand="1"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10 159 743.00</w:t>
            </w:r>
          </w:p>
        </w:tc>
        <w:tc>
          <w:tcPr>
            <w:tcW w:w="1276" w:type="dxa"/>
            <w:shd w:val="clear" w:color="auto" w:fill="D9D1C3" w:themeFill="accent3" w:themeFillTint="66"/>
            <w:vAlign w:val="center"/>
          </w:tcPr>
          <w:p w:rsidR="000F2170" w:rsidRPr="00E9099D" w:rsidRDefault="000F2170" w:rsidP="000F2170">
            <w:pPr>
              <w:pStyle w:val="NormalnyWeb"/>
              <w:jc w:val="center"/>
              <w:cnfStyle w:val="000000100000" w:firstRow="0" w:lastRow="0" w:firstColumn="0" w:lastColumn="0" w:oddVBand="0" w:evenVBand="0" w:oddHBand="1"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6 349 218.91</w:t>
            </w:r>
          </w:p>
        </w:tc>
        <w:tc>
          <w:tcPr>
            <w:tcW w:w="1276" w:type="dxa"/>
            <w:shd w:val="clear" w:color="auto" w:fill="D9D1C3" w:themeFill="accent3" w:themeFillTint="66"/>
            <w:vAlign w:val="center"/>
          </w:tcPr>
          <w:p w:rsidR="000F2170" w:rsidRPr="00E9099D" w:rsidRDefault="000F2170" w:rsidP="000F2170">
            <w:pPr>
              <w:pStyle w:val="NormalnyWeb"/>
              <w:jc w:val="center"/>
              <w:cnfStyle w:val="000000100000" w:firstRow="0" w:lastRow="0" w:firstColumn="0" w:lastColumn="0" w:oddVBand="0" w:evenVBand="0" w:oddHBand="1"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106</w:t>
            </w:r>
          </w:p>
        </w:tc>
        <w:tc>
          <w:tcPr>
            <w:tcW w:w="1559" w:type="dxa"/>
            <w:shd w:val="clear" w:color="auto" w:fill="D9D1C3" w:themeFill="accent3" w:themeFillTint="66"/>
            <w:vAlign w:val="center"/>
          </w:tcPr>
          <w:p w:rsidR="000F2170" w:rsidRPr="00E9099D" w:rsidRDefault="000F2170" w:rsidP="000F2170">
            <w:pPr>
              <w:pStyle w:val="NormalnyWeb"/>
              <w:jc w:val="center"/>
              <w:cnfStyle w:val="000000100000" w:firstRow="0" w:lastRow="0" w:firstColumn="0" w:lastColumn="0" w:oddVBand="0" w:evenVBand="0" w:oddHBand="1"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4 216 111.38</w:t>
            </w:r>
          </w:p>
        </w:tc>
        <w:tc>
          <w:tcPr>
            <w:tcW w:w="1985" w:type="dxa"/>
            <w:shd w:val="clear" w:color="auto" w:fill="D9D1C3" w:themeFill="accent3" w:themeFillTint="66"/>
            <w:vAlign w:val="center"/>
          </w:tcPr>
          <w:p w:rsidR="000F2170" w:rsidRPr="00E9099D" w:rsidRDefault="000F2170" w:rsidP="000F2170">
            <w:pPr>
              <w:pStyle w:val="NormalnyWeb"/>
              <w:jc w:val="center"/>
              <w:cnfStyle w:val="000000100000" w:firstRow="0" w:lastRow="0" w:firstColumn="0" w:lastColumn="0" w:oddVBand="0" w:evenVBand="0" w:oddHBand="1"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1 430 954.52</w:t>
            </w:r>
          </w:p>
        </w:tc>
      </w:tr>
      <w:tr w:rsidR="000F2170" w:rsidRPr="00E9099D" w:rsidTr="000F2170">
        <w:trPr>
          <w:trHeight w:val="992"/>
        </w:trPr>
        <w:tc>
          <w:tcPr>
            <w:cnfStyle w:val="001000000000" w:firstRow="0" w:lastRow="0" w:firstColumn="1" w:lastColumn="0" w:oddVBand="0" w:evenVBand="0" w:oddHBand="0" w:evenHBand="0" w:firstRowFirstColumn="0" w:firstRowLastColumn="0" w:lastRowFirstColumn="0" w:lastRowLastColumn="0"/>
            <w:tcW w:w="1416" w:type="dxa"/>
            <w:shd w:val="clear" w:color="auto" w:fill="C7BBA5" w:themeFill="accent3" w:themeFillTint="99"/>
            <w:vAlign w:val="center"/>
          </w:tcPr>
          <w:p w:rsidR="000F2170" w:rsidRPr="00E9099D" w:rsidRDefault="000F2170" w:rsidP="000F2170">
            <w:pPr>
              <w:pStyle w:val="NormalnyWeb"/>
              <w:jc w:val="center"/>
              <w:rPr>
                <w:sz w:val="36"/>
                <w:szCs w:val="36"/>
                <w:lang w:val="en-GB"/>
              </w:rPr>
            </w:pPr>
            <w:r w:rsidRPr="00E9099D">
              <w:rPr>
                <w:rFonts w:eastAsia="Calibri"/>
                <w:color w:val="000000"/>
                <w:kern w:val="24"/>
                <w:sz w:val="20"/>
                <w:szCs w:val="20"/>
                <w:lang w:val="en-GB"/>
              </w:rPr>
              <w:t xml:space="preserve">Guarantee </w:t>
            </w:r>
          </w:p>
        </w:tc>
        <w:tc>
          <w:tcPr>
            <w:tcW w:w="1703" w:type="dxa"/>
            <w:shd w:val="clear" w:color="auto" w:fill="D9D1C3" w:themeFill="accent3" w:themeFillTint="66"/>
            <w:vAlign w:val="center"/>
          </w:tcPr>
          <w:p w:rsidR="000F2170" w:rsidRPr="00E9099D" w:rsidRDefault="000F2170" w:rsidP="000F2170">
            <w:pPr>
              <w:pStyle w:val="NormalnyWeb"/>
              <w:jc w:val="center"/>
              <w:cnfStyle w:val="000000000000" w:firstRow="0" w:lastRow="0" w:firstColumn="0" w:lastColumn="0" w:oddVBand="0" w:evenVBand="0" w:oddHBand="0"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5 296 591.78</w:t>
            </w:r>
          </w:p>
        </w:tc>
        <w:tc>
          <w:tcPr>
            <w:tcW w:w="1417" w:type="dxa"/>
            <w:shd w:val="clear" w:color="auto" w:fill="D9D1C3" w:themeFill="accent3" w:themeFillTint="66"/>
            <w:vAlign w:val="center"/>
          </w:tcPr>
          <w:p w:rsidR="000F2170" w:rsidRPr="00E9099D" w:rsidRDefault="000F2170" w:rsidP="000F2170">
            <w:pPr>
              <w:pStyle w:val="NormalnyWeb"/>
              <w:jc w:val="center"/>
              <w:cnfStyle w:val="000000000000" w:firstRow="0" w:lastRow="0" w:firstColumn="0" w:lastColumn="0" w:oddVBand="0" w:evenVBand="0" w:oddHBand="0"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4 418 157.72</w:t>
            </w:r>
          </w:p>
        </w:tc>
        <w:tc>
          <w:tcPr>
            <w:tcW w:w="1276" w:type="dxa"/>
            <w:shd w:val="clear" w:color="auto" w:fill="D9D1C3" w:themeFill="accent3" w:themeFillTint="66"/>
            <w:vAlign w:val="center"/>
          </w:tcPr>
          <w:p w:rsidR="000F2170" w:rsidRPr="00E9099D" w:rsidRDefault="000F2170" w:rsidP="000F2170">
            <w:pPr>
              <w:pStyle w:val="NormalnyWeb"/>
              <w:jc w:val="center"/>
              <w:cnfStyle w:val="000000000000" w:firstRow="0" w:lastRow="0" w:firstColumn="0" w:lastColumn="0" w:oddVBand="0" w:evenVBand="0" w:oddHBand="0"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638 391.87</w:t>
            </w:r>
          </w:p>
        </w:tc>
        <w:tc>
          <w:tcPr>
            <w:tcW w:w="1276" w:type="dxa"/>
            <w:shd w:val="clear" w:color="auto" w:fill="D9D1C3" w:themeFill="accent3" w:themeFillTint="66"/>
            <w:vAlign w:val="center"/>
          </w:tcPr>
          <w:p w:rsidR="000F2170" w:rsidRPr="00E9099D" w:rsidRDefault="000F2170" w:rsidP="000F2170">
            <w:pPr>
              <w:pStyle w:val="NormalnyWeb"/>
              <w:jc w:val="center"/>
              <w:cnfStyle w:val="000000000000" w:firstRow="0" w:lastRow="0" w:firstColumn="0" w:lastColumn="0" w:oddVBand="0" w:evenVBand="0" w:oddHBand="0"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24</w:t>
            </w:r>
          </w:p>
        </w:tc>
        <w:tc>
          <w:tcPr>
            <w:tcW w:w="1559" w:type="dxa"/>
            <w:shd w:val="clear" w:color="auto" w:fill="D9D1C3" w:themeFill="accent3" w:themeFillTint="66"/>
            <w:vAlign w:val="center"/>
          </w:tcPr>
          <w:p w:rsidR="000F2170" w:rsidRPr="00E9099D" w:rsidRDefault="000F2170" w:rsidP="000F2170">
            <w:pPr>
              <w:pStyle w:val="NormalnyWeb"/>
              <w:jc w:val="center"/>
              <w:cnfStyle w:val="000000000000" w:firstRow="0" w:lastRow="0" w:firstColumn="0" w:lastColumn="0" w:oddVBand="0" w:evenVBand="0" w:oddHBand="0" w:evenHBand="0" w:firstRowFirstColumn="0" w:firstRowLastColumn="0" w:lastRowFirstColumn="0" w:lastRowLastColumn="0"/>
              <w:rPr>
                <w:b/>
                <w:sz w:val="36"/>
                <w:szCs w:val="36"/>
                <w:lang w:val="en-GB"/>
              </w:rPr>
            </w:pPr>
            <w:r w:rsidRPr="00E9099D">
              <w:rPr>
                <w:rFonts w:eastAsia="Calibri"/>
                <w:b/>
                <w:color w:val="000000"/>
                <w:kern w:val="24"/>
                <w:sz w:val="20"/>
                <w:szCs w:val="20"/>
                <w:lang w:val="en-GB"/>
              </w:rPr>
              <w:t>541 037.11</w:t>
            </w:r>
          </w:p>
        </w:tc>
        <w:tc>
          <w:tcPr>
            <w:tcW w:w="1985" w:type="dxa"/>
            <w:shd w:val="clear" w:color="auto" w:fill="D9D1C3" w:themeFill="accent3" w:themeFillTint="66"/>
            <w:vAlign w:val="center"/>
          </w:tcPr>
          <w:p w:rsidR="000F2170" w:rsidRPr="00E9099D" w:rsidRDefault="000F2170" w:rsidP="000F2170">
            <w:pPr>
              <w:cnfStyle w:val="000000000000" w:firstRow="0" w:lastRow="0" w:firstColumn="0" w:lastColumn="0" w:oddVBand="0" w:evenVBand="0" w:oddHBand="0" w:evenHBand="0" w:firstRowFirstColumn="0" w:firstRowLastColumn="0" w:lastRowFirstColumn="0" w:lastRowLastColumn="0"/>
              <w:rPr>
                <w:b/>
                <w:sz w:val="36"/>
                <w:szCs w:val="36"/>
                <w:lang w:val="en-GB"/>
              </w:rPr>
            </w:pPr>
            <w:r w:rsidRPr="00E9099D">
              <w:rPr>
                <w:b/>
                <w:color w:val="000000"/>
                <w:kern w:val="24"/>
                <w:sz w:val="20"/>
                <w:szCs w:val="20"/>
                <w:lang w:val="en-GB"/>
              </w:rPr>
              <w:t xml:space="preserve">         97 354.76</w:t>
            </w:r>
          </w:p>
        </w:tc>
      </w:tr>
    </w:tbl>
    <w:p w:rsidR="000F2170" w:rsidRPr="00E9099D" w:rsidRDefault="000F2170" w:rsidP="000F2170">
      <w:pPr>
        <w:spacing w:after="240"/>
        <w:rPr>
          <w:rFonts w:eastAsia="+mn-ea"/>
          <w:szCs w:val="24"/>
          <w:lang w:val="en-GB"/>
        </w:rPr>
      </w:pPr>
    </w:p>
    <w:p w:rsidR="000F2170" w:rsidRPr="00E9099D" w:rsidRDefault="000F2170" w:rsidP="000F2170">
      <w:pPr>
        <w:tabs>
          <w:tab w:val="left" w:pos="3969"/>
        </w:tabs>
        <w:spacing w:after="240"/>
        <w:rPr>
          <w:rFonts w:eastAsia="+mn-ea"/>
          <w:szCs w:val="24"/>
          <w:lang w:val="en-GB"/>
        </w:rPr>
      </w:pPr>
      <w:r w:rsidRPr="00E9099D">
        <w:rPr>
          <w:rFonts w:eastAsia="+mn-ea"/>
          <w:noProof/>
          <w:szCs w:val="24"/>
        </w:rPr>
        <w:drawing>
          <wp:inline distT="0" distB="0" distL="0" distR="0">
            <wp:extent cx="5943600" cy="2445489"/>
            <wp:effectExtent l="19050" t="0" r="0" b="0"/>
            <wp:docPr id="5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0F2170" w:rsidRPr="00E9099D" w:rsidRDefault="000F2170" w:rsidP="000F2170">
      <w:pPr>
        <w:pStyle w:val="Legenda"/>
        <w:rPr>
          <w:b w:val="0"/>
          <w:i/>
          <w:color w:val="000000" w:themeColor="text1"/>
          <w:sz w:val="20"/>
          <w:szCs w:val="20"/>
          <w:lang w:val="en-GB"/>
        </w:rPr>
      </w:pPr>
      <w:bookmarkStart w:id="758" w:name="_Toc324855843"/>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68</w:t>
      </w:r>
      <w:r w:rsidR="008F7228" w:rsidRPr="00E9099D">
        <w:rPr>
          <w:color w:val="000000" w:themeColor="text1"/>
          <w:sz w:val="20"/>
          <w:szCs w:val="20"/>
          <w:lang w:val="en-GB"/>
        </w:rPr>
        <w:fldChar w:fldCharType="end"/>
      </w:r>
      <w:r w:rsidRPr="00E9099D">
        <w:rPr>
          <w:lang w:val="en-GB"/>
        </w:rPr>
        <w:t xml:space="preserve"> </w:t>
      </w:r>
      <w:r w:rsidRPr="00E9099D">
        <w:rPr>
          <w:b w:val="0"/>
          <w:i/>
          <w:color w:val="000000" w:themeColor="text1"/>
          <w:sz w:val="20"/>
          <w:szCs w:val="20"/>
          <w:lang w:val="en-GB"/>
        </w:rPr>
        <w:t>Quantitative structure of paid loans according to enterprise size</w:t>
      </w:r>
    </w:p>
    <w:bookmarkEnd w:id="758"/>
    <w:p w:rsidR="000F2170" w:rsidRPr="00E9099D" w:rsidRDefault="000F2170" w:rsidP="000F2170">
      <w:pPr>
        <w:rPr>
          <w:i/>
          <w:sz w:val="20"/>
          <w:szCs w:val="20"/>
          <w:lang w:val="en-GB"/>
        </w:rPr>
      </w:pPr>
      <w:r w:rsidRPr="00E9099D">
        <w:rPr>
          <w:rFonts w:eastAsia="+mn-ea"/>
          <w:noProof/>
          <w:szCs w:val="24"/>
        </w:rPr>
        <w:drawing>
          <wp:inline distT="0" distB="0" distL="0" distR="0">
            <wp:extent cx="5124893" cy="2775097"/>
            <wp:effectExtent l="19050" t="0" r="0" b="0"/>
            <wp:docPr id="5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r w:rsidRPr="00E9099D">
        <w:rPr>
          <w:b/>
          <w:i/>
          <w:sz w:val="20"/>
          <w:szCs w:val="20"/>
          <w:lang w:val="en-GB"/>
        </w:rPr>
        <w:t xml:space="preserve"> </w:t>
      </w:r>
    </w:p>
    <w:p w:rsidR="000F2170" w:rsidRPr="00E9099D" w:rsidRDefault="000F2170" w:rsidP="000F2170">
      <w:pPr>
        <w:pStyle w:val="Legenda"/>
        <w:rPr>
          <w:b w:val="0"/>
          <w:i/>
          <w:color w:val="000000" w:themeColor="text1"/>
          <w:sz w:val="20"/>
          <w:szCs w:val="20"/>
          <w:lang w:val="en-GB"/>
        </w:rPr>
      </w:pPr>
      <w:r w:rsidRPr="00E9099D">
        <w:rPr>
          <w:color w:val="000000" w:themeColor="text1"/>
          <w:sz w:val="20"/>
          <w:szCs w:val="20"/>
          <w:lang w:val="en-GB"/>
        </w:rPr>
        <w:t xml:space="preserve">Figure </w:t>
      </w:r>
      <w:r w:rsidR="008F7228" w:rsidRPr="00E9099D">
        <w:rPr>
          <w:color w:val="000000" w:themeColor="text1"/>
          <w:sz w:val="20"/>
          <w:szCs w:val="20"/>
          <w:lang w:val="en-GB"/>
        </w:rPr>
        <w:fldChar w:fldCharType="begin"/>
      </w:r>
      <w:r w:rsidRPr="00E9099D">
        <w:rPr>
          <w:color w:val="000000" w:themeColor="text1"/>
          <w:sz w:val="20"/>
          <w:szCs w:val="20"/>
          <w:lang w:val="en-GB"/>
        </w:rPr>
        <w:instrText xml:space="preserve"> SEQ Rysunek \* ARABIC </w:instrText>
      </w:r>
      <w:r w:rsidR="008F7228" w:rsidRPr="00E9099D">
        <w:rPr>
          <w:color w:val="000000" w:themeColor="text1"/>
          <w:sz w:val="20"/>
          <w:szCs w:val="20"/>
          <w:lang w:val="en-GB"/>
        </w:rPr>
        <w:fldChar w:fldCharType="separate"/>
      </w:r>
      <w:r w:rsidR="006667B3">
        <w:rPr>
          <w:noProof/>
          <w:color w:val="000000" w:themeColor="text1"/>
          <w:sz w:val="20"/>
          <w:szCs w:val="20"/>
          <w:lang w:val="en-GB"/>
        </w:rPr>
        <w:t>69</w:t>
      </w:r>
      <w:r w:rsidR="008F7228" w:rsidRPr="00E9099D">
        <w:rPr>
          <w:color w:val="000000" w:themeColor="text1"/>
          <w:sz w:val="20"/>
          <w:szCs w:val="20"/>
          <w:lang w:val="en-GB"/>
        </w:rPr>
        <w:fldChar w:fldCharType="end"/>
      </w:r>
      <w:r w:rsidRPr="00E9099D">
        <w:rPr>
          <w:lang w:val="en-GB"/>
        </w:rPr>
        <w:t xml:space="preserve"> </w:t>
      </w:r>
      <w:r w:rsidRPr="00E9099D">
        <w:rPr>
          <w:b w:val="0"/>
          <w:i/>
          <w:color w:val="000000" w:themeColor="text1"/>
          <w:sz w:val="20"/>
          <w:szCs w:val="20"/>
          <w:lang w:val="en-GB"/>
        </w:rPr>
        <w:t>Value structure of paid loans according to enterprise size</w:t>
      </w:r>
    </w:p>
    <w:p w:rsidR="000F2170" w:rsidRPr="00E9099D" w:rsidRDefault="000F2170" w:rsidP="000F2170">
      <w:pPr>
        <w:rPr>
          <w:b/>
          <w:i/>
          <w:szCs w:val="24"/>
          <w:lang w:val="en-GB"/>
        </w:rPr>
      </w:pPr>
      <w:r w:rsidRPr="00E9099D">
        <w:rPr>
          <w:b/>
          <w:i/>
          <w:szCs w:val="24"/>
          <w:lang w:val="en-GB"/>
        </w:rPr>
        <w:t>Measurable progress</w:t>
      </w:r>
    </w:p>
    <w:p w:rsidR="000F2170" w:rsidRPr="00E9099D" w:rsidRDefault="000F2170" w:rsidP="00C23A35">
      <w:pPr>
        <w:pStyle w:val="Akapitzlist"/>
        <w:spacing w:after="120"/>
        <w:ind w:left="0"/>
        <w:jc w:val="both"/>
        <w:rPr>
          <w:szCs w:val="24"/>
          <w:lang w:val="en-GB" w:eastAsia="ar-SA"/>
        </w:rPr>
      </w:pPr>
      <w:r w:rsidRPr="00E9099D">
        <w:rPr>
          <w:szCs w:val="24"/>
          <w:lang w:val="en-GB" w:eastAsia="ar-SA"/>
        </w:rPr>
        <w:t xml:space="preserve">The measurable progress of </w:t>
      </w:r>
      <w:r w:rsidRPr="00E9099D">
        <w:rPr>
          <w:i/>
          <w:szCs w:val="24"/>
          <w:lang w:val="en-GB" w:eastAsia="ar-SA"/>
        </w:rPr>
        <w:t xml:space="preserve">Programme </w:t>
      </w:r>
      <w:r w:rsidRPr="00E9099D">
        <w:rPr>
          <w:szCs w:val="24"/>
          <w:lang w:val="en-GB" w:eastAsia="ar-SA"/>
        </w:rPr>
        <w:t>objective rates and horizontal</w:t>
      </w:r>
      <w:r>
        <w:rPr>
          <w:szCs w:val="24"/>
          <w:lang w:val="en-GB" w:eastAsia="ar-SA"/>
        </w:rPr>
        <w:t xml:space="preserve"> indicators was shown in Annex N</w:t>
      </w:r>
      <w:r w:rsidRPr="00E9099D">
        <w:rPr>
          <w:szCs w:val="24"/>
          <w:lang w:val="en-GB" w:eastAsia="ar-SA"/>
        </w:rPr>
        <w:t>o</w:t>
      </w:r>
      <w:r>
        <w:rPr>
          <w:szCs w:val="24"/>
          <w:lang w:val="en-GB" w:eastAsia="ar-SA"/>
        </w:rPr>
        <w:t>.</w:t>
      </w:r>
      <w:r w:rsidRPr="00E9099D">
        <w:rPr>
          <w:szCs w:val="24"/>
          <w:lang w:val="en-GB" w:eastAsia="ar-SA"/>
        </w:rPr>
        <w:t xml:space="preserve"> I to the </w:t>
      </w:r>
      <w:r w:rsidRPr="00E9099D">
        <w:rPr>
          <w:i/>
          <w:szCs w:val="24"/>
          <w:lang w:val="en-GB" w:eastAsia="ar-SA"/>
        </w:rPr>
        <w:t xml:space="preserve">Annual Report. </w:t>
      </w:r>
      <w:r w:rsidRPr="00E9099D">
        <w:rPr>
          <w:szCs w:val="24"/>
          <w:lang w:val="en-GB" w:eastAsia="ar-SA"/>
        </w:rPr>
        <w:t xml:space="preserve">Indicators </w:t>
      </w:r>
      <w:r w:rsidRPr="00E9099D">
        <w:rPr>
          <w:i/>
          <w:szCs w:val="24"/>
          <w:lang w:val="en-GB" w:eastAsia="ar-SA"/>
        </w:rPr>
        <w:t xml:space="preserve">Influence of programme implementation on GDP change </w:t>
      </w:r>
      <w:r w:rsidRPr="00E9099D">
        <w:rPr>
          <w:szCs w:val="24"/>
          <w:lang w:val="en-GB" w:eastAsia="ar-SA"/>
        </w:rPr>
        <w:t xml:space="preserve">as well as </w:t>
      </w:r>
      <w:r w:rsidRPr="00E9099D">
        <w:rPr>
          <w:i/>
          <w:szCs w:val="24"/>
          <w:lang w:val="en-GB" w:eastAsia="ar-SA"/>
        </w:rPr>
        <w:t>Nett number of created work places</w:t>
      </w:r>
      <w:r w:rsidRPr="00E9099D">
        <w:rPr>
          <w:szCs w:val="24"/>
          <w:lang w:val="en-GB" w:eastAsia="ar-SA"/>
        </w:rPr>
        <w:t xml:space="preserve"> according to regulations of the </w:t>
      </w:r>
      <w:r w:rsidRPr="00E9099D">
        <w:rPr>
          <w:i/>
          <w:szCs w:val="24"/>
          <w:lang w:val="en-GB" w:eastAsia="ar-SA"/>
        </w:rPr>
        <w:t xml:space="preserve">Programme </w:t>
      </w:r>
      <w:r w:rsidRPr="00E9099D">
        <w:rPr>
          <w:szCs w:val="24"/>
          <w:lang w:val="en-GB" w:eastAsia="ar-SA"/>
        </w:rPr>
        <w:t xml:space="preserve">will be measured in 2013 and after the </w:t>
      </w:r>
      <w:r w:rsidRPr="00E9099D">
        <w:rPr>
          <w:i/>
          <w:szCs w:val="24"/>
          <w:lang w:val="en-GB" w:eastAsia="ar-SA"/>
        </w:rPr>
        <w:t xml:space="preserve">Programme </w:t>
      </w:r>
      <w:r w:rsidRPr="00E9099D">
        <w:rPr>
          <w:szCs w:val="24"/>
          <w:lang w:val="en-GB" w:eastAsia="ar-SA"/>
        </w:rPr>
        <w:t xml:space="preserve">completion (2015) with the use of evaluation as well as the HERMIN macroeconomic model.   </w:t>
      </w:r>
    </w:p>
    <w:p w:rsidR="000F2170" w:rsidRPr="00E9099D" w:rsidRDefault="000F2170" w:rsidP="00C23A35">
      <w:pPr>
        <w:pStyle w:val="Akapitzlist"/>
        <w:autoSpaceDE w:val="0"/>
        <w:autoSpaceDN w:val="0"/>
        <w:adjustRightInd w:val="0"/>
        <w:spacing w:after="0"/>
        <w:ind w:left="0"/>
        <w:jc w:val="both"/>
        <w:rPr>
          <w:szCs w:val="24"/>
          <w:lang w:val="en-GB" w:eastAsia="ar-SA"/>
        </w:rPr>
      </w:pPr>
      <w:r w:rsidRPr="00E9099D">
        <w:rPr>
          <w:szCs w:val="24"/>
          <w:lang w:val="en-GB" w:eastAsia="ar-SA"/>
        </w:rPr>
        <w:t>In 2011</w:t>
      </w:r>
      <w:r>
        <w:rPr>
          <w:szCs w:val="24"/>
          <w:lang w:val="en-GB" w:eastAsia="ar-SA"/>
        </w:rPr>
        <w:t>,</w:t>
      </w:r>
      <w:r w:rsidRPr="00E9099D">
        <w:rPr>
          <w:szCs w:val="24"/>
          <w:lang w:val="en-GB" w:eastAsia="ar-SA"/>
        </w:rPr>
        <w:t xml:space="preserve"> there was a considerable growth of achieved programme and horizontal rates values in comparison to the previous reporting period. </w:t>
      </w:r>
    </w:p>
    <w:p w:rsidR="000F2170" w:rsidRPr="00E9099D" w:rsidRDefault="000F2170" w:rsidP="00C23A35">
      <w:pPr>
        <w:spacing w:after="120"/>
        <w:jc w:val="both"/>
        <w:rPr>
          <w:i/>
          <w:szCs w:val="24"/>
          <w:lang w:val="en-GB"/>
        </w:rPr>
      </w:pPr>
      <w:r w:rsidRPr="00E9099D">
        <w:rPr>
          <w:szCs w:val="24"/>
          <w:lang w:val="en-GB"/>
        </w:rPr>
        <w:t xml:space="preserve">Two rates of the main objective will be measures with the use of evaluation, thus the progress is visible only for one rate: </w:t>
      </w:r>
      <w:r w:rsidRPr="00E9099D">
        <w:rPr>
          <w:i/>
          <w:szCs w:val="24"/>
          <w:lang w:val="en-GB"/>
        </w:rPr>
        <w:t>Gross created work places</w:t>
      </w:r>
      <w:r w:rsidRPr="00E9099D">
        <w:rPr>
          <w:szCs w:val="24"/>
          <w:lang w:val="en-GB"/>
        </w:rPr>
        <w:t xml:space="preserve">, where the value amount to 2119.25 pieces (work places in </w:t>
      </w:r>
      <w:r w:rsidRPr="00E9099D">
        <w:rPr>
          <w:color w:val="000000"/>
          <w:szCs w:val="24"/>
          <w:lang w:val="en-GB"/>
        </w:rPr>
        <w:t>EPC</w:t>
      </w:r>
      <w:r w:rsidRPr="00E9099D">
        <w:rPr>
          <w:szCs w:val="24"/>
          <w:lang w:val="en-GB"/>
        </w:rPr>
        <w:t>) and is going to increase in subsequent years. At the end of reporting period</w:t>
      </w:r>
      <w:r>
        <w:rPr>
          <w:szCs w:val="24"/>
          <w:lang w:val="en-GB"/>
        </w:rPr>
        <w:t>,</w:t>
      </w:r>
      <w:r w:rsidRPr="00E9099D">
        <w:rPr>
          <w:szCs w:val="24"/>
          <w:lang w:val="en-GB"/>
        </w:rPr>
        <w:t xml:space="preserve"> it is expected that 6570.77 new work places will be created and the progress of this rate translates directly into elimination of weak points of the voivodeship indicated in the SWOT analysis: low rate of employment and high numbered of registered unemployed.    </w:t>
      </w:r>
      <w:r w:rsidRPr="00E9099D">
        <w:rPr>
          <w:i/>
          <w:szCs w:val="24"/>
          <w:lang w:val="en-GB"/>
        </w:rPr>
        <w:t xml:space="preserve"> </w:t>
      </w:r>
    </w:p>
    <w:p w:rsidR="000F2170" w:rsidRPr="00E9099D" w:rsidRDefault="000F2170" w:rsidP="00C23A35">
      <w:pPr>
        <w:jc w:val="both"/>
        <w:rPr>
          <w:color w:val="000000"/>
          <w:szCs w:val="24"/>
          <w:lang w:val="en-GB"/>
        </w:rPr>
      </w:pPr>
      <w:r w:rsidRPr="00E9099D">
        <w:rPr>
          <w:color w:val="000000"/>
          <w:szCs w:val="24"/>
          <w:lang w:val="en-GB"/>
        </w:rPr>
        <w:t xml:space="preserve">In the Annex IV to the </w:t>
      </w:r>
      <w:r w:rsidRPr="00E9099D">
        <w:rPr>
          <w:i/>
          <w:color w:val="000000"/>
          <w:szCs w:val="24"/>
          <w:lang w:val="en-GB"/>
        </w:rPr>
        <w:t xml:space="preserve">Annual Report </w:t>
      </w:r>
      <w:r w:rsidRPr="00E9099D">
        <w:rPr>
          <w:color w:val="000000"/>
          <w:szCs w:val="24"/>
          <w:lang w:val="en-GB"/>
        </w:rPr>
        <w:t>programmer product and result rates for separate priorities were presented for subsequent years from a cumulative perspective. The presented information is shown in relation to the state at the end of 2011 and is based on data concerning finished operations. The target values were determined for 2010, 2013 and 2015 and the estimated value based on signed contracts for financing was presented. The programme rates divided into measures and submeasures were also presented. Below</w:t>
      </w:r>
      <w:r>
        <w:rPr>
          <w:color w:val="000000"/>
          <w:szCs w:val="24"/>
          <w:lang w:val="en-GB"/>
        </w:rPr>
        <w:t>,</w:t>
      </w:r>
      <w:r w:rsidRPr="00E9099D">
        <w:rPr>
          <w:color w:val="000000"/>
          <w:szCs w:val="24"/>
          <w:lang w:val="en-GB"/>
        </w:rPr>
        <w:t xml:space="preserve"> the selected measurable effects from the implementation of projects within the ROP SV.    </w:t>
      </w:r>
    </w:p>
    <w:p w:rsidR="000F2170" w:rsidRPr="00E9099D" w:rsidRDefault="00C23A35" w:rsidP="000F2170">
      <w:pPr>
        <w:rPr>
          <w:szCs w:val="24"/>
          <w:lang w:val="en-GB"/>
        </w:rPr>
      </w:pPr>
      <w:r>
        <w:rPr>
          <w:noProof/>
          <w:szCs w:val="24"/>
        </w:rPr>
        <w:drawing>
          <wp:anchor distT="0" distB="0" distL="114300" distR="114300" simplePos="0" relativeHeight="251766272" behindDoc="1" locked="0" layoutInCell="1" allowOverlap="1">
            <wp:simplePos x="0" y="0"/>
            <wp:positionH relativeFrom="column">
              <wp:posOffset>-222250</wp:posOffset>
            </wp:positionH>
            <wp:positionV relativeFrom="paragraph">
              <wp:posOffset>91440</wp:posOffset>
            </wp:positionV>
            <wp:extent cx="2500630" cy="1562735"/>
            <wp:effectExtent l="19050" t="0" r="0" b="0"/>
            <wp:wrapTight wrapText="bothSides">
              <wp:wrapPolygon edited="0">
                <wp:start x="-165" y="0"/>
                <wp:lineTo x="-165" y="21328"/>
                <wp:lineTo x="21556" y="21328"/>
                <wp:lineTo x="21556" y="0"/>
                <wp:lineTo x="-165" y="0"/>
              </wp:wrapPolygon>
            </wp:wrapTight>
            <wp:docPr id="58" name="Obraz 4" descr="1.jpg"/>
            <wp:cNvGraphicFramePr/>
            <a:graphic xmlns:a="http://schemas.openxmlformats.org/drawingml/2006/main">
              <a:graphicData uri="http://schemas.openxmlformats.org/drawingml/2006/picture">
                <pic:pic xmlns:pic="http://schemas.openxmlformats.org/drawingml/2006/picture">
                  <pic:nvPicPr>
                    <pic:cNvPr id="10245" name="Obraz 6" descr="1.jpg"/>
                    <pic:cNvPicPr>
                      <a:picLocks noChangeAspect="1"/>
                    </pic:cNvPicPr>
                  </pic:nvPicPr>
                  <pic:blipFill>
                    <a:blip r:embed="rId177" cstate="print"/>
                    <a:srcRect/>
                    <a:stretch>
                      <a:fillRect/>
                    </a:stretch>
                  </pic:blipFill>
                  <pic:spPr bwMode="auto">
                    <a:xfrm>
                      <a:off x="0" y="0"/>
                      <a:ext cx="2500630" cy="1562735"/>
                    </a:xfrm>
                    <a:prstGeom prst="rect">
                      <a:avLst/>
                    </a:prstGeom>
                    <a:noFill/>
                    <a:ln w="9525">
                      <a:noFill/>
                      <a:miter lim="800000"/>
                      <a:headEnd/>
                      <a:tailEnd/>
                    </a:ln>
                  </pic:spPr>
                </pic:pic>
              </a:graphicData>
            </a:graphic>
          </wp:anchor>
        </w:drawing>
      </w:r>
    </w:p>
    <w:p w:rsidR="000F2170" w:rsidRPr="00C23A35" w:rsidRDefault="000F2170" w:rsidP="00C23A35">
      <w:pPr>
        <w:pStyle w:val="Nagwek2"/>
        <w:numPr>
          <w:ilvl w:val="0"/>
          <w:numId w:val="0"/>
        </w:numPr>
        <w:spacing w:before="0" w:beforeAutospacing="0" w:after="120" w:afterAutospacing="0" w:line="276" w:lineRule="auto"/>
        <w:rPr>
          <w:b w:val="0"/>
          <w:sz w:val="24"/>
          <w:szCs w:val="24"/>
          <w:lang w:val="en-GB"/>
        </w:rPr>
      </w:pPr>
      <w:bookmarkStart w:id="759" w:name="_Toc327259328"/>
      <w:r w:rsidRPr="00C23A35">
        <w:rPr>
          <w:b w:val="0"/>
          <w:sz w:val="24"/>
          <w:szCs w:val="24"/>
          <w:lang w:val="en-GB"/>
        </w:rPr>
        <w:t xml:space="preserve">Within the signed contracts beneficiaries declare creation of </w:t>
      </w:r>
      <w:r w:rsidRPr="00C23A35">
        <w:rPr>
          <w:bCs w:val="0"/>
          <w:sz w:val="24"/>
          <w:szCs w:val="24"/>
          <w:lang w:val="en-GB"/>
        </w:rPr>
        <w:t>5071</w:t>
      </w:r>
      <w:r w:rsidRPr="00C23A35">
        <w:rPr>
          <w:b w:val="0"/>
          <w:sz w:val="24"/>
          <w:szCs w:val="24"/>
          <w:lang w:val="en-GB"/>
        </w:rPr>
        <w:t xml:space="preserve"> work places</w:t>
      </w:r>
      <w:bookmarkEnd w:id="759"/>
    </w:p>
    <w:p w:rsidR="000F2170" w:rsidRPr="00E9099D" w:rsidRDefault="000F2170" w:rsidP="000F2170">
      <w:pPr>
        <w:spacing w:line="240" w:lineRule="auto"/>
        <w:jc w:val="center"/>
        <w:rPr>
          <w:szCs w:val="24"/>
          <w:lang w:val="en-GB"/>
        </w:rPr>
      </w:pPr>
      <w:r w:rsidRPr="00E9099D">
        <w:rPr>
          <w:szCs w:val="24"/>
          <w:lang w:val="en-GB"/>
        </w:rPr>
        <w:t xml:space="preserve">The implementation of </w:t>
      </w:r>
      <w:r w:rsidRPr="00E9099D">
        <w:rPr>
          <w:b/>
          <w:bCs/>
          <w:szCs w:val="24"/>
          <w:lang w:val="en-GB"/>
        </w:rPr>
        <w:t xml:space="preserve">1281 </w:t>
      </w:r>
      <w:r w:rsidRPr="00E9099D">
        <w:rPr>
          <w:szCs w:val="24"/>
          <w:lang w:val="en-GB"/>
        </w:rPr>
        <w:t xml:space="preserve">SMEs projects out of </w:t>
      </w:r>
      <w:r w:rsidRPr="00E9099D">
        <w:rPr>
          <w:b/>
          <w:bCs/>
          <w:szCs w:val="24"/>
          <w:lang w:val="en-GB"/>
        </w:rPr>
        <w:t xml:space="preserve">1836 </w:t>
      </w:r>
      <w:r w:rsidRPr="00E9099D">
        <w:rPr>
          <w:szCs w:val="24"/>
          <w:lang w:val="en-GB"/>
        </w:rPr>
        <w:t>signed contracts was finished</w:t>
      </w:r>
    </w:p>
    <w:p w:rsidR="000F2170" w:rsidRPr="00E9099D" w:rsidRDefault="000F2170" w:rsidP="00C23A35">
      <w:pPr>
        <w:spacing w:line="240" w:lineRule="auto"/>
        <w:ind w:left="993"/>
        <w:jc w:val="right"/>
        <w:rPr>
          <w:szCs w:val="24"/>
          <w:lang w:val="en-GB"/>
        </w:rPr>
      </w:pPr>
      <w:r w:rsidRPr="00E9099D">
        <w:rPr>
          <w:szCs w:val="24"/>
          <w:lang w:val="en-GB"/>
        </w:rPr>
        <w:t xml:space="preserve">Within the ROP SV subsidies were granted to </w:t>
      </w:r>
      <w:r w:rsidRPr="00E9099D">
        <w:rPr>
          <w:b/>
          <w:bCs/>
          <w:szCs w:val="24"/>
          <w:lang w:val="en-GB"/>
        </w:rPr>
        <w:t>953</w:t>
      </w:r>
      <w:r w:rsidRPr="00E9099D">
        <w:rPr>
          <w:szCs w:val="24"/>
          <w:lang w:val="en-GB"/>
        </w:rPr>
        <w:t xml:space="preserve"> entrepreneurs</w:t>
      </w:r>
    </w:p>
    <w:p w:rsidR="000F2170" w:rsidRDefault="00C23A35" w:rsidP="00C23A35">
      <w:pPr>
        <w:jc w:val="center"/>
        <w:rPr>
          <w:szCs w:val="24"/>
          <w:lang w:val="en-GB"/>
        </w:rPr>
      </w:pPr>
      <w:r>
        <w:rPr>
          <w:noProof/>
          <w:szCs w:val="24"/>
        </w:rPr>
        <w:drawing>
          <wp:anchor distT="0" distB="0" distL="114300" distR="114300" simplePos="0" relativeHeight="251767296" behindDoc="1" locked="0" layoutInCell="1" allowOverlap="1">
            <wp:simplePos x="0" y="0"/>
            <wp:positionH relativeFrom="column">
              <wp:posOffset>-132715</wp:posOffset>
            </wp:positionH>
            <wp:positionV relativeFrom="paragraph">
              <wp:posOffset>192405</wp:posOffset>
            </wp:positionV>
            <wp:extent cx="2835275" cy="1628775"/>
            <wp:effectExtent l="342900" t="19050" r="327025" b="600075"/>
            <wp:wrapTight wrapText="bothSides">
              <wp:wrapPolygon edited="0">
                <wp:start x="1016" y="-253"/>
                <wp:lineTo x="-145" y="-253"/>
                <wp:lineTo x="-2467" y="2526"/>
                <wp:lineTo x="-2612" y="24000"/>
                <wp:lineTo x="-1596" y="28042"/>
                <wp:lineTo x="290" y="29558"/>
                <wp:lineTo x="1016" y="29558"/>
                <wp:lineTo x="20463" y="29558"/>
                <wp:lineTo x="21189" y="29558"/>
                <wp:lineTo x="23075" y="28547"/>
                <wp:lineTo x="22930" y="28042"/>
                <wp:lineTo x="23075" y="28042"/>
                <wp:lineTo x="24091" y="24253"/>
                <wp:lineTo x="24091" y="7832"/>
                <wp:lineTo x="23946" y="4042"/>
                <wp:lineTo x="23946" y="3789"/>
                <wp:lineTo x="24091" y="2526"/>
                <wp:lineTo x="21624" y="-253"/>
                <wp:lineTo x="20463" y="-253"/>
                <wp:lineTo x="1016" y="-253"/>
              </wp:wrapPolygon>
            </wp:wrapTight>
            <wp:docPr id="60" name="Obraz 8"/>
            <wp:cNvGraphicFramePr/>
            <a:graphic xmlns:a="http://schemas.openxmlformats.org/drawingml/2006/main">
              <a:graphicData uri="http://schemas.openxmlformats.org/drawingml/2006/picture">
                <pic:pic xmlns:pic="http://schemas.openxmlformats.org/drawingml/2006/picture">
                  <pic:nvPicPr>
                    <pic:cNvPr id="11269" name="Picture 7"/>
                    <pic:cNvPicPr>
                      <a:picLocks noGrp="1" noChangeAspect="1" noChangeArrowheads="1"/>
                    </pic:cNvPicPr>
                  </pic:nvPicPr>
                  <pic:blipFill>
                    <a:blip r:embed="rId178" cstate="print"/>
                    <a:srcRect/>
                    <a:stretch>
                      <a:fillRect/>
                    </a:stretch>
                  </pic:blipFill>
                  <pic:spPr bwMode="auto">
                    <a:xfrm>
                      <a:off x="0" y="0"/>
                      <a:ext cx="2835275" cy="1628775"/>
                    </a:xfrm>
                    <a:prstGeom prst="rect">
                      <a:avLst/>
                    </a:prstGeom>
                    <a:noFill/>
                    <a:ln w="9525">
                      <a:noFill/>
                      <a:round/>
                      <a:headEnd/>
                      <a:tailEnd/>
                    </a:ln>
                    <a:effectLst>
                      <a:outerShdw blurRad="393700" dist="292100" dir="5400000" algn="ctr" rotWithShape="0">
                        <a:srgbClr val="000000">
                          <a:alpha val="74000"/>
                        </a:srgbClr>
                      </a:outerShdw>
                    </a:effectLst>
                  </pic:spPr>
                </pic:pic>
              </a:graphicData>
            </a:graphic>
          </wp:anchor>
        </w:drawing>
      </w:r>
    </w:p>
    <w:p w:rsidR="000F2170" w:rsidRPr="00E9099D" w:rsidRDefault="000F2170" w:rsidP="00C23A35">
      <w:pPr>
        <w:spacing w:after="0" w:line="240" w:lineRule="auto"/>
        <w:jc w:val="center"/>
        <w:rPr>
          <w:szCs w:val="24"/>
          <w:lang w:val="en-GB"/>
        </w:rPr>
      </w:pPr>
      <w:r w:rsidRPr="00E9099D">
        <w:rPr>
          <w:szCs w:val="24"/>
          <w:lang w:val="en-GB"/>
        </w:rPr>
        <w:t xml:space="preserve">Within the ROP SV it is planned to build </w:t>
      </w:r>
    </w:p>
    <w:p w:rsidR="000F2170" w:rsidRPr="00E9099D" w:rsidRDefault="000F2170" w:rsidP="00C23A35">
      <w:pPr>
        <w:spacing w:after="0" w:line="240" w:lineRule="auto"/>
        <w:jc w:val="center"/>
        <w:rPr>
          <w:szCs w:val="24"/>
          <w:lang w:val="en-GB"/>
        </w:rPr>
      </w:pPr>
      <w:r w:rsidRPr="00E9099D">
        <w:rPr>
          <w:b/>
          <w:bCs/>
          <w:szCs w:val="24"/>
          <w:lang w:val="en-GB"/>
        </w:rPr>
        <w:t xml:space="preserve">567 km </w:t>
      </w:r>
      <w:r w:rsidRPr="00E9099D">
        <w:rPr>
          <w:szCs w:val="24"/>
          <w:lang w:val="en-GB"/>
        </w:rPr>
        <w:t>of new backbone network</w:t>
      </w:r>
    </w:p>
    <w:p w:rsidR="00C23A35" w:rsidRDefault="00C23A35" w:rsidP="00C23A35">
      <w:pPr>
        <w:spacing w:after="0" w:line="240" w:lineRule="auto"/>
        <w:jc w:val="center"/>
        <w:rPr>
          <w:szCs w:val="24"/>
          <w:lang w:val="en-GB"/>
        </w:rPr>
      </w:pPr>
    </w:p>
    <w:p w:rsidR="000F2170" w:rsidRPr="00E9099D" w:rsidRDefault="00C23A35" w:rsidP="00C23A35">
      <w:pPr>
        <w:spacing w:after="0" w:line="240" w:lineRule="auto"/>
        <w:jc w:val="center"/>
        <w:rPr>
          <w:szCs w:val="24"/>
          <w:lang w:val="en-GB"/>
        </w:rPr>
      </w:pPr>
      <w:r>
        <w:rPr>
          <w:noProof/>
          <w:szCs w:val="24"/>
        </w:rPr>
        <w:drawing>
          <wp:anchor distT="0" distB="0" distL="114300" distR="114300" simplePos="0" relativeHeight="251768320" behindDoc="1" locked="0" layoutInCell="1" allowOverlap="1">
            <wp:simplePos x="0" y="0"/>
            <wp:positionH relativeFrom="column">
              <wp:posOffset>-3027045</wp:posOffset>
            </wp:positionH>
            <wp:positionV relativeFrom="paragraph">
              <wp:posOffset>494030</wp:posOffset>
            </wp:positionV>
            <wp:extent cx="2674620" cy="1607820"/>
            <wp:effectExtent l="57150" t="0" r="49530" b="68580"/>
            <wp:wrapTight wrapText="bothSides">
              <wp:wrapPolygon edited="0">
                <wp:start x="-308" y="0"/>
                <wp:lineTo x="-462" y="22521"/>
                <wp:lineTo x="21846" y="22521"/>
                <wp:lineTo x="22000" y="20730"/>
                <wp:lineTo x="22000" y="3327"/>
                <wp:lineTo x="21846" y="512"/>
                <wp:lineTo x="21692" y="0"/>
                <wp:lineTo x="-308" y="0"/>
              </wp:wrapPolygon>
            </wp:wrapTight>
            <wp:docPr id="61" name="Obraz 10"/>
            <wp:cNvGraphicFramePr/>
            <a:graphic xmlns:a="http://schemas.openxmlformats.org/drawingml/2006/main">
              <a:graphicData uri="http://schemas.openxmlformats.org/drawingml/2006/picture">
                <pic:pic xmlns:pic="http://schemas.openxmlformats.org/drawingml/2006/picture">
                  <pic:nvPicPr>
                    <pic:cNvPr id="11270" name="Picture 9"/>
                    <pic:cNvPicPr>
                      <a:picLocks noChangeAspect="1" noChangeArrowheads="1"/>
                    </pic:cNvPicPr>
                  </pic:nvPicPr>
                  <pic:blipFill>
                    <a:blip r:embed="rId179" cstate="print">
                      <a:lum bright="3000"/>
                    </a:blip>
                    <a:srcRect/>
                    <a:stretch>
                      <a:fillRect/>
                    </a:stretch>
                  </pic:blipFill>
                  <pic:spPr bwMode="auto">
                    <a:xfrm>
                      <a:off x="0" y="0"/>
                      <a:ext cx="2674620" cy="1607820"/>
                    </a:xfrm>
                    <a:prstGeom prst="rect">
                      <a:avLst/>
                    </a:prstGeom>
                    <a:noFill/>
                    <a:ln w="9525">
                      <a:noFill/>
                      <a:miter lim="800000"/>
                      <a:headEnd/>
                      <a:tailEnd/>
                    </a:ln>
                    <a:effectLst>
                      <a:outerShdw blurRad="50800" dist="50800" dir="5400000" algn="ctr" rotWithShape="0">
                        <a:srgbClr val="000000">
                          <a:alpha val="81000"/>
                        </a:srgbClr>
                      </a:outerShdw>
                    </a:effectLst>
                  </pic:spPr>
                </pic:pic>
              </a:graphicData>
            </a:graphic>
          </wp:anchor>
        </w:drawing>
      </w:r>
      <w:r w:rsidR="000F2170" w:rsidRPr="00E9099D">
        <w:rPr>
          <w:szCs w:val="24"/>
          <w:lang w:val="en-GB"/>
        </w:rPr>
        <w:t xml:space="preserve">The total value of above mentioned projects will amount to </w:t>
      </w:r>
      <w:r w:rsidR="000F2170" w:rsidRPr="00E9099D">
        <w:rPr>
          <w:b/>
          <w:bCs/>
          <w:szCs w:val="24"/>
          <w:lang w:val="en-GB"/>
        </w:rPr>
        <w:t xml:space="preserve">EUR 44 m, </w:t>
      </w:r>
      <w:r w:rsidR="000F2170" w:rsidRPr="00E9099D">
        <w:rPr>
          <w:szCs w:val="24"/>
          <w:lang w:val="en-GB"/>
        </w:rPr>
        <w:t xml:space="preserve">with the subsidy from the ROP SV </w:t>
      </w:r>
    </w:p>
    <w:p w:rsidR="000F2170" w:rsidRPr="00E9099D" w:rsidRDefault="000F2170" w:rsidP="00C23A35">
      <w:pPr>
        <w:spacing w:after="0" w:line="240" w:lineRule="auto"/>
        <w:jc w:val="center"/>
        <w:rPr>
          <w:b/>
          <w:bCs/>
          <w:szCs w:val="24"/>
          <w:lang w:val="en-GB"/>
        </w:rPr>
      </w:pPr>
      <w:r w:rsidRPr="00E9099D">
        <w:rPr>
          <w:szCs w:val="24"/>
          <w:lang w:val="en-GB"/>
        </w:rPr>
        <w:t xml:space="preserve">of </w:t>
      </w:r>
      <w:r w:rsidRPr="00E9099D">
        <w:rPr>
          <w:b/>
          <w:bCs/>
          <w:szCs w:val="24"/>
          <w:lang w:val="en-GB"/>
        </w:rPr>
        <w:t>EUR 32 m</w:t>
      </w:r>
    </w:p>
    <w:p w:rsidR="00C23A35" w:rsidRDefault="00C23A35" w:rsidP="00C23A35">
      <w:pPr>
        <w:jc w:val="center"/>
        <w:rPr>
          <w:b/>
          <w:bCs/>
          <w:szCs w:val="24"/>
          <w:lang w:val="en-GB"/>
        </w:rPr>
      </w:pPr>
    </w:p>
    <w:p w:rsidR="00C23A35" w:rsidRPr="00E9099D" w:rsidRDefault="00C23A35" w:rsidP="00C23A35">
      <w:pPr>
        <w:jc w:val="center"/>
        <w:rPr>
          <w:szCs w:val="24"/>
          <w:lang w:val="en-GB"/>
        </w:rPr>
      </w:pPr>
      <w:r w:rsidRPr="00E9099D">
        <w:rPr>
          <w:b/>
          <w:bCs/>
          <w:szCs w:val="24"/>
          <w:lang w:val="en-GB"/>
        </w:rPr>
        <w:t xml:space="preserve">2709 </w:t>
      </w:r>
      <w:r w:rsidRPr="00E9099D">
        <w:rPr>
          <w:szCs w:val="24"/>
          <w:lang w:val="en-GB"/>
        </w:rPr>
        <w:t xml:space="preserve">on-line services were launched out of planned </w:t>
      </w:r>
      <w:r w:rsidRPr="00E9099D">
        <w:rPr>
          <w:b/>
          <w:szCs w:val="24"/>
          <w:lang w:val="en-GB"/>
        </w:rPr>
        <w:t xml:space="preserve">65 039 </w:t>
      </w:r>
      <w:r w:rsidRPr="00E9099D">
        <w:rPr>
          <w:szCs w:val="24"/>
          <w:lang w:val="en-GB"/>
        </w:rPr>
        <w:t>ones</w:t>
      </w:r>
    </w:p>
    <w:p w:rsidR="000F2170" w:rsidRPr="00E9099D" w:rsidRDefault="00C23A35" w:rsidP="000F2170">
      <w:pPr>
        <w:jc w:val="right"/>
        <w:rPr>
          <w:szCs w:val="24"/>
          <w:lang w:val="en-GB"/>
        </w:rPr>
      </w:pPr>
      <w:r>
        <w:rPr>
          <w:noProof/>
          <w:szCs w:val="24"/>
        </w:rPr>
        <w:drawing>
          <wp:anchor distT="0" distB="0" distL="114300" distR="114300" simplePos="0" relativeHeight="251770368" behindDoc="0" locked="0" layoutInCell="1" allowOverlap="1">
            <wp:simplePos x="0" y="0"/>
            <wp:positionH relativeFrom="column">
              <wp:posOffset>-363220</wp:posOffset>
            </wp:positionH>
            <wp:positionV relativeFrom="paragraph">
              <wp:posOffset>189230</wp:posOffset>
            </wp:positionV>
            <wp:extent cx="2500630" cy="1668780"/>
            <wp:effectExtent l="19050" t="0" r="0" b="0"/>
            <wp:wrapSquare wrapText="bothSides"/>
            <wp:docPr id="62" name="Obraz 16"/>
            <wp:cNvGraphicFramePr/>
            <a:graphic xmlns:a="http://schemas.openxmlformats.org/drawingml/2006/main">
              <a:graphicData uri="http://schemas.openxmlformats.org/drawingml/2006/picture">
                <pic:pic xmlns:pic="http://schemas.openxmlformats.org/drawingml/2006/picture">
                  <pic:nvPicPr>
                    <pic:cNvPr id="4101" name="Picture 7"/>
                    <pic:cNvPicPr>
                      <a:picLocks noChangeAspect="1" noChangeArrowheads="1"/>
                    </pic:cNvPicPr>
                  </pic:nvPicPr>
                  <pic:blipFill>
                    <a:blip r:embed="rId180" cstate="print"/>
                    <a:srcRect/>
                    <a:stretch>
                      <a:fillRect/>
                    </a:stretch>
                  </pic:blipFill>
                  <pic:spPr bwMode="auto">
                    <a:xfrm>
                      <a:off x="0" y="0"/>
                      <a:ext cx="2500630" cy="1668780"/>
                    </a:xfrm>
                    <a:prstGeom prst="rect">
                      <a:avLst/>
                    </a:prstGeom>
                    <a:noFill/>
                    <a:ln w="9525">
                      <a:noFill/>
                      <a:miter lim="800000"/>
                      <a:headEnd/>
                      <a:tailEnd/>
                    </a:ln>
                  </pic:spPr>
                </pic:pic>
              </a:graphicData>
            </a:graphic>
          </wp:anchor>
        </w:drawing>
      </w:r>
    </w:p>
    <w:p w:rsidR="00C23A35" w:rsidRDefault="00C23A35" w:rsidP="000F2170">
      <w:pPr>
        <w:jc w:val="right"/>
        <w:rPr>
          <w:b/>
          <w:bCs/>
          <w:szCs w:val="24"/>
          <w:lang w:val="en-GB"/>
        </w:rPr>
      </w:pPr>
    </w:p>
    <w:p w:rsidR="000F2170" w:rsidRPr="00C23A35" w:rsidRDefault="00C23A35" w:rsidP="00C23A35">
      <w:pPr>
        <w:jc w:val="right"/>
        <w:rPr>
          <w:b/>
          <w:bCs/>
          <w:szCs w:val="24"/>
          <w:lang w:val="en-GB"/>
        </w:rPr>
      </w:pPr>
      <w:r>
        <w:rPr>
          <w:b/>
          <w:bCs/>
          <w:noProof/>
          <w:szCs w:val="24"/>
        </w:rPr>
        <w:drawing>
          <wp:anchor distT="0" distB="0" distL="114300" distR="114300" simplePos="0" relativeHeight="251769344" behindDoc="1" locked="0" layoutInCell="1" allowOverlap="1">
            <wp:simplePos x="0" y="0"/>
            <wp:positionH relativeFrom="column">
              <wp:posOffset>3416300</wp:posOffset>
            </wp:positionH>
            <wp:positionV relativeFrom="paragraph">
              <wp:posOffset>260985</wp:posOffset>
            </wp:positionV>
            <wp:extent cx="2458085" cy="1616075"/>
            <wp:effectExtent l="19050" t="0" r="0" b="0"/>
            <wp:wrapTight wrapText="bothSides">
              <wp:wrapPolygon edited="0">
                <wp:start x="-167" y="0"/>
                <wp:lineTo x="-167" y="21388"/>
                <wp:lineTo x="21594" y="21388"/>
                <wp:lineTo x="21594" y="0"/>
                <wp:lineTo x="-167" y="0"/>
              </wp:wrapPolygon>
            </wp:wrapTight>
            <wp:docPr id="63" name="Obraz 12"/>
            <wp:cNvGraphicFramePr/>
            <a:graphic xmlns:a="http://schemas.openxmlformats.org/drawingml/2006/main">
              <a:graphicData uri="http://schemas.openxmlformats.org/drawingml/2006/picture">
                <pic:pic xmlns:pic="http://schemas.openxmlformats.org/drawingml/2006/picture">
                  <pic:nvPicPr>
                    <pic:cNvPr id="12294" name="Picture 15"/>
                    <pic:cNvPicPr>
                      <a:picLocks noChangeAspect="1" noChangeArrowheads="1"/>
                    </pic:cNvPicPr>
                  </pic:nvPicPr>
                  <pic:blipFill>
                    <a:blip r:embed="rId181" cstate="print"/>
                    <a:srcRect/>
                    <a:stretch>
                      <a:fillRect/>
                    </a:stretch>
                  </pic:blipFill>
                  <pic:spPr bwMode="auto">
                    <a:xfrm>
                      <a:off x="0" y="0"/>
                      <a:ext cx="2458085" cy="1616075"/>
                    </a:xfrm>
                    <a:prstGeom prst="rect">
                      <a:avLst/>
                    </a:prstGeom>
                    <a:noFill/>
                    <a:ln w="9525">
                      <a:noFill/>
                      <a:miter lim="800000"/>
                      <a:headEnd/>
                      <a:tailEnd/>
                    </a:ln>
                  </pic:spPr>
                </pic:pic>
              </a:graphicData>
            </a:graphic>
          </wp:anchor>
        </w:drawing>
      </w:r>
    </w:p>
    <w:p w:rsidR="000F2170" w:rsidRPr="00E9099D" w:rsidRDefault="000F2170" w:rsidP="00C23A35">
      <w:pPr>
        <w:spacing w:after="0"/>
        <w:jc w:val="center"/>
        <w:rPr>
          <w:szCs w:val="24"/>
          <w:lang w:val="en-GB"/>
        </w:rPr>
      </w:pPr>
      <w:r w:rsidRPr="00E9099D">
        <w:rPr>
          <w:szCs w:val="24"/>
          <w:lang w:val="en-GB"/>
        </w:rPr>
        <w:t>Within the ROP SV</w:t>
      </w:r>
    </w:p>
    <w:p w:rsidR="000F2170" w:rsidRPr="00E9099D" w:rsidRDefault="000F2170" w:rsidP="00C23A35">
      <w:pPr>
        <w:spacing w:after="0"/>
        <w:jc w:val="center"/>
        <w:rPr>
          <w:szCs w:val="24"/>
          <w:lang w:val="en-GB"/>
        </w:rPr>
      </w:pPr>
      <w:r w:rsidRPr="00E9099D">
        <w:rPr>
          <w:szCs w:val="24"/>
          <w:lang w:val="en-GB"/>
        </w:rPr>
        <w:t xml:space="preserve">construction of </w:t>
      </w:r>
      <w:r w:rsidRPr="00E9099D">
        <w:rPr>
          <w:b/>
          <w:bCs/>
          <w:szCs w:val="24"/>
          <w:lang w:val="en-GB"/>
        </w:rPr>
        <w:t>15.98 km</w:t>
      </w:r>
      <w:r w:rsidRPr="00E9099D">
        <w:rPr>
          <w:szCs w:val="24"/>
          <w:lang w:val="en-GB"/>
        </w:rPr>
        <w:t xml:space="preserve"> roads including </w:t>
      </w:r>
      <w:r w:rsidRPr="00E9099D">
        <w:rPr>
          <w:b/>
          <w:bCs/>
          <w:szCs w:val="24"/>
          <w:lang w:val="en-GB"/>
        </w:rPr>
        <w:t xml:space="preserve">14.48km </w:t>
      </w:r>
      <w:r w:rsidRPr="00E9099D">
        <w:rPr>
          <w:szCs w:val="24"/>
          <w:lang w:val="en-GB"/>
        </w:rPr>
        <w:t xml:space="preserve">regional roads </w:t>
      </w:r>
    </w:p>
    <w:p w:rsidR="000F2170" w:rsidRPr="00E9099D" w:rsidRDefault="000F2170" w:rsidP="000F2170">
      <w:pPr>
        <w:spacing w:after="120"/>
        <w:jc w:val="center"/>
        <w:rPr>
          <w:szCs w:val="24"/>
          <w:lang w:val="en-GB"/>
        </w:rPr>
      </w:pPr>
    </w:p>
    <w:p w:rsidR="000F2170" w:rsidRPr="00E9099D" w:rsidRDefault="000F2170" w:rsidP="00C23A35">
      <w:pPr>
        <w:spacing w:after="120"/>
        <w:jc w:val="center"/>
        <w:rPr>
          <w:szCs w:val="24"/>
          <w:lang w:val="en-GB"/>
        </w:rPr>
      </w:pPr>
      <w:r w:rsidRPr="00E9099D">
        <w:rPr>
          <w:b/>
          <w:bCs/>
          <w:szCs w:val="24"/>
          <w:lang w:val="en-GB"/>
        </w:rPr>
        <w:t xml:space="preserve">149.16 </w:t>
      </w:r>
      <w:r w:rsidRPr="00E9099D">
        <w:rPr>
          <w:szCs w:val="24"/>
          <w:lang w:val="en-GB"/>
        </w:rPr>
        <w:t xml:space="preserve">out of planned </w:t>
      </w:r>
      <w:r w:rsidRPr="00E9099D">
        <w:rPr>
          <w:b/>
          <w:bCs/>
          <w:szCs w:val="24"/>
          <w:lang w:val="en-GB"/>
        </w:rPr>
        <w:t xml:space="preserve">293.82 km </w:t>
      </w:r>
      <w:r w:rsidRPr="00E9099D">
        <w:rPr>
          <w:szCs w:val="24"/>
          <w:lang w:val="en-GB"/>
        </w:rPr>
        <w:t>local roads were rebuilt</w:t>
      </w:r>
    </w:p>
    <w:p w:rsidR="000F2170" w:rsidRPr="00E9099D" w:rsidRDefault="000F2170" w:rsidP="00C23A35">
      <w:pPr>
        <w:spacing w:after="0"/>
        <w:jc w:val="center"/>
        <w:rPr>
          <w:szCs w:val="24"/>
          <w:lang w:val="en-GB"/>
        </w:rPr>
      </w:pPr>
      <w:r w:rsidRPr="00E9099D">
        <w:rPr>
          <w:szCs w:val="24"/>
          <w:lang w:val="en-GB"/>
        </w:rPr>
        <w:t xml:space="preserve">The average number of people using new means of public transport </w:t>
      </w:r>
    </w:p>
    <w:p w:rsidR="000F2170" w:rsidRPr="00E9099D" w:rsidRDefault="000F2170" w:rsidP="00C23A35">
      <w:pPr>
        <w:spacing w:after="0"/>
        <w:jc w:val="center"/>
        <w:rPr>
          <w:sz w:val="28"/>
          <w:szCs w:val="28"/>
          <w:lang w:val="en-GB"/>
        </w:rPr>
      </w:pPr>
      <w:r w:rsidRPr="00E9099D">
        <w:rPr>
          <w:szCs w:val="24"/>
          <w:lang w:val="en-GB"/>
        </w:rPr>
        <w:t xml:space="preserve">on everyday basis amount to </w:t>
      </w:r>
      <w:r w:rsidRPr="00E9099D">
        <w:rPr>
          <w:b/>
          <w:bCs/>
          <w:szCs w:val="24"/>
          <w:lang w:val="en-GB"/>
        </w:rPr>
        <w:t xml:space="preserve">133 749 </w:t>
      </w:r>
      <w:r w:rsidRPr="00E9099D">
        <w:rPr>
          <w:szCs w:val="24"/>
          <w:lang w:val="en-GB"/>
        </w:rPr>
        <w:t>persons</w:t>
      </w:r>
    </w:p>
    <w:p w:rsidR="000F2170" w:rsidRPr="000F2170" w:rsidRDefault="000F2170">
      <w:pPr>
        <w:spacing w:after="0" w:line="240" w:lineRule="auto"/>
        <w:rPr>
          <w:lang w:val="en-US"/>
        </w:rPr>
      </w:pPr>
      <w:r w:rsidRPr="000F2170">
        <w:rPr>
          <w:lang w:val="en-US"/>
        </w:rPr>
        <w:br w:type="page"/>
      </w:r>
    </w:p>
    <w:p w:rsidR="00245F70" w:rsidRPr="000F2170" w:rsidRDefault="00245F70" w:rsidP="006D71C7">
      <w:pPr>
        <w:pStyle w:val="Akapitzlist"/>
        <w:spacing w:after="0"/>
        <w:ind w:left="567"/>
        <w:jc w:val="both"/>
        <w:rPr>
          <w:lang w:val="en-US"/>
        </w:rPr>
      </w:pPr>
    </w:p>
    <w:bookmarkEnd w:id="743"/>
    <w:p w:rsidR="0005410E" w:rsidRPr="000F2170" w:rsidRDefault="0005410E" w:rsidP="006D71C7">
      <w:pPr>
        <w:widowControl w:val="0"/>
        <w:autoSpaceDE w:val="0"/>
        <w:autoSpaceDN w:val="0"/>
        <w:adjustRightInd w:val="0"/>
        <w:spacing w:after="0"/>
        <w:jc w:val="both"/>
        <w:rPr>
          <w:szCs w:val="24"/>
          <w:lang w:val="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457"/>
        <w:gridCol w:w="2631"/>
        <w:gridCol w:w="1134"/>
      </w:tblGrid>
      <w:tr w:rsidR="007F5AA2" w:rsidRPr="006D71C7" w:rsidTr="00CE5ABF">
        <w:trPr>
          <w:trHeight w:val="1134"/>
        </w:trPr>
        <w:tc>
          <w:tcPr>
            <w:tcW w:w="1809" w:type="dxa"/>
            <w:tcBorders>
              <w:bottom w:val="single" w:sz="4" w:space="0" w:color="000000"/>
            </w:tcBorders>
            <w:shd w:val="clear" w:color="auto" w:fill="D9D9D9"/>
          </w:tcPr>
          <w:p w:rsidR="0005410E" w:rsidRPr="000F2170" w:rsidRDefault="0005410E" w:rsidP="006D71C7">
            <w:pPr>
              <w:widowControl w:val="0"/>
              <w:autoSpaceDE w:val="0"/>
              <w:autoSpaceDN w:val="0"/>
              <w:adjustRightInd w:val="0"/>
              <w:spacing w:after="0" w:line="240" w:lineRule="auto"/>
              <w:jc w:val="both"/>
              <w:rPr>
                <w:sz w:val="20"/>
                <w:szCs w:val="20"/>
                <w:lang w:val="en-US"/>
              </w:rPr>
            </w:pPr>
          </w:p>
        </w:tc>
        <w:tc>
          <w:tcPr>
            <w:tcW w:w="4457" w:type="dxa"/>
            <w:shd w:val="clear" w:color="auto" w:fill="D9D9D9"/>
            <w:vAlign w:val="center"/>
          </w:tcPr>
          <w:p w:rsidR="0005410E" w:rsidRPr="006D71C7" w:rsidRDefault="0005410E" w:rsidP="006D71C7">
            <w:pPr>
              <w:widowControl w:val="0"/>
              <w:autoSpaceDE w:val="0"/>
              <w:autoSpaceDN w:val="0"/>
              <w:adjustRightInd w:val="0"/>
              <w:spacing w:after="0" w:line="240" w:lineRule="auto"/>
              <w:jc w:val="both"/>
              <w:rPr>
                <w:b/>
                <w:sz w:val="20"/>
                <w:szCs w:val="20"/>
              </w:rPr>
            </w:pPr>
            <w:r w:rsidRPr="006D71C7">
              <w:rPr>
                <w:b/>
                <w:sz w:val="20"/>
                <w:szCs w:val="20"/>
              </w:rPr>
              <w:t>IMIĘ I NAZWISKO</w:t>
            </w:r>
          </w:p>
        </w:tc>
        <w:tc>
          <w:tcPr>
            <w:tcW w:w="2631" w:type="dxa"/>
            <w:shd w:val="clear" w:color="auto" w:fill="D9D9D9"/>
            <w:vAlign w:val="center"/>
          </w:tcPr>
          <w:p w:rsidR="0005410E" w:rsidRPr="006D71C7" w:rsidRDefault="0005410E" w:rsidP="006D71C7">
            <w:pPr>
              <w:widowControl w:val="0"/>
              <w:autoSpaceDE w:val="0"/>
              <w:autoSpaceDN w:val="0"/>
              <w:adjustRightInd w:val="0"/>
              <w:spacing w:after="0" w:line="240" w:lineRule="auto"/>
              <w:jc w:val="both"/>
              <w:rPr>
                <w:b/>
                <w:sz w:val="20"/>
                <w:szCs w:val="20"/>
              </w:rPr>
            </w:pPr>
            <w:r w:rsidRPr="006D71C7">
              <w:rPr>
                <w:b/>
                <w:sz w:val="20"/>
                <w:szCs w:val="20"/>
              </w:rPr>
              <w:t>PODPIS</w:t>
            </w:r>
          </w:p>
        </w:tc>
        <w:tc>
          <w:tcPr>
            <w:tcW w:w="1134" w:type="dxa"/>
            <w:shd w:val="clear" w:color="auto" w:fill="D9D9D9"/>
            <w:vAlign w:val="center"/>
          </w:tcPr>
          <w:p w:rsidR="0005410E" w:rsidRPr="006D71C7" w:rsidRDefault="0005410E" w:rsidP="006D71C7">
            <w:pPr>
              <w:widowControl w:val="0"/>
              <w:autoSpaceDE w:val="0"/>
              <w:autoSpaceDN w:val="0"/>
              <w:adjustRightInd w:val="0"/>
              <w:spacing w:after="0" w:line="240" w:lineRule="auto"/>
              <w:jc w:val="both"/>
              <w:rPr>
                <w:b/>
                <w:sz w:val="20"/>
                <w:szCs w:val="20"/>
              </w:rPr>
            </w:pPr>
            <w:r w:rsidRPr="006D71C7">
              <w:rPr>
                <w:b/>
                <w:sz w:val="20"/>
                <w:szCs w:val="20"/>
              </w:rPr>
              <w:t>DATA</w:t>
            </w:r>
          </w:p>
        </w:tc>
      </w:tr>
      <w:tr w:rsidR="007F5AA2" w:rsidRPr="006D71C7" w:rsidTr="00CE5ABF">
        <w:trPr>
          <w:trHeight w:val="666"/>
        </w:trPr>
        <w:tc>
          <w:tcPr>
            <w:tcW w:w="1809" w:type="dxa"/>
            <w:shd w:val="clear" w:color="auto" w:fill="D9D9D9"/>
            <w:vAlign w:val="center"/>
          </w:tcPr>
          <w:p w:rsidR="0005410E" w:rsidRPr="006D71C7" w:rsidRDefault="0005410E" w:rsidP="006D71C7">
            <w:pPr>
              <w:widowControl w:val="0"/>
              <w:autoSpaceDE w:val="0"/>
              <w:autoSpaceDN w:val="0"/>
              <w:adjustRightInd w:val="0"/>
              <w:spacing w:after="0" w:line="240" w:lineRule="auto"/>
              <w:jc w:val="both"/>
              <w:rPr>
                <w:b/>
                <w:sz w:val="20"/>
                <w:szCs w:val="20"/>
              </w:rPr>
            </w:pPr>
            <w:r w:rsidRPr="006D71C7">
              <w:rPr>
                <w:b/>
                <w:sz w:val="20"/>
                <w:szCs w:val="20"/>
              </w:rPr>
              <w:t>OPRACOWAŁ:</w:t>
            </w:r>
          </w:p>
        </w:tc>
        <w:tc>
          <w:tcPr>
            <w:tcW w:w="4457" w:type="dxa"/>
            <w:vAlign w:val="center"/>
          </w:tcPr>
          <w:p w:rsidR="0005410E" w:rsidRPr="006D71C7" w:rsidRDefault="0005410E" w:rsidP="006D71C7">
            <w:pPr>
              <w:widowControl w:val="0"/>
              <w:autoSpaceDE w:val="0"/>
              <w:autoSpaceDN w:val="0"/>
              <w:adjustRightInd w:val="0"/>
              <w:spacing w:after="0" w:line="240" w:lineRule="auto"/>
              <w:jc w:val="both"/>
              <w:rPr>
                <w:i/>
                <w:sz w:val="20"/>
                <w:szCs w:val="20"/>
              </w:rPr>
            </w:pPr>
          </w:p>
          <w:p w:rsidR="0005410E" w:rsidRPr="006D71C7" w:rsidRDefault="0005410E" w:rsidP="006D71C7">
            <w:pPr>
              <w:widowControl w:val="0"/>
              <w:autoSpaceDE w:val="0"/>
              <w:autoSpaceDN w:val="0"/>
              <w:adjustRightInd w:val="0"/>
              <w:spacing w:after="0" w:line="240" w:lineRule="auto"/>
              <w:jc w:val="both"/>
              <w:rPr>
                <w:i/>
                <w:sz w:val="20"/>
                <w:szCs w:val="20"/>
              </w:rPr>
            </w:pPr>
            <w:r w:rsidRPr="006D71C7">
              <w:rPr>
                <w:i/>
                <w:sz w:val="20"/>
                <w:szCs w:val="20"/>
              </w:rPr>
              <w:t>Małgorzata Durda</w:t>
            </w:r>
          </w:p>
          <w:p w:rsidR="0005410E" w:rsidRPr="006D71C7" w:rsidRDefault="0005410E" w:rsidP="006D71C7">
            <w:pPr>
              <w:widowControl w:val="0"/>
              <w:autoSpaceDE w:val="0"/>
              <w:autoSpaceDN w:val="0"/>
              <w:adjustRightInd w:val="0"/>
              <w:spacing w:after="0" w:line="240" w:lineRule="auto"/>
              <w:jc w:val="both"/>
              <w:rPr>
                <w:i/>
                <w:sz w:val="20"/>
                <w:szCs w:val="20"/>
              </w:rPr>
            </w:pPr>
            <w:r w:rsidRPr="006D71C7">
              <w:rPr>
                <w:i/>
                <w:sz w:val="20"/>
                <w:szCs w:val="20"/>
              </w:rPr>
              <w:t>Koordynator zespołu ds. sprawozdawczości</w:t>
            </w:r>
          </w:p>
        </w:tc>
        <w:tc>
          <w:tcPr>
            <w:tcW w:w="2631" w:type="dxa"/>
          </w:tcPr>
          <w:p w:rsidR="0005410E" w:rsidRPr="006D71C7" w:rsidRDefault="0005410E" w:rsidP="006D71C7">
            <w:pPr>
              <w:widowControl w:val="0"/>
              <w:autoSpaceDE w:val="0"/>
              <w:autoSpaceDN w:val="0"/>
              <w:adjustRightInd w:val="0"/>
              <w:spacing w:after="0" w:line="240" w:lineRule="auto"/>
              <w:jc w:val="both"/>
              <w:rPr>
                <w:sz w:val="20"/>
                <w:szCs w:val="20"/>
              </w:rPr>
            </w:pPr>
          </w:p>
        </w:tc>
        <w:tc>
          <w:tcPr>
            <w:tcW w:w="1134" w:type="dxa"/>
          </w:tcPr>
          <w:p w:rsidR="0005410E" w:rsidRPr="006D71C7" w:rsidRDefault="0005410E" w:rsidP="006D71C7">
            <w:pPr>
              <w:widowControl w:val="0"/>
              <w:autoSpaceDE w:val="0"/>
              <w:autoSpaceDN w:val="0"/>
              <w:adjustRightInd w:val="0"/>
              <w:spacing w:after="0" w:line="240" w:lineRule="auto"/>
              <w:jc w:val="both"/>
              <w:rPr>
                <w:sz w:val="20"/>
                <w:szCs w:val="20"/>
              </w:rPr>
            </w:pPr>
          </w:p>
        </w:tc>
      </w:tr>
      <w:tr w:rsidR="007F5AA2" w:rsidRPr="006D71C7" w:rsidTr="00CE5ABF">
        <w:trPr>
          <w:trHeight w:val="976"/>
        </w:trPr>
        <w:tc>
          <w:tcPr>
            <w:tcW w:w="1809" w:type="dxa"/>
            <w:shd w:val="clear" w:color="auto" w:fill="D9D9D9"/>
            <w:vAlign w:val="center"/>
          </w:tcPr>
          <w:p w:rsidR="0005410E" w:rsidRPr="006D71C7" w:rsidRDefault="0005410E" w:rsidP="006D71C7">
            <w:pPr>
              <w:widowControl w:val="0"/>
              <w:autoSpaceDE w:val="0"/>
              <w:autoSpaceDN w:val="0"/>
              <w:adjustRightInd w:val="0"/>
              <w:spacing w:after="0" w:line="240" w:lineRule="auto"/>
              <w:jc w:val="both"/>
              <w:rPr>
                <w:b/>
                <w:sz w:val="20"/>
                <w:szCs w:val="20"/>
              </w:rPr>
            </w:pPr>
            <w:r w:rsidRPr="006D71C7">
              <w:rPr>
                <w:b/>
                <w:sz w:val="20"/>
                <w:szCs w:val="20"/>
              </w:rPr>
              <w:t>AKCEPTOWAŁ:</w:t>
            </w:r>
          </w:p>
        </w:tc>
        <w:tc>
          <w:tcPr>
            <w:tcW w:w="4457" w:type="dxa"/>
            <w:vAlign w:val="center"/>
          </w:tcPr>
          <w:p w:rsidR="00CF067A" w:rsidRPr="006D71C7" w:rsidRDefault="00CF067A" w:rsidP="006D71C7">
            <w:pPr>
              <w:widowControl w:val="0"/>
              <w:autoSpaceDE w:val="0"/>
              <w:autoSpaceDN w:val="0"/>
              <w:adjustRightInd w:val="0"/>
              <w:spacing w:after="0" w:line="240" w:lineRule="auto"/>
              <w:jc w:val="both"/>
              <w:rPr>
                <w:i/>
                <w:sz w:val="20"/>
                <w:szCs w:val="20"/>
              </w:rPr>
            </w:pPr>
            <w:r w:rsidRPr="006D71C7">
              <w:rPr>
                <w:i/>
                <w:sz w:val="20"/>
                <w:szCs w:val="20"/>
              </w:rPr>
              <w:t>Magdalena Sadek</w:t>
            </w:r>
          </w:p>
          <w:p w:rsidR="0005410E" w:rsidRPr="006D71C7" w:rsidRDefault="0005410E" w:rsidP="006D71C7">
            <w:pPr>
              <w:widowControl w:val="0"/>
              <w:autoSpaceDE w:val="0"/>
              <w:autoSpaceDN w:val="0"/>
              <w:adjustRightInd w:val="0"/>
              <w:spacing w:after="0" w:line="240" w:lineRule="auto"/>
              <w:jc w:val="both"/>
              <w:rPr>
                <w:i/>
                <w:sz w:val="20"/>
                <w:szCs w:val="20"/>
              </w:rPr>
            </w:pPr>
            <w:r w:rsidRPr="006D71C7">
              <w:rPr>
                <w:i/>
                <w:sz w:val="20"/>
                <w:szCs w:val="20"/>
              </w:rPr>
              <w:t>Kierownik referatu ds. monitoringu i kontroli</w:t>
            </w:r>
            <w:r w:rsidR="00CF067A" w:rsidRPr="006D71C7">
              <w:rPr>
                <w:i/>
                <w:sz w:val="20"/>
                <w:szCs w:val="20"/>
              </w:rPr>
              <w:t xml:space="preserve"> programu</w:t>
            </w:r>
          </w:p>
        </w:tc>
        <w:tc>
          <w:tcPr>
            <w:tcW w:w="2631" w:type="dxa"/>
          </w:tcPr>
          <w:p w:rsidR="0005410E" w:rsidRPr="006D71C7" w:rsidRDefault="0005410E" w:rsidP="006D71C7">
            <w:pPr>
              <w:widowControl w:val="0"/>
              <w:autoSpaceDE w:val="0"/>
              <w:autoSpaceDN w:val="0"/>
              <w:adjustRightInd w:val="0"/>
              <w:spacing w:after="0" w:line="240" w:lineRule="auto"/>
              <w:jc w:val="both"/>
              <w:rPr>
                <w:sz w:val="20"/>
                <w:szCs w:val="20"/>
              </w:rPr>
            </w:pPr>
          </w:p>
        </w:tc>
        <w:tc>
          <w:tcPr>
            <w:tcW w:w="1134" w:type="dxa"/>
          </w:tcPr>
          <w:p w:rsidR="0005410E" w:rsidRPr="006D71C7" w:rsidRDefault="0005410E" w:rsidP="006D71C7">
            <w:pPr>
              <w:widowControl w:val="0"/>
              <w:autoSpaceDE w:val="0"/>
              <w:autoSpaceDN w:val="0"/>
              <w:adjustRightInd w:val="0"/>
              <w:spacing w:after="0" w:line="240" w:lineRule="auto"/>
              <w:jc w:val="both"/>
              <w:rPr>
                <w:sz w:val="20"/>
                <w:szCs w:val="20"/>
              </w:rPr>
            </w:pPr>
          </w:p>
        </w:tc>
      </w:tr>
      <w:tr w:rsidR="007F5AA2" w:rsidRPr="006D71C7" w:rsidTr="00CE5ABF">
        <w:trPr>
          <w:trHeight w:val="860"/>
        </w:trPr>
        <w:tc>
          <w:tcPr>
            <w:tcW w:w="1809" w:type="dxa"/>
            <w:shd w:val="clear" w:color="auto" w:fill="D9D9D9"/>
            <w:vAlign w:val="center"/>
          </w:tcPr>
          <w:p w:rsidR="0005410E" w:rsidRPr="006D71C7" w:rsidRDefault="0005410E" w:rsidP="006D71C7">
            <w:pPr>
              <w:widowControl w:val="0"/>
              <w:autoSpaceDE w:val="0"/>
              <w:autoSpaceDN w:val="0"/>
              <w:adjustRightInd w:val="0"/>
              <w:spacing w:after="0" w:line="240" w:lineRule="auto"/>
              <w:jc w:val="both"/>
              <w:rPr>
                <w:b/>
                <w:sz w:val="20"/>
                <w:szCs w:val="20"/>
              </w:rPr>
            </w:pPr>
            <w:r w:rsidRPr="006D71C7">
              <w:rPr>
                <w:b/>
                <w:sz w:val="20"/>
                <w:szCs w:val="20"/>
              </w:rPr>
              <w:t>ZATWIERDZIŁ:</w:t>
            </w:r>
          </w:p>
        </w:tc>
        <w:tc>
          <w:tcPr>
            <w:tcW w:w="4457" w:type="dxa"/>
            <w:vAlign w:val="center"/>
          </w:tcPr>
          <w:p w:rsidR="0005410E" w:rsidRPr="006D71C7" w:rsidRDefault="0005410E" w:rsidP="006D71C7">
            <w:pPr>
              <w:widowControl w:val="0"/>
              <w:autoSpaceDE w:val="0"/>
              <w:autoSpaceDN w:val="0"/>
              <w:adjustRightInd w:val="0"/>
              <w:spacing w:after="0" w:line="240" w:lineRule="auto"/>
              <w:jc w:val="both"/>
              <w:rPr>
                <w:i/>
                <w:sz w:val="20"/>
                <w:szCs w:val="20"/>
              </w:rPr>
            </w:pPr>
          </w:p>
        </w:tc>
        <w:tc>
          <w:tcPr>
            <w:tcW w:w="2631" w:type="dxa"/>
          </w:tcPr>
          <w:p w:rsidR="0005410E" w:rsidRPr="006D71C7" w:rsidRDefault="0005410E" w:rsidP="006D71C7">
            <w:pPr>
              <w:widowControl w:val="0"/>
              <w:autoSpaceDE w:val="0"/>
              <w:autoSpaceDN w:val="0"/>
              <w:adjustRightInd w:val="0"/>
              <w:spacing w:after="0" w:line="240" w:lineRule="auto"/>
              <w:jc w:val="both"/>
              <w:rPr>
                <w:sz w:val="20"/>
                <w:szCs w:val="20"/>
              </w:rPr>
            </w:pPr>
          </w:p>
        </w:tc>
        <w:tc>
          <w:tcPr>
            <w:tcW w:w="1134" w:type="dxa"/>
          </w:tcPr>
          <w:p w:rsidR="0005410E" w:rsidRPr="006D71C7" w:rsidRDefault="0005410E" w:rsidP="006D71C7">
            <w:pPr>
              <w:widowControl w:val="0"/>
              <w:autoSpaceDE w:val="0"/>
              <w:autoSpaceDN w:val="0"/>
              <w:adjustRightInd w:val="0"/>
              <w:spacing w:after="0" w:line="240" w:lineRule="auto"/>
              <w:jc w:val="both"/>
              <w:rPr>
                <w:sz w:val="20"/>
                <w:szCs w:val="20"/>
              </w:rPr>
            </w:pPr>
          </w:p>
        </w:tc>
      </w:tr>
    </w:tbl>
    <w:p w:rsidR="005A5814" w:rsidRPr="006D71C7" w:rsidRDefault="005A5814" w:rsidP="006D71C7">
      <w:pPr>
        <w:jc w:val="both"/>
      </w:pPr>
    </w:p>
    <w:sectPr w:rsidR="005A5814" w:rsidRPr="006D71C7" w:rsidSect="00CC06A3">
      <w:footerReference w:type="default" r:id="rId182"/>
      <w:endnotePr>
        <w:numFmt w:val="decimal"/>
      </w:endnotePr>
      <w:type w:val="continuous"/>
      <w:pgSz w:w="11906" w:h="16838" w:code="9"/>
      <w:pgMar w:top="1134" w:right="1418" w:bottom="1418" w:left="1418" w:header="0" w:footer="726"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93D" w:rsidRDefault="0046793D" w:rsidP="0005410E">
      <w:pPr>
        <w:spacing w:after="0" w:line="240" w:lineRule="auto"/>
      </w:pPr>
      <w:r>
        <w:separator/>
      </w:r>
    </w:p>
  </w:endnote>
  <w:endnote w:type="continuationSeparator" w:id="0">
    <w:p w:rsidR="0046793D" w:rsidRDefault="0046793D" w:rsidP="00054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Franklin Gothic Book">
    <w:altName w:val="Times New Roman"/>
    <w:panose1 w:val="020B05030201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Perpetua">
    <w:altName w:val="Times New Roman"/>
    <w:panose1 w:val="02020502060401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imesNewRoman">
    <w:altName w:val="Times New Roman"/>
    <w:charset w:val="00"/>
    <w:family w:val="auto"/>
    <w:pitch w:val="default"/>
    <w:sig w:usb0="00000007" w:usb1="00000000" w:usb2="00000000" w:usb3="00000000" w:csb0="00000003" w:csb1="00000000"/>
  </w:font>
  <w:font w:name="+mn-ea">
    <w:panose1 w:val="00000000000000000000"/>
    <w:charset w:val="00"/>
    <w:family w:val="roman"/>
    <w:notTrueType/>
    <w:pitch w:val="default"/>
  </w:font>
  <w:font w:name="CenturyGothic">
    <w:altName w:val="MS Mincho"/>
    <w:panose1 w:val="00000000000000000000"/>
    <w:charset w:val="80"/>
    <w:family w:val="auto"/>
    <w:notTrueType/>
    <w:pitch w:val="default"/>
    <w:sig w:usb0="00000005" w:usb1="08070000" w:usb2="00000010" w:usb3="00000000" w:csb0="00020002" w:csb1="00000000"/>
  </w:font>
  <w:font w:name="Garamond">
    <w:panose1 w:val="02020404030301010803"/>
    <w:charset w:val="EE"/>
    <w:family w:val="roman"/>
    <w:pitch w:val="variable"/>
    <w:sig w:usb0="00000287" w:usb1="00000000" w:usb2="00000000" w:usb3="00000000" w:csb0="0000009F" w:csb1="00000000"/>
  </w:font>
  <w:font w:name="SwitzerPSEFNLight">
    <w:altName w:val="MS Mincho"/>
    <w:panose1 w:val="00000000000000000000"/>
    <w:charset w:val="80"/>
    <w:family w:val="auto"/>
    <w:notTrueType/>
    <w:pitch w:val="default"/>
    <w:sig w:usb0="00000000" w:usb1="08070000" w:usb2="00000010" w:usb3="00000000" w:csb0="00020000"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94"/>
    </w:tblGrid>
    <w:tr w:rsidR="001B5A91" w:rsidTr="00CC06A3">
      <w:trPr>
        <w:trHeight w:val="9643"/>
      </w:trPr>
      <w:tc>
        <w:tcPr>
          <w:tcW w:w="498" w:type="dxa"/>
          <w:tcBorders>
            <w:bottom w:val="single" w:sz="4" w:space="0" w:color="auto"/>
          </w:tcBorders>
          <w:textDirection w:val="btLr"/>
        </w:tcPr>
        <w:p w:rsidR="001B5A91" w:rsidRPr="00DA56FE" w:rsidRDefault="001B5A91">
          <w:pPr>
            <w:pStyle w:val="Nagwek"/>
            <w:ind w:left="113" w:right="113"/>
            <w:rPr>
              <w:i/>
              <w:sz w:val="20"/>
              <w:szCs w:val="20"/>
            </w:rPr>
          </w:pPr>
          <w:r w:rsidRPr="00DA56FE">
            <w:rPr>
              <w:i/>
              <w:color w:val="D34817" w:themeColor="accent1"/>
              <w:sz w:val="20"/>
              <w:szCs w:val="20"/>
            </w:rPr>
            <w:t xml:space="preserve">Rozdział: </w:t>
          </w:r>
          <w:r w:rsidRPr="00DA56FE">
            <w:rPr>
              <w:i/>
              <w:sz w:val="20"/>
              <w:szCs w:val="20"/>
            </w:rPr>
            <w:fldChar w:fldCharType="begin"/>
          </w:r>
          <w:r w:rsidRPr="00DA56FE">
            <w:rPr>
              <w:i/>
              <w:sz w:val="20"/>
              <w:szCs w:val="20"/>
            </w:rPr>
            <w:instrText xml:space="preserve"> STYLEREF  "1"  </w:instrText>
          </w:r>
          <w:r w:rsidRPr="00DA56FE">
            <w:rPr>
              <w:i/>
              <w:sz w:val="20"/>
              <w:szCs w:val="20"/>
            </w:rPr>
            <w:fldChar w:fldCharType="separate"/>
          </w:r>
          <w:r w:rsidR="0098262D">
            <w:rPr>
              <w:i/>
              <w:noProof/>
              <w:sz w:val="20"/>
              <w:szCs w:val="20"/>
            </w:rPr>
            <w:t>Spis treści</w:t>
          </w:r>
          <w:r w:rsidRPr="00DA56FE">
            <w:rPr>
              <w:i/>
              <w:sz w:val="20"/>
              <w:szCs w:val="20"/>
            </w:rPr>
            <w:fldChar w:fldCharType="end"/>
          </w:r>
        </w:p>
      </w:tc>
    </w:tr>
    <w:tr w:rsidR="001B5A91">
      <w:tc>
        <w:tcPr>
          <w:tcW w:w="498" w:type="dxa"/>
          <w:tcBorders>
            <w:top w:val="single" w:sz="4" w:space="0" w:color="auto"/>
          </w:tcBorders>
        </w:tcPr>
        <w:p w:rsidR="001B5A91" w:rsidRPr="00DA56FE" w:rsidRDefault="001B5A91">
          <w:pPr>
            <w:pStyle w:val="Stopka"/>
            <w:rPr>
              <w:b/>
              <w:i/>
              <w:sz w:val="20"/>
              <w:szCs w:val="20"/>
            </w:rPr>
          </w:pPr>
          <w:r w:rsidRPr="00DA56FE">
            <w:rPr>
              <w:b/>
              <w:i/>
              <w:sz w:val="20"/>
              <w:szCs w:val="20"/>
            </w:rPr>
            <w:fldChar w:fldCharType="begin"/>
          </w:r>
          <w:r w:rsidRPr="00DA56FE">
            <w:rPr>
              <w:b/>
              <w:i/>
              <w:sz w:val="20"/>
              <w:szCs w:val="20"/>
            </w:rPr>
            <w:instrText xml:space="preserve"> PAGE   \* MERGEFORMAT </w:instrText>
          </w:r>
          <w:r w:rsidRPr="00DA56FE">
            <w:rPr>
              <w:b/>
              <w:i/>
              <w:sz w:val="20"/>
              <w:szCs w:val="20"/>
            </w:rPr>
            <w:fldChar w:fldCharType="separate"/>
          </w:r>
          <w:r w:rsidR="0098262D" w:rsidRPr="0098262D">
            <w:rPr>
              <w:b/>
              <w:i/>
              <w:noProof/>
              <w:color w:val="D34817" w:themeColor="accent1"/>
              <w:sz w:val="20"/>
              <w:szCs w:val="20"/>
            </w:rPr>
            <w:t>2</w:t>
          </w:r>
          <w:r w:rsidRPr="00DA56FE">
            <w:rPr>
              <w:b/>
              <w:i/>
              <w:sz w:val="20"/>
              <w:szCs w:val="20"/>
            </w:rPr>
            <w:fldChar w:fldCharType="end"/>
          </w:r>
        </w:p>
      </w:tc>
    </w:tr>
    <w:tr w:rsidR="001B5A91">
      <w:trPr>
        <w:trHeight w:val="768"/>
      </w:trPr>
      <w:tc>
        <w:tcPr>
          <w:tcW w:w="498" w:type="dxa"/>
        </w:tcPr>
        <w:p w:rsidR="001B5A91" w:rsidRDefault="001B5A91">
          <w:pPr>
            <w:pStyle w:val="Nagwek"/>
          </w:pPr>
        </w:p>
      </w:tc>
    </w:tr>
  </w:tbl>
  <w:p w:rsidR="001B5A91" w:rsidRPr="002B087F" w:rsidRDefault="001B5A91">
    <w:pPr>
      <w:widowControl w:val="0"/>
      <w:autoSpaceDE w:val="0"/>
      <w:autoSpaceDN w:val="0"/>
      <w:adjustRightInd w:val="0"/>
      <w:spacing w:after="0" w:line="200" w:lineRule="exact"/>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374" w:type="pct"/>
      <w:tblLook w:val="04A0" w:firstRow="1" w:lastRow="0" w:firstColumn="1" w:lastColumn="0" w:noHBand="0" w:noVBand="1"/>
    </w:tblPr>
    <w:tblGrid>
      <w:gridCol w:w="694"/>
    </w:tblGrid>
    <w:tr w:rsidR="001B5A91" w:rsidTr="006C1908">
      <w:trPr>
        <w:trHeight w:val="10166"/>
      </w:trPr>
      <w:tc>
        <w:tcPr>
          <w:tcW w:w="694" w:type="dxa"/>
          <w:tcBorders>
            <w:bottom w:val="single" w:sz="4" w:space="0" w:color="auto"/>
          </w:tcBorders>
          <w:textDirection w:val="btLr"/>
        </w:tcPr>
        <w:p w:rsidR="001B5A91" w:rsidRPr="006C1908" w:rsidRDefault="001B5A91">
          <w:pPr>
            <w:pStyle w:val="Nagwek"/>
            <w:ind w:left="113" w:right="113"/>
            <w:rPr>
              <w:sz w:val="20"/>
              <w:szCs w:val="20"/>
            </w:rPr>
          </w:pPr>
          <w:r w:rsidRPr="00763B83">
            <w:rPr>
              <w:color w:val="D34817" w:themeColor="accent1"/>
              <w:sz w:val="20"/>
              <w:szCs w:val="20"/>
            </w:rPr>
            <w:t>R</w:t>
          </w:r>
          <w:r w:rsidRPr="00763B83">
            <w:rPr>
              <w:i/>
              <w:color w:val="D34817" w:themeColor="accent1"/>
              <w:sz w:val="20"/>
              <w:szCs w:val="20"/>
            </w:rPr>
            <w:t xml:space="preserve">ozdział: </w:t>
          </w:r>
          <w:r w:rsidRPr="00763B83">
            <w:rPr>
              <w:i/>
              <w:sz w:val="20"/>
              <w:szCs w:val="20"/>
            </w:rPr>
            <w:fldChar w:fldCharType="begin"/>
          </w:r>
          <w:r w:rsidRPr="00763B83">
            <w:rPr>
              <w:i/>
              <w:sz w:val="20"/>
              <w:szCs w:val="20"/>
            </w:rPr>
            <w:instrText xml:space="preserve"> STYLEREF  "1"  </w:instrText>
          </w:r>
          <w:r w:rsidRPr="00763B83">
            <w:rPr>
              <w:i/>
              <w:sz w:val="20"/>
              <w:szCs w:val="20"/>
            </w:rPr>
            <w:fldChar w:fldCharType="separate"/>
          </w:r>
          <w:r w:rsidR="00002840">
            <w:rPr>
              <w:i/>
              <w:noProof/>
              <w:sz w:val="20"/>
              <w:szCs w:val="20"/>
            </w:rPr>
            <w:t>POSTP FINANSOWY I RZECZOWY</w:t>
          </w:r>
          <w:r w:rsidRPr="00763B83">
            <w:rPr>
              <w:i/>
              <w:sz w:val="20"/>
              <w:szCs w:val="20"/>
            </w:rPr>
            <w:fldChar w:fldCharType="end"/>
          </w:r>
        </w:p>
      </w:tc>
    </w:tr>
    <w:tr w:rsidR="001B5A91" w:rsidTr="006C1908">
      <w:tc>
        <w:tcPr>
          <w:tcW w:w="694" w:type="dxa"/>
          <w:tcBorders>
            <w:top w:val="single" w:sz="4" w:space="0" w:color="auto"/>
          </w:tcBorders>
        </w:tcPr>
        <w:p w:rsidR="001B5A91" w:rsidRPr="006C1908" w:rsidRDefault="001B5A91">
          <w:pPr>
            <w:pStyle w:val="Stopka"/>
            <w:rPr>
              <w:sz w:val="20"/>
              <w:szCs w:val="20"/>
            </w:rPr>
          </w:pPr>
          <w:r w:rsidRPr="00763B83">
            <w:rPr>
              <w:sz w:val="20"/>
              <w:szCs w:val="20"/>
            </w:rPr>
            <w:fldChar w:fldCharType="begin"/>
          </w:r>
          <w:r w:rsidRPr="00763B83">
            <w:rPr>
              <w:sz w:val="20"/>
              <w:szCs w:val="20"/>
            </w:rPr>
            <w:instrText xml:space="preserve"> PAGE   \* MERGEFORMAT </w:instrText>
          </w:r>
          <w:r w:rsidRPr="00763B83">
            <w:rPr>
              <w:sz w:val="20"/>
              <w:szCs w:val="20"/>
            </w:rPr>
            <w:fldChar w:fldCharType="separate"/>
          </w:r>
          <w:r w:rsidR="00002840" w:rsidRPr="00002840">
            <w:rPr>
              <w:noProof/>
              <w:color w:val="D34817" w:themeColor="accent1"/>
              <w:sz w:val="20"/>
              <w:szCs w:val="20"/>
            </w:rPr>
            <w:t>37</w:t>
          </w:r>
          <w:r w:rsidRPr="00763B83">
            <w:rPr>
              <w:sz w:val="20"/>
              <w:szCs w:val="20"/>
            </w:rPr>
            <w:fldChar w:fldCharType="end"/>
          </w:r>
        </w:p>
      </w:tc>
    </w:tr>
    <w:tr w:rsidR="001B5A91" w:rsidTr="006C1908">
      <w:trPr>
        <w:trHeight w:val="768"/>
      </w:trPr>
      <w:tc>
        <w:tcPr>
          <w:tcW w:w="694" w:type="dxa"/>
        </w:tcPr>
        <w:p w:rsidR="001B5A91" w:rsidRDefault="001B5A91">
          <w:pPr>
            <w:pStyle w:val="Nagwek"/>
          </w:pPr>
        </w:p>
      </w:tc>
    </w:tr>
  </w:tbl>
  <w:p w:rsidR="001B5A91" w:rsidRPr="00125E2F" w:rsidRDefault="001B5A91" w:rsidP="0005410E">
    <w:pPr>
      <w:pStyle w:val="Stopka"/>
      <w:spacing w:after="0"/>
      <w:rPr>
        <w: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94"/>
    </w:tblGrid>
    <w:tr w:rsidR="001B5A91">
      <w:trPr>
        <w:trHeight w:val="10166"/>
      </w:trPr>
      <w:tc>
        <w:tcPr>
          <w:tcW w:w="498" w:type="dxa"/>
          <w:tcBorders>
            <w:bottom w:val="single" w:sz="4" w:space="0" w:color="auto"/>
          </w:tcBorders>
          <w:textDirection w:val="btLr"/>
        </w:tcPr>
        <w:p w:rsidR="001B5A91" w:rsidRPr="006C1908" w:rsidRDefault="001B5A91">
          <w:pPr>
            <w:pStyle w:val="Nagwek"/>
            <w:ind w:left="113" w:right="113"/>
            <w:rPr>
              <w:i/>
              <w:sz w:val="20"/>
              <w:szCs w:val="20"/>
            </w:rPr>
          </w:pPr>
          <w:r w:rsidRPr="007338BD">
            <w:rPr>
              <w:i/>
              <w:color w:val="D34817" w:themeColor="accent1"/>
              <w:sz w:val="20"/>
              <w:szCs w:val="20"/>
            </w:rPr>
            <w:t xml:space="preserve">Rozdział: </w:t>
          </w:r>
          <w:r w:rsidRPr="006C1908">
            <w:rPr>
              <w:i/>
              <w:sz w:val="20"/>
              <w:szCs w:val="20"/>
            </w:rPr>
            <w:fldChar w:fldCharType="begin"/>
          </w:r>
          <w:r w:rsidRPr="006C1908">
            <w:rPr>
              <w:i/>
              <w:sz w:val="20"/>
              <w:szCs w:val="20"/>
            </w:rPr>
            <w:instrText xml:space="preserve"> STYLEREF  "1"  </w:instrText>
          </w:r>
          <w:r w:rsidRPr="006C1908">
            <w:rPr>
              <w:i/>
              <w:sz w:val="20"/>
              <w:szCs w:val="20"/>
            </w:rPr>
            <w:fldChar w:fldCharType="separate"/>
          </w:r>
          <w:r w:rsidR="00002840">
            <w:rPr>
              <w:i/>
              <w:noProof/>
              <w:sz w:val="20"/>
              <w:szCs w:val="20"/>
            </w:rPr>
            <w:t>Analiza jakościowa (poziom priorytetu)</w:t>
          </w:r>
          <w:r w:rsidRPr="006C1908">
            <w:rPr>
              <w:i/>
              <w:sz w:val="20"/>
              <w:szCs w:val="20"/>
            </w:rPr>
            <w:fldChar w:fldCharType="end"/>
          </w:r>
        </w:p>
      </w:tc>
    </w:tr>
    <w:tr w:rsidR="001B5A91">
      <w:tc>
        <w:tcPr>
          <w:tcW w:w="498" w:type="dxa"/>
          <w:tcBorders>
            <w:top w:val="single" w:sz="4" w:space="0" w:color="auto"/>
          </w:tcBorders>
        </w:tcPr>
        <w:p w:rsidR="001B5A91" w:rsidRPr="006C1908" w:rsidRDefault="001B5A91">
          <w:pPr>
            <w:pStyle w:val="Stopka"/>
            <w:rPr>
              <w:sz w:val="20"/>
              <w:szCs w:val="20"/>
            </w:rPr>
          </w:pPr>
          <w:r w:rsidRPr="007338BD">
            <w:rPr>
              <w:sz w:val="20"/>
              <w:szCs w:val="20"/>
            </w:rPr>
            <w:fldChar w:fldCharType="begin"/>
          </w:r>
          <w:r w:rsidRPr="007338BD">
            <w:rPr>
              <w:sz w:val="20"/>
              <w:szCs w:val="20"/>
            </w:rPr>
            <w:instrText xml:space="preserve"> PAGE   \* MERGEFORMAT </w:instrText>
          </w:r>
          <w:r w:rsidRPr="007338BD">
            <w:rPr>
              <w:sz w:val="20"/>
              <w:szCs w:val="20"/>
            </w:rPr>
            <w:fldChar w:fldCharType="separate"/>
          </w:r>
          <w:r w:rsidR="00002840" w:rsidRPr="00002840">
            <w:rPr>
              <w:noProof/>
              <w:color w:val="D34817" w:themeColor="accent1"/>
              <w:sz w:val="20"/>
              <w:szCs w:val="20"/>
            </w:rPr>
            <w:t>82</w:t>
          </w:r>
          <w:r w:rsidRPr="007338BD">
            <w:rPr>
              <w:sz w:val="20"/>
              <w:szCs w:val="20"/>
            </w:rPr>
            <w:fldChar w:fldCharType="end"/>
          </w:r>
        </w:p>
      </w:tc>
    </w:tr>
    <w:tr w:rsidR="001B5A91">
      <w:trPr>
        <w:trHeight w:val="768"/>
      </w:trPr>
      <w:tc>
        <w:tcPr>
          <w:tcW w:w="498" w:type="dxa"/>
        </w:tcPr>
        <w:p w:rsidR="001B5A91" w:rsidRDefault="001B5A91">
          <w:pPr>
            <w:pStyle w:val="Nagwek"/>
          </w:pPr>
        </w:p>
      </w:tc>
    </w:tr>
  </w:tbl>
  <w:p w:rsidR="001B5A91" w:rsidRPr="00425DF4" w:rsidRDefault="001B5A91">
    <w:pPr>
      <w:pStyle w:val="Stopka"/>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94"/>
    </w:tblGrid>
    <w:tr w:rsidR="001B5A91">
      <w:trPr>
        <w:trHeight w:val="10166"/>
      </w:trPr>
      <w:tc>
        <w:tcPr>
          <w:tcW w:w="498" w:type="dxa"/>
          <w:tcBorders>
            <w:bottom w:val="single" w:sz="4" w:space="0" w:color="auto"/>
          </w:tcBorders>
          <w:textDirection w:val="btLr"/>
        </w:tcPr>
        <w:p w:rsidR="001B5A91" w:rsidRPr="006C1908" w:rsidRDefault="001B5A91">
          <w:pPr>
            <w:pStyle w:val="Nagwek"/>
            <w:ind w:left="113" w:right="113"/>
            <w:rPr>
              <w:i/>
              <w:sz w:val="20"/>
              <w:szCs w:val="20"/>
            </w:rPr>
          </w:pPr>
          <w:r w:rsidRPr="007338BD">
            <w:rPr>
              <w:i/>
              <w:color w:val="D34817" w:themeColor="accent1"/>
              <w:sz w:val="20"/>
              <w:szCs w:val="20"/>
            </w:rPr>
            <w:t xml:space="preserve">Rozdział: </w:t>
          </w:r>
          <w:r w:rsidRPr="007338BD">
            <w:rPr>
              <w:i/>
              <w:sz w:val="20"/>
              <w:szCs w:val="20"/>
            </w:rPr>
            <w:fldChar w:fldCharType="begin"/>
          </w:r>
          <w:r w:rsidRPr="007338BD">
            <w:rPr>
              <w:i/>
              <w:sz w:val="20"/>
              <w:szCs w:val="20"/>
            </w:rPr>
            <w:instrText xml:space="preserve"> STYLEREF  "1"  </w:instrText>
          </w:r>
          <w:r w:rsidRPr="007338BD">
            <w:rPr>
              <w:i/>
              <w:sz w:val="20"/>
              <w:szCs w:val="20"/>
            </w:rPr>
            <w:fldChar w:fldCharType="separate"/>
          </w:r>
          <w:r w:rsidR="00002840">
            <w:rPr>
              <w:i/>
              <w:noProof/>
              <w:sz w:val="20"/>
              <w:szCs w:val="20"/>
            </w:rPr>
            <w:t>Analiza jakościowa (poziom priorytetu)</w:t>
          </w:r>
          <w:r w:rsidRPr="007338BD">
            <w:rPr>
              <w:i/>
              <w:sz w:val="20"/>
              <w:szCs w:val="20"/>
            </w:rPr>
            <w:fldChar w:fldCharType="end"/>
          </w:r>
        </w:p>
      </w:tc>
    </w:tr>
    <w:tr w:rsidR="001B5A91">
      <w:tc>
        <w:tcPr>
          <w:tcW w:w="498" w:type="dxa"/>
          <w:tcBorders>
            <w:top w:val="single" w:sz="4" w:space="0" w:color="auto"/>
          </w:tcBorders>
        </w:tcPr>
        <w:p w:rsidR="001B5A91" w:rsidRPr="006C1908" w:rsidRDefault="001B5A91">
          <w:pPr>
            <w:pStyle w:val="Stopka"/>
            <w:rPr>
              <w:sz w:val="20"/>
              <w:szCs w:val="20"/>
            </w:rPr>
          </w:pPr>
          <w:r w:rsidRPr="007338BD">
            <w:rPr>
              <w:sz w:val="20"/>
              <w:szCs w:val="20"/>
            </w:rPr>
            <w:fldChar w:fldCharType="begin"/>
          </w:r>
          <w:r w:rsidRPr="007338BD">
            <w:rPr>
              <w:sz w:val="20"/>
              <w:szCs w:val="20"/>
            </w:rPr>
            <w:instrText xml:space="preserve"> PAGE   \* MERGEFORMAT </w:instrText>
          </w:r>
          <w:r w:rsidRPr="007338BD">
            <w:rPr>
              <w:sz w:val="20"/>
              <w:szCs w:val="20"/>
            </w:rPr>
            <w:fldChar w:fldCharType="separate"/>
          </w:r>
          <w:r w:rsidR="00002840" w:rsidRPr="00002840">
            <w:rPr>
              <w:noProof/>
              <w:color w:val="D34817" w:themeColor="accent1"/>
              <w:sz w:val="20"/>
              <w:szCs w:val="20"/>
            </w:rPr>
            <w:t>120</w:t>
          </w:r>
          <w:r w:rsidRPr="007338BD">
            <w:rPr>
              <w:sz w:val="20"/>
              <w:szCs w:val="20"/>
            </w:rPr>
            <w:fldChar w:fldCharType="end"/>
          </w:r>
        </w:p>
      </w:tc>
    </w:tr>
    <w:tr w:rsidR="001B5A91">
      <w:trPr>
        <w:trHeight w:val="768"/>
      </w:trPr>
      <w:tc>
        <w:tcPr>
          <w:tcW w:w="498" w:type="dxa"/>
        </w:tcPr>
        <w:p w:rsidR="001B5A91" w:rsidRDefault="001B5A91">
          <w:pPr>
            <w:pStyle w:val="Nagwek"/>
          </w:pPr>
        </w:p>
      </w:tc>
    </w:tr>
  </w:tbl>
  <w:p w:rsidR="001B5A91" w:rsidRDefault="001B5A9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94"/>
    </w:tblGrid>
    <w:tr w:rsidR="001B5A91">
      <w:trPr>
        <w:trHeight w:val="10166"/>
      </w:trPr>
      <w:tc>
        <w:tcPr>
          <w:tcW w:w="498" w:type="dxa"/>
          <w:tcBorders>
            <w:bottom w:val="single" w:sz="4" w:space="0" w:color="auto"/>
          </w:tcBorders>
          <w:textDirection w:val="btLr"/>
        </w:tcPr>
        <w:p w:rsidR="001B5A91" w:rsidRPr="00DA56FE" w:rsidRDefault="001B5A91">
          <w:pPr>
            <w:pStyle w:val="Nagwek"/>
            <w:ind w:left="113" w:right="113"/>
            <w:rPr>
              <w:i/>
              <w:sz w:val="20"/>
              <w:szCs w:val="20"/>
            </w:rPr>
          </w:pPr>
          <w:r w:rsidRPr="00DA56FE">
            <w:rPr>
              <w:i/>
              <w:color w:val="D34817" w:themeColor="accent1"/>
              <w:sz w:val="20"/>
              <w:szCs w:val="20"/>
            </w:rPr>
            <w:t xml:space="preserve">Rozdział: </w:t>
          </w:r>
          <w:r w:rsidRPr="00DA56FE">
            <w:rPr>
              <w:i/>
              <w:sz w:val="20"/>
              <w:szCs w:val="20"/>
            </w:rPr>
            <w:fldChar w:fldCharType="begin"/>
          </w:r>
          <w:r w:rsidRPr="00DA56FE">
            <w:rPr>
              <w:i/>
              <w:sz w:val="20"/>
              <w:szCs w:val="20"/>
            </w:rPr>
            <w:instrText xml:space="preserve"> STYLEREF  "1"  </w:instrText>
          </w:r>
          <w:r w:rsidRPr="00DA56FE">
            <w:rPr>
              <w:i/>
              <w:sz w:val="20"/>
              <w:szCs w:val="20"/>
            </w:rPr>
            <w:fldChar w:fldCharType="separate"/>
          </w:r>
          <w:r w:rsidR="00002840">
            <w:rPr>
              <w:i/>
              <w:noProof/>
              <w:sz w:val="20"/>
              <w:szCs w:val="20"/>
            </w:rPr>
            <w:t>STRESZCZENIE</w:t>
          </w:r>
          <w:r w:rsidRPr="00DA56FE">
            <w:rPr>
              <w:i/>
              <w:sz w:val="20"/>
              <w:szCs w:val="20"/>
            </w:rPr>
            <w:fldChar w:fldCharType="end"/>
          </w:r>
        </w:p>
      </w:tc>
    </w:tr>
    <w:tr w:rsidR="001B5A91">
      <w:tc>
        <w:tcPr>
          <w:tcW w:w="498" w:type="dxa"/>
          <w:tcBorders>
            <w:top w:val="single" w:sz="4" w:space="0" w:color="auto"/>
          </w:tcBorders>
        </w:tcPr>
        <w:p w:rsidR="001B5A91" w:rsidRPr="00DA56FE" w:rsidRDefault="001B5A91">
          <w:pPr>
            <w:pStyle w:val="Stopka"/>
            <w:rPr>
              <w:i/>
              <w:sz w:val="20"/>
              <w:szCs w:val="20"/>
            </w:rPr>
          </w:pPr>
          <w:r w:rsidRPr="00DA56FE">
            <w:rPr>
              <w:i/>
              <w:sz w:val="20"/>
              <w:szCs w:val="20"/>
            </w:rPr>
            <w:fldChar w:fldCharType="begin"/>
          </w:r>
          <w:r w:rsidRPr="00DA56FE">
            <w:rPr>
              <w:i/>
              <w:sz w:val="20"/>
              <w:szCs w:val="20"/>
            </w:rPr>
            <w:instrText xml:space="preserve"> PAGE   \* MERGEFORMAT </w:instrText>
          </w:r>
          <w:r w:rsidRPr="00DA56FE">
            <w:rPr>
              <w:i/>
              <w:sz w:val="20"/>
              <w:szCs w:val="20"/>
            </w:rPr>
            <w:fldChar w:fldCharType="separate"/>
          </w:r>
          <w:r w:rsidR="00002840" w:rsidRPr="00002840">
            <w:rPr>
              <w:i/>
              <w:noProof/>
              <w:color w:val="D34817" w:themeColor="accent1"/>
              <w:sz w:val="20"/>
              <w:szCs w:val="20"/>
            </w:rPr>
            <w:t>174</w:t>
          </w:r>
          <w:r w:rsidRPr="00DA56FE">
            <w:rPr>
              <w:i/>
              <w:sz w:val="20"/>
              <w:szCs w:val="20"/>
            </w:rPr>
            <w:fldChar w:fldCharType="end"/>
          </w:r>
        </w:p>
      </w:tc>
    </w:tr>
    <w:tr w:rsidR="001B5A91">
      <w:trPr>
        <w:trHeight w:val="768"/>
      </w:trPr>
      <w:tc>
        <w:tcPr>
          <w:tcW w:w="498" w:type="dxa"/>
        </w:tcPr>
        <w:p w:rsidR="001B5A91" w:rsidRDefault="001B5A91">
          <w:pPr>
            <w:pStyle w:val="Nagwek"/>
          </w:pPr>
        </w:p>
      </w:tc>
    </w:tr>
  </w:tbl>
  <w:p w:rsidR="001B5A91" w:rsidRPr="000C156A" w:rsidRDefault="001B5A91" w:rsidP="000F2170">
    <w:pPr>
      <w:pStyle w:val="Stopka"/>
      <w:rPr>
        <w:i/>
        <w:color w:val="000000" w:themeColor="text1"/>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94"/>
    </w:tblGrid>
    <w:tr w:rsidR="001B5A91">
      <w:trPr>
        <w:trHeight w:val="10166"/>
      </w:trPr>
      <w:tc>
        <w:tcPr>
          <w:tcW w:w="498" w:type="dxa"/>
          <w:tcBorders>
            <w:bottom w:val="single" w:sz="4" w:space="0" w:color="auto"/>
          </w:tcBorders>
          <w:textDirection w:val="btLr"/>
        </w:tcPr>
        <w:p w:rsidR="001B5A91" w:rsidRPr="00DA56FE" w:rsidRDefault="001B5A91">
          <w:pPr>
            <w:pStyle w:val="Nagwek"/>
            <w:ind w:left="113" w:right="113"/>
            <w:rPr>
              <w:i/>
              <w:sz w:val="20"/>
              <w:szCs w:val="20"/>
            </w:rPr>
          </w:pPr>
          <w:r w:rsidRPr="00DA56FE">
            <w:rPr>
              <w:i/>
              <w:color w:val="D34817" w:themeColor="accent1"/>
              <w:sz w:val="20"/>
              <w:szCs w:val="20"/>
            </w:rPr>
            <w:t xml:space="preserve">Rozdział: </w:t>
          </w:r>
          <w:r w:rsidRPr="00DA56FE">
            <w:rPr>
              <w:i/>
              <w:sz w:val="20"/>
              <w:szCs w:val="20"/>
            </w:rPr>
            <w:fldChar w:fldCharType="begin"/>
          </w:r>
          <w:r w:rsidRPr="00DA56FE">
            <w:rPr>
              <w:i/>
              <w:sz w:val="20"/>
              <w:szCs w:val="20"/>
            </w:rPr>
            <w:instrText xml:space="preserve"> STYLEREF  "1"  </w:instrText>
          </w:r>
          <w:r w:rsidRPr="00DA56FE">
            <w:rPr>
              <w:i/>
              <w:sz w:val="20"/>
              <w:szCs w:val="20"/>
            </w:rPr>
            <w:fldChar w:fldCharType="separate"/>
          </w:r>
          <w:r w:rsidR="00002840">
            <w:rPr>
              <w:i/>
              <w:noProof/>
              <w:sz w:val="20"/>
              <w:szCs w:val="20"/>
            </w:rPr>
            <w:t>STRESZCZENIE</w:t>
          </w:r>
          <w:r w:rsidRPr="00DA56FE">
            <w:rPr>
              <w:i/>
              <w:sz w:val="20"/>
              <w:szCs w:val="20"/>
            </w:rPr>
            <w:fldChar w:fldCharType="end"/>
          </w:r>
        </w:p>
      </w:tc>
    </w:tr>
    <w:tr w:rsidR="001B5A91">
      <w:tc>
        <w:tcPr>
          <w:tcW w:w="498" w:type="dxa"/>
          <w:tcBorders>
            <w:top w:val="single" w:sz="4" w:space="0" w:color="auto"/>
          </w:tcBorders>
        </w:tcPr>
        <w:p w:rsidR="001B5A91" w:rsidRPr="00DA56FE" w:rsidRDefault="001B5A91">
          <w:pPr>
            <w:pStyle w:val="Stopka"/>
            <w:rPr>
              <w:i/>
              <w:sz w:val="20"/>
              <w:szCs w:val="20"/>
            </w:rPr>
          </w:pPr>
          <w:r w:rsidRPr="00DA56FE">
            <w:rPr>
              <w:i/>
              <w:sz w:val="20"/>
              <w:szCs w:val="20"/>
            </w:rPr>
            <w:fldChar w:fldCharType="begin"/>
          </w:r>
          <w:r w:rsidRPr="00DA56FE">
            <w:rPr>
              <w:i/>
              <w:sz w:val="20"/>
              <w:szCs w:val="20"/>
            </w:rPr>
            <w:instrText xml:space="preserve"> PAGE   \* MERGEFORMAT </w:instrText>
          </w:r>
          <w:r w:rsidRPr="00DA56FE">
            <w:rPr>
              <w:i/>
              <w:sz w:val="20"/>
              <w:szCs w:val="20"/>
            </w:rPr>
            <w:fldChar w:fldCharType="separate"/>
          </w:r>
          <w:r w:rsidR="00002840" w:rsidRPr="00002840">
            <w:rPr>
              <w:i/>
              <w:noProof/>
              <w:color w:val="D34817" w:themeColor="accent1"/>
              <w:sz w:val="20"/>
              <w:szCs w:val="20"/>
            </w:rPr>
            <w:t>176</w:t>
          </w:r>
          <w:r w:rsidRPr="00DA56FE">
            <w:rPr>
              <w:i/>
              <w:sz w:val="20"/>
              <w:szCs w:val="20"/>
            </w:rPr>
            <w:fldChar w:fldCharType="end"/>
          </w:r>
        </w:p>
      </w:tc>
    </w:tr>
    <w:tr w:rsidR="001B5A91">
      <w:trPr>
        <w:trHeight w:val="768"/>
      </w:trPr>
      <w:tc>
        <w:tcPr>
          <w:tcW w:w="498" w:type="dxa"/>
        </w:tcPr>
        <w:p w:rsidR="001B5A91" w:rsidRDefault="001B5A91">
          <w:pPr>
            <w:pStyle w:val="Nagwek"/>
          </w:pPr>
        </w:p>
      </w:tc>
    </w:tr>
  </w:tbl>
  <w:p w:rsidR="001B5A91" w:rsidRDefault="001B5A91">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94"/>
    </w:tblGrid>
    <w:tr w:rsidR="001B5A91">
      <w:trPr>
        <w:trHeight w:val="10166"/>
      </w:trPr>
      <w:tc>
        <w:tcPr>
          <w:tcW w:w="498" w:type="dxa"/>
          <w:tcBorders>
            <w:bottom w:val="single" w:sz="4" w:space="0" w:color="auto"/>
          </w:tcBorders>
          <w:textDirection w:val="btLr"/>
        </w:tcPr>
        <w:p w:rsidR="001B5A91" w:rsidRPr="006C1908" w:rsidRDefault="001B5A91">
          <w:pPr>
            <w:pStyle w:val="Nagwek"/>
            <w:ind w:left="113" w:right="113"/>
            <w:rPr>
              <w:i/>
              <w:sz w:val="20"/>
              <w:szCs w:val="20"/>
            </w:rPr>
          </w:pPr>
          <w:r w:rsidRPr="007338BD">
            <w:rPr>
              <w:i/>
              <w:color w:val="D34817" w:themeColor="accent1"/>
              <w:sz w:val="20"/>
              <w:szCs w:val="20"/>
            </w:rPr>
            <w:t xml:space="preserve">Rozdział: </w:t>
          </w:r>
          <w:r w:rsidRPr="007338BD">
            <w:rPr>
              <w:i/>
              <w:sz w:val="20"/>
              <w:szCs w:val="20"/>
            </w:rPr>
            <w:fldChar w:fldCharType="begin"/>
          </w:r>
          <w:r w:rsidRPr="007338BD">
            <w:rPr>
              <w:i/>
              <w:sz w:val="20"/>
              <w:szCs w:val="20"/>
            </w:rPr>
            <w:instrText xml:space="preserve"> STYLEREF  "1"  </w:instrText>
          </w:r>
          <w:r w:rsidRPr="007338BD">
            <w:rPr>
              <w:i/>
              <w:sz w:val="20"/>
              <w:szCs w:val="20"/>
            </w:rPr>
            <w:fldChar w:fldCharType="separate"/>
          </w:r>
          <w:r w:rsidR="00002840">
            <w:rPr>
              <w:i/>
              <w:noProof/>
              <w:sz w:val="20"/>
              <w:szCs w:val="20"/>
            </w:rPr>
            <w:t>STRESZCZENIE</w:t>
          </w:r>
          <w:r w:rsidRPr="007338BD">
            <w:rPr>
              <w:i/>
              <w:sz w:val="20"/>
              <w:szCs w:val="20"/>
            </w:rPr>
            <w:fldChar w:fldCharType="end"/>
          </w:r>
        </w:p>
      </w:tc>
    </w:tr>
    <w:tr w:rsidR="001B5A91">
      <w:tc>
        <w:tcPr>
          <w:tcW w:w="498" w:type="dxa"/>
          <w:tcBorders>
            <w:top w:val="single" w:sz="4" w:space="0" w:color="auto"/>
          </w:tcBorders>
        </w:tcPr>
        <w:p w:rsidR="001B5A91" w:rsidRPr="006C1908" w:rsidRDefault="001B5A91">
          <w:pPr>
            <w:pStyle w:val="Stopka"/>
            <w:rPr>
              <w:sz w:val="20"/>
              <w:szCs w:val="20"/>
            </w:rPr>
          </w:pPr>
          <w:r w:rsidRPr="007338BD">
            <w:rPr>
              <w:sz w:val="20"/>
              <w:szCs w:val="20"/>
            </w:rPr>
            <w:fldChar w:fldCharType="begin"/>
          </w:r>
          <w:r w:rsidRPr="007338BD">
            <w:rPr>
              <w:sz w:val="20"/>
              <w:szCs w:val="20"/>
            </w:rPr>
            <w:instrText xml:space="preserve"> PAGE   \* MERGEFORMAT </w:instrText>
          </w:r>
          <w:r w:rsidRPr="007338BD">
            <w:rPr>
              <w:sz w:val="20"/>
              <w:szCs w:val="20"/>
            </w:rPr>
            <w:fldChar w:fldCharType="separate"/>
          </w:r>
          <w:r w:rsidR="00002840" w:rsidRPr="00002840">
            <w:rPr>
              <w:noProof/>
              <w:color w:val="D34817" w:themeColor="accent1"/>
              <w:sz w:val="20"/>
              <w:szCs w:val="20"/>
            </w:rPr>
            <w:t>185</w:t>
          </w:r>
          <w:r w:rsidRPr="007338BD">
            <w:rPr>
              <w:sz w:val="20"/>
              <w:szCs w:val="20"/>
            </w:rPr>
            <w:fldChar w:fldCharType="end"/>
          </w:r>
        </w:p>
      </w:tc>
    </w:tr>
    <w:tr w:rsidR="001B5A91">
      <w:trPr>
        <w:trHeight w:val="768"/>
      </w:trPr>
      <w:tc>
        <w:tcPr>
          <w:tcW w:w="498" w:type="dxa"/>
        </w:tcPr>
        <w:p w:rsidR="001B5A91" w:rsidRDefault="001B5A91">
          <w:pPr>
            <w:pStyle w:val="Nagwek"/>
          </w:pPr>
        </w:p>
      </w:tc>
    </w:tr>
  </w:tbl>
  <w:p w:rsidR="001B5A91" w:rsidRDefault="001B5A91">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93D" w:rsidRDefault="0046793D" w:rsidP="0005410E">
      <w:pPr>
        <w:spacing w:after="0" w:line="240" w:lineRule="auto"/>
      </w:pPr>
      <w:r>
        <w:separator/>
      </w:r>
    </w:p>
  </w:footnote>
  <w:footnote w:type="continuationSeparator" w:id="0">
    <w:p w:rsidR="0046793D" w:rsidRDefault="0046793D" w:rsidP="0005410E">
      <w:pPr>
        <w:spacing w:after="0" w:line="240" w:lineRule="auto"/>
      </w:pPr>
      <w:r>
        <w:continuationSeparator/>
      </w:r>
    </w:p>
  </w:footnote>
  <w:footnote w:id="1">
    <w:p w:rsidR="001B5A91" w:rsidRPr="00AD1DCA" w:rsidRDefault="001B5A91" w:rsidP="00AD1DCA">
      <w:pPr>
        <w:pStyle w:val="Tekstprzypisudolnego"/>
        <w:jc w:val="both"/>
        <w:rPr>
          <w:i/>
          <w:sz w:val="18"/>
          <w:szCs w:val="18"/>
        </w:rPr>
      </w:pPr>
      <w:r w:rsidRPr="00AD1DCA">
        <w:rPr>
          <w:rStyle w:val="Odwoanieprzypisudolnego"/>
          <w:i/>
          <w:sz w:val="18"/>
          <w:szCs w:val="18"/>
        </w:rPr>
        <w:footnoteRef/>
      </w:r>
      <w:r w:rsidRPr="00AD1DCA">
        <w:rPr>
          <w:i/>
          <w:sz w:val="18"/>
          <w:szCs w:val="18"/>
        </w:rPr>
        <w:t xml:space="preserve"> Dla poddziałań 1.2.1 i 1.2.2 ostatni konkurs został ogłoszony w 2009 r., później zostało utworzone poddziałanie 1.2.4</w:t>
      </w:r>
      <w:r>
        <w:rPr>
          <w:i/>
          <w:sz w:val="18"/>
          <w:szCs w:val="18"/>
        </w:rPr>
        <w:t>, które zastąpiło wspomniane wyżej poddziałania.</w:t>
      </w:r>
    </w:p>
  </w:footnote>
  <w:footnote w:id="2">
    <w:p w:rsidR="001B5A91" w:rsidRDefault="001B5A91" w:rsidP="00382B8C">
      <w:pPr>
        <w:pStyle w:val="Tekstprzypisudolnego"/>
      </w:pPr>
      <w:r>
        <w:rPr>
          <w:rStyle w:val="Odwoanieprzypisudolnego"/>
        </w:rPr>
        <w:footnoteRef/>
      </w:r>
      <w:r>
        <w:t xml:space="preserve"> Wyższa wartość zatwierdzonych wniosków o dofinansowanie wynika z różnic kursowych.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A91" w:rsidRDefault="001B5A91">
    <w:pPr>
      <w:pStyle w:val="Nagwek"/>
    </w:pPr>
  </w:p>
  <w:p w:rsidR="001B5A91" w:rsidRPr="00977372" w:rsidRDefault="001B5A91" w:rsidP="00977372">
    <w:pPr>
      <w:pStyle w:val="Nagwek"/>
      <w:rPr>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
    <w:nsid w:val="00000003"/>
    <w:multiLevelType w:val="multilevel"/>
    <w:tmpl w:val="C1C2AB10"/>
    <w:name w:val="WW8Num3"/>
    <w:lvl w:ilvl="0">
      <w:start w:val="1"/>
      <w:numFmt w:val="decimal"/>
      <w:lvlText w:val="%1."/>
      <w:lvlJc w:val="left"/>
      <w:pPr>
        <w:tabs>
          <w:tab w:val="num" w:pos="1080"/>
        </w:tabs>
        <w:ind w:left="1080" w:hanging="360"/>
      </w:pPr>
    </w:lvl>
    <w:lvl w:ilvl="1">
      <w:start w:val="10"/>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auto"/>
      </w:rPr>
    </w:lvl>
  </w:abstractNum>
  <w:abstractNum w:abstractNumId="4">
    <w:nsid w:val="00000005"/>
    <w:multiLevelType w:val="singleLevel"/>
    <w:tmpl w:val="00000005"/>
    <w:name w:val="WW8Num37"/>
    <w:lvl w:ilvl="0">
      <w:start w:val="1"/>
      <w:numFmt w:val="bullet"/>
      <w:lvlText w:val=""/>
      <w:lvlJc w:val="left"/>
      <w:pPr>
        <w:tabs>
          <w:tab w:val="num" w:pos="1080"/>
        </w:tabs>
        <w:ind w:left="1080" w:hanging="360"/>
      </w:pPr>
      <w:rPr>
        <w:rFonts w:ascii="Symbol" w:hAnsi="Symbol"/>
        <w:color w:val="auto"/>
      </w:rPr>
    </w:lvl>
  </w:abstractNum>
  <w:abstractNum w:abstractNumId="5">
    <w:nsid w:val="00000007"/>
    <w:multiLevelType w:val="singleLevel"/>
    <w:tmpl w:val="00000007"/>
    <w:name w:val="WW8Num48"/>
    <w:lvl w:ilvl="0">
      <w:start w:val="1"/>
      <w:numFmt w:val="bullet"/>
      <w:lvlText w:val=""/>
      <w:lvlJc w:val="left"/>
      <w:pPr>
        <w:tabs>
          <w:tab w:val="num" w:pos="720"/>
        </w:tabs>
        <w:ind w:left="720" w:hanging="360"/>
      </w:pPr>
      <w:rPr>
        <w:rFonts w:ascii="Symbol" w:hAnsi="Symbol"/>
        <w:color w:val="auto"/>
      </w:rPr>
    </w:lvl>
  </w:abstractNum>
  <w:abstractNum w:abstractNumId="6">
    <w:nsid w:val="00000009"/>
    <w:multiLevelType w:val="singleLevel"/>
    <w:tmpl w:val="00000009"/>
    <w:name w:val="WW8Num9"/>
    <w:lvl w:ilvl="0">
      <w:start w:val="1"/>
      <w:numFmt w:val="bullet"/>
      <w:lvlText w:val=""/>
      <w:lvlJc w:val="left"/>
      <w:pPr>
        <w:tabs>
          <w:tab w:val="num" w:pos="360"/>
        </w:tabs>
        <w:ind w:left="360" w:hanging="360"/>
      </w:pPr>
      <w:rPr>
        <w:rFonts w:ascii="Symbol" w:hAnsi="Symbol"/>
        <w:color w:val="auto"/>
      </w:rPr>
    </w:lvl>
  </w:abstractNum>
  <w:abstractNum w:abstractNumId="7">
    <w:nsid w:val="007233EB"/>
    <w:multiLevelType w:val="multilevel"/>
    <w:tmpl w:val="CDFE01D8"/>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39517A0"/>
    <w:multiLevelType w:val="hybridMultilevel"/>
    <w:tmpl w:val="16E24922"/>
    <w:lvl w:ilvl="0" w:tplc="573ACA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3B43849"/>
    <w:multiLevelType w:val="hybridMultilevel"/>
    <w:tmpl w:val="11C27E2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06FD3690"/>
    <w:multiLevelType w:val="multilevel"/>
    <w:tmpl w:val="1586FC06"/>
    <w:styleLink w:val="Styl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1.%2.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492A87"/>
    <w:multiLevelType w:val="hybridMultilevel"/>
    <w:tmpl w:val="4B686B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195398"/>
    <w:multiLevelType w:val="hybridMultilevel"/>
    <w:tmpl w:val="6680C1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500FC0"/>
    <w:multiLevelType w:val="hybridMultilevel"/>
    <w:tmpl w:val="D58C087C"/>
    <w:lvl w:ilvl="0" w:tplc="9118C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FB48AB"/>
    <w:multiLevelType w:val="hybridMultilevel"/>
    <w:tmpl w:val="06C874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9756F58"/>
    <w:multiLevelType w:val="hybridMultilevel"/>
    <w:tmpl w:val="9CDE9C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9D031B7"/>
    <w:multiLevelType w:val="hybridMultilevel"/>
    <w:tmpl w:val="BAB668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AC27381"/>
    <w:multiLevelType w:val="hybridMultilevel"/>
    <w:tmpl w:val="CE6A6376"/>
    <w:lvl w:ilvl="0" w:tplc="573ACA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0BD4737F"/>
    <w:multiLevelType w:val="hybridMultilevel"/>
    <w:tmpl w:val="351031D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0C195F05"/>
    <w:multiLevelType w:val="hybridMultilevel"/>
    <w:tmpl w:val="131C5B1C"/>
    <w:lvl w:ilvl="0" w:tplc="04150001">
      <w:start w:val="1"/>
      <w:numFmt w:val="bullet"/>
      <w:lvlText w:val=""/>
      <w:lvlJc w:val="left"/>
      <w:pPr>
        <w:tabs>
          <w:tab w:val="num" w:pos="720"/>
        </w:tabs>
        <w:ind w:left="720" w:hanging="360"/>
      </w:pPr>
      <w:rPr>
        <w:rFonts w:ascii="Symbol" w:hAnsi="Symbol" w:hint="default"/>
        <w:color w:val="auto"/>
      </w:rPr>
    </w:lvl>
    <w:lvl w:ilvl="1" w:tplc="DB945780">
      <w:start w:val="1"/>
      <w:numFmt w:val="bullet"/>
      <w:pStyle w:val="Listapunktowana"/>
      <w:lvlText w:val=""/>
      <w:lvlJc w:val="left"/>
      <w:pPr>
        <w:tabs>
          <w:tab w:val="num" w:pos="1440"/>
        </w:tabs>
        <w:ind w:left="1440" w:hanging="360"/>
      </w:pPr>
      <w:rPr>
        <w:rFonts w:ascii="Symbol" w:hAnsi="Symbol" w:hint="default"/>
        <w:color w:val="auto"/>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0">
    <w:nsid w:val="0C960373"/>
    <w:multiLevelType w:val="hybridMultilevel"/>
    <w:tmpl w:val="0A1C28FA"/>
    <w:lvl w:ilvl="0" w:tplc="0415000B">
      <w:start w:val="1"/>
      <w:numFmt w:val="bullet"/>
      <w:lvlText w:val=""/>
      <w:lvlJc w:val="left"/>
      <w:pPr>
        <w:tabs>
          <w:tab w:val="num" w:pos="720"/>
        </w:tabs>
        <w:ind w:left="720" w:hanging="360"/>
      </w:pPr>
      <w:rPr>
        <w:rFonts w:ascii="Wingdings" w:hAnsi="Wingdings" w:hint="default"/>
      </w:rPr>
    </w:lvl>
    <w:lvl w:ilvl="1" w:tplc="36104F3A" w:tentative="1">
      <w:start w:val="1"/>
      <w:numFmt w:val="bullet"/>
      <w:lvlText w:val="•"/>
      <w:lvlJc w:val="left"/>
      <w:pPr>
        <w:tabs>
          <w:tab w:val="num" w:pos="1440"/>
        </w:tabs>
        <w:ind w:left="1440" w:hanging="360"/>
      </w:pPr>
      <w:rPr>
        <w:rFonts w:ascii="Arial" w:hAnsi="Arial" w:hint="default"/>
      </w:rPr>
    </w:lvl>
    <w:lvl w:ilvl="2" w:tplc="BC00FBD0" w:tentative="1">
      <w:start w:val="1"/>
      <w:numFmt w:val="bullet"/>
      <w:lvlText w:val="•"/>
      <w:lvlJc w:val="left"/>
      <w:pPr>
        <w:tabs>
          <w:tab w:val="num" w:pos="2160"/>
        </w:tabs>
        <w:ind w:left="2160" w:hanging="360"/>
      </w:pPr>
      <w:rPr>
        <w:rFonts w:ascii="Arial" w:hAnsi="Arial" w:hint="default"/>
      </w:rPr>
    </w:lvl>
    <w:lvl w:ilvl="3" w:tplc="EBF6D482" w:tentative="1">
      <w:start w:val="1"/>
      <w:numFmt w:val="bullet"/>
      <w:lvlText w:val="•"/>
      <w:lvlJc w:val="left"/>
      <w:pPr>
        <w:tabs>
          <w:tab w:val="num" w:pos="2880"/>
        </w:tabs>
        <w:ind w:left="2880" w:hanging="360"/>
      </w:pPr>
      <w:rPr>
        <w:rFonts w:ascii="Arial" w:hAnsi="Arial" w:hint="default"/>
      </w:rPr>
    </w:lvl>
    <w:lvl w:ilvl="4" w:tplc="0602ECE2" w:tentative="1">
      <w:start w:val="1"/>
      <w:numFmt w:val="bullet"/>
      <w:lvlText w:val="•"/>
      <w:lvlJc w:val="left"/>
      <w:pPr>
        <w:tabs>
          <w:tab w:val="num" w:pos="3600"/>
        </w:tabs>
        <w:ind w:left="3600" w:hanging="360"/>
      </w:pPr>
      <w:rPr>
        <w:rFonts w:ascii="Arial" w:hAnsi="Arial" w:hint="default"/>
      </w:rPr>
    </w:lvl>
    <w:lvl w:ilvl="5" w:tplc="6296A818" w:tentative="1">
      <w:start w:val="1"/>
      <w:numFmt w:val="bullet"/>
      <w:lvlText w:val="•"/>
      <w:lvlJc w:val="left"/>
      <w:pPr>
        <w:tabs>
          <w:tab w:val="num" w:pos="4320"/>
        </w:tabs>
        <w:ind w:left="4320" w:hanging="360"/>
      </w:pPr>
      <w:rPr>
        <w:rFonts w:ascii="Arial" w:hAnsi="Arial" w:hint="default"/>
      </w:rPr>
    </w:lvl>
    <w:lvl w:ilvl="6" w:tplc="40509BA6" w:tentative="1">
      <w:start w:val="1"/>
      <w:numFmt w:val="bullet"/>
      <w:lvlText w:val="•"/>
      <w:lvlJc w:val="left"/>
      <w:pPr>
        <w:tabs>
          <w:tab w:val="num" w:pos="5040"/>
        </w:tabs>
        <w:ind w:left="5040" w:hanging="360"/>
      </w:pPr>
      <w:rPr>
        <w:rFonts w:ascii="Arial" w:hAnsi="Arial" w:hint="default"/>
      </w:rPr>
    </w:lvl>
    <w:lvl w:ilvl="7" w:tplc="C2689F1A" w:tentative="1">
      <w:start w:val="1"/>
      <w:numFmt w:val="bullet"/>
      <w:lvlText w:val="•"/>
      <w:lvlJc w:val="left"/>
      <w:pPr>
        <w:tabs>
          <w:tab w:val="num" w:pos="5760"/>
        </w:tabs>
        <w:ind w:left="5760" w:hanging="360"/>
      </w:pPr>
      <w:rPr>
        <w:rFonts w:ascii="Arial" w:hAnsi="Arial" w:hint="default"/>
      </w:rPr>
    </w:lvl>
    <w:lvl w:ilvl="8" w:tplc="16BEF876" w:tentative="1">
      <w:start w:val="1"/>
      <w:numFmt w:val="bullet"/>
      <w:lvlText w:val="•"/>
      <w:lvlJc w:val="left"/>
      <w:pPr>
        <w:tabs>
          <w:tab w:val="num" w:pos="6480"/>
        </w:tabs>
        <w:ind w:left="6480" w:hanging="360"/>
      </w:pPr>
      <w:rPr>
        <w:rFonts w:ascii="Arial" w:hAnsi="Arial" w:hint="default"/>
      </w:rPr>
    </w:lvl>
  </w:abstractNum>
  <w:abstractNum w:abstractNumId="21">
    <w:nsid w:val="0DEE195E"/>
    <w:multiLevelType w:val="hybridMultilevel"/>
    <w:tmpl w:val="A1EEC9C6"/>
    <w:name w:val="WW8Num482"/>
    <w:lvl w:ilvl="0" w:tplc="54C6CA9E">
      <w:start w:val="1"/>
      <w:numFmt w:val="bullet"/>
      <w:lvlText w:val=""/>
      <w:lvlJc w:val="left"/>
      <w:pPr>
        <w:tabs>
          <w:tab w:val="num" w:pos="720"/>
        </w:tabs>
        <w:ind w:left="720" w:hanging="360"/>
      </w:pPr>
      <w:rPr>
        <w:rFonts w:ascii="Symbol" w:hAnsi="Symbol" w:hint="default"/>
        <w:color w:val="auto"/>
        <w:u w:color="FFFFFF"/>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10C05ACC"/>
    <w:multiLevelType w:val="hybridMultilevel"/>
    <w:tmpl w:val="23EC5678"/>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3">
    <w:nsid w:val="117D10FE"/>
    <w:multiLevelType w:val="multilevel"/>
    <w:tmpl w:val="074A1F42"/>
    <w:lvl w:ilvl="0">
      <w:start w:val="2"/>
      <w:numFmt w:val="none"/>
      <w:lvlText w:val="2.1.6"/>
      <w:lvlJc w:val="left"/>
      <w:pPr>
        <w:ind w:left="2700" w:hanging="360"/>
      </w:pPr>
      <w:rPr>
        <w:rFonts w:hint="default"/>
      </w:rPr>
    </w:lvl>
    <w:lvl w:ilvl="1">
      <w:start w:val="1"/>
      <w:numFmt w:val="none"/>
      <w:pStyle w:val="Styl9"/>
      <w:lvlText w:val="2.1.6.1"/>
      <w:lvlJc w:val="left"/>
      <w:pPr>
        <w:ind w:left="3420" w:hanging="360"/>
      </w:pPr>
      <w:rPr>
        <w:rFonts w:hint="default"/>
      </w:rPr>
    </w:lvl>
    <w:lvl w:ilvl="2">
      <w:start w:val="1"/>
      <w:numFmt w:val="none"/>
      <w:lvlText w:val="2.1.6.2"/>
      <w:lvlJc w:val="right"/>
      <w:pPr>
        <w:ind w:left="4140" w:hanging="180"/>
      </w:pPr>
      <w:rPr>
        <w:rFonts w:hint="default"/>
      </w:rPr>
    </w:lvl>
    <w:lvl w:ilvl="3">
      <w:start w:val="1"/>
      <w:numFmt w:val="none"/>
      <w:lvlText w:val="2.1.6.3"/>
      <w:lvlJc w:val="left"/>
      <w:pPr>
        <w:ind w:left="4860" w:hanging="360"/>
      </w:pPr>
      <w:rPr>
        <w:rFonts w:hint="default"/>
      </w:rPr>
    </w:lvl>
    <w:lvl w:ilvl="4">
      <w:start w:val="1"/>
      <w:numFmt w:val="none"/>
      <w:lvlText w:val="2.1.6.4"/>
      <w:lvlJc w:val="left"/>
      <w:pPr>
        <w:ind w:left="5580" w:hanging="360"/>
      </w:pPr>
      <w:rPr>
        <w:rFonts w:hint="default"/>
      </w:rPr>
    </w:lvl>
    <w:lvl w:ilvl="5">
      <w:start w:val="1"/>
      <w:numFmt w:val="none"/>
      <w:lvlText w:val="2.1.6.5"/>
      <w:lvlJc w:val="right"/>
      <w:pPr>
        <w:ind w:left="6300" w:hanging="180"/>
      </w:pPr>
      <w:rPr>
        <w:rFonts w:hint="default"/>
      </w:rPr>
    </w:lvl>
    <w:lvl w:ilvl="6">
      <w:start w:val="1"/>
      <w:numFmt w:val="none"/>
      <w:lvlText w:val="2.1.6.6"/>
      <w:lvlJc w:val="left"/>
      <w:pPr>
        <w:ind w:left="7020" w:hanging="360"/>
      </w:pPr>
      <w:rPr>
        <w:rFonts w:hint="default"/>
      </w:rPr>
    </w:lvl>
    <w:lvl w:ilvl="7">
      <w:start w:val="1"/>
      <w:numFmt w:val="none"/>
      <w:lvlText w:val="2.1.6.7"/>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24">
    <w:nsid w:val="11C31D33"/>
    <w:multiLevelType w:val="multilevel"/>
    <w:tmpl w:val="B64ACA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2353416"/>
    <w:multiLevelType w:val="multilevel"/>
    <w:tmpl w:val="D8F247F8"/>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146102A4"/>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16C4009C"/>
    <w:multiLevelType w:val="multilevel"/>
    <w:tmpl w:val="0415001D"/>
    <w:styleLink w:val="Sty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179A13BD"/>
    <w:multiLevelType w:val="hybridMultilevel"/>
    <w:tmpl w:val="F19232A2"/>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nsid w:val="17C76CB2"/>
    <w:multiLevelType w:val="multilevel"/>
    <w:tmpl w:val="7A743D68"/>
    <w:styleLink w:val="Styl13"/>
    <w:lvl w:ilvl="0">
      <w:start w:val="3"/>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908784E"/>
    <w:multiLevelType w:val="hybridMultilevel"/>
    <w:tmpl w:val="1BF25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BD914D7"/>
    <w:multiLevelType w:val="hybridMultilevel"/>
    <w:tmpl w:val="867476D8"/>
    <w:lvl w:ilvl="0" w:tplc="9118C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E642083"/>
    <w:multiLevelType w:val="hybridMultilevel"/>
    <w:tmpl w:val="039CF7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1A85BD3"/>
    <w:multiLevelType w:val="multilevel"/>
    <w:tmpl w:val="A352FC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none"/>
      <w:lvlText w:val="3.2.1"/>
      <w:lvlJc w:val="left"/>
      <w:pPr>
        <w:ind w:left="1146" w:hanging="720"/>
      </w:pPr>
      <w:rPr>
        <w:rFonts w:hint="default"/>
        <w:b/>
      </w:rPr>
    </w:lvl>
    <w:lvl w:ilvl="3">
      <w:start w:val="1"/>
      <w:numFmt w:val="none"/>
      <w:lvlText w:val="3.1.1.1"/>
      <w:lvlJc w:val="left"/>
      <w:pPr>
        <w:ind w:left="720" w:hanging="720"/>
      </w:pPr>
      <w:rPr>
        <w:rFonts w:hint="default"/>
      </w:rPr>
    </w:lvl>
    <w:lvl w:ilvl="4">
      <w:start w:val="1"/>
      <w:numFmt w:val="none"/>
      <w:lvlText w:val="3.1.1.2"/>
      <w:lvlJc w:val="left"/>
      <w:pPr>
        <w:ind w:left="1080" w:hanging="1080"/>
      </w:pPr>
      <w:rPr>
        <w:rFonts w:hint="default"/>
      </w:rPr>
    </w:lvl>
    <w:lvl w:ilvl="5">
      <w:start w:val="1"/>
      <w:numFmt w:val="none"/>
      <w:lvlText w:val="3.2"/>
      <w:lvlJc w:val="left"/>
      <w:pPr>
        <w:ind w:left="1080" w:hanging="1080"/>
      </w:pPr>
      <w:rPr>
        <w:rFonts w:hint="default"/>
      </w:rPr>
    </w:lvl>
    <w:lvl w:ilvl="6">
      <w:start w:val="1"/>
      <w:numFmt w:val="none"/>
      <w:lvlText w:val="3.3"/>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29307B1"/>
    <w:multiLevelType w:val="hybridMultilevel"/>
    <w:tmpl w:val="9D380D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34F48F1"/>
    <w:multiLevelType w:val="multilevel"/>
    <w:tmpl w:val="C7243F78"/>
    <w:lvl w:ilvl="0">
      <w:start w:val="3"/>
      <w:numFmt w:val="decimal"/>
      <w:lvlText w:val="%1"/>
      <w:lvlJc w:val="left"/>
      <w:pPr>
        <w:ind w:left="360" w:hanging="360"/>
      </w:pPr>
      <w:rPr>
        <w:rFonts w:hint="default"/>
      </w:rPr>
    </w:lvl>
    <w:lvl w:ilvl="1">
      <w:start w:val="1"/>
      <w:numFmt w:val="decimal"/>
      <w:lvlText w:val="%1.%20"/>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3DA0C70"/>
    <w:multiLevelType w:val="multilevel"/>
    <w:tmpl w:val="0415001D"/>
    <w:styleLink w:val="Styl14"/>
    <w:lvl w:ilvl="0">
      <w:start w:val="2"/>
      <w:numFmt w:val="decimal"/>
      <w:lvlText w:val="%1)"/>
      <w:lvlJc w:val="left"/>
      <w:pPr>
        <w:ind w:left="360" w:hanging="360"/>
      </w:pPr>
    </w:lvl>
    <w:lvl w:ilvl="1">
      <w:start w:val="2"/>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25C47B79"/>
    <w:multiLevelType w:val="hybridMultilevel"/>
    <w:tmpl w:val="F8764A7C"/>
    <w:lvl w:ilvl="0" w:tplc="E4D07B7A">
      <w:start w:val="1"/>
      <w:numFmt w:val="decimal"/>
      <w:lvlText w:val="%1."/>
      <w:lvlJc w:val="left"/>
      <w:pPr>
        <w:ind w:left="360" w:hanging="360"/>
      </w:pPr>
      <w:rPr>
        <w:rFonts w:ascii="Times New Roman" w:eastAsia="Times New Roman" w:hAnsi="Times New Roman"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nsid w:val="25EE5707"/>
    <w:multiLevelType w:val="multilevel"/>
    <w:tmpl w:val="0415001D"/>
    <w:styleLink w:val="Styl2"/>
    <w:lvl w:ilvl="0">
      <w:start w:val="2"/>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263B68EA"/>
    <w:multiLevelType w:val="hybridMultilevel"/>
    <w:tmpl w:val="D010A74C"/>
    <w:lvl w:ilvl="0" w:tplc="0415000B">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7400EB3"/>
    <w:multiLevelType w:val="hybridMultilevel"/>
    <w:tmpl w:val="6A8296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27D43880"/>
    <w:multiLevelType w:val="hybridMultilevel"/>
    <w:tmpl w:val="73E8EA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28EA662D"/>
    <w:multiLevelType w:val="hybridMultilevel"/>
    <w:tmpl w:val="0E3C99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9CF1DCD"/>
    <w:multiLevelType w:val="hybridMultilevel"/>
    <w:tmpl w:val="D62C051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2A0A0E53"/>
    <w:multiLevelType w:val="hybridMultilevel"/>
    <w:tmpl w:val="79D089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A826B20"/>
    <w:multiLevelType w:val="hybridMultilevel"/>
    <w:tmpl w:val="D396B2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B064A3D"/>
    <w:multiLevelType w:val="hybridMultilevel"/>
    <w:tmpl w:val="6FEC45A0"/>
    <w:lvl w:ilvl="0" w:tplc="D186B23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BB923F0"/>
    <w:multiLevelType w:val="hybridMultilevel"/>
    <w:tmpl w:val="152E0BDE"/>
    <w:lvl w:ilvl="0" w:tplc="11AA1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D6B1528"/>
    <w:multiLevelType w:val="hybridMultilevel"/>
    <w:tmpl w:val="AF3AD9FA"/>
    <w:lvl w:ilvl="0" w:tplc="273EEAD4">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FC975D8"/>
    <w:multiLevelType w:val="hybridMultilevel"/>
    <w:tmpl w:val="551C83C6"/>
    <w:lvl w:ilvl="0" w:tplc="0415000B">
      <w:start w:val="1"/>
      <w:numFmt w:val="bullet"/>
      <w:lvlText w:val=""/>
      <w:lvlJc w:val="left"/>
      <w:pPr>
        <w:ind w:left="720" w:hanging="360"/>
      </w:pPr>
      <w:rPr>
        <w:rFonts w:ascii="Wingdings" w:hAnsi="Wingding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0F56CCA"/>
    <w:multiLevelType w:val="hybridMultilevel"/>
    <w:tmpl w:val="7C9032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19146E6"/>
    <w:multiLevelType w:val="hybridMultilevel"/>
    <w:tmpl w:val="58482D00"/>
    <w:lvl w:ilvl="0" w:tplc="78F26B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3281303D"/>
    <w:multiLevelType w:val="hybridMultilevel"/>
    <w:tmpl w:val="92AA06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43469B0"/>
    <w:multiLevelType w:val="multilevel"/>
    <w:tmpl w:val="0415001D"/>
    <w:styleLink w:val="Styl3"/>
    <w:lvl w:ilvl="0">
      <w:start w:val="2"/>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34931C52"/>
    <w:multiLevelType w:val="hybridMultilevel"/>
    <w:tmpl w:val="3B5CC7C4"/>
    <w:lvl w:ilvl="0" w:tplc="04150005">
      <w:start w:val="1"/>
      <w:numFmt w:val="ordinal"/>
      <w:pStyle w:val="ATytutabeli"/>
      <w:lvlText w:val="Tabela %1"/>
      <w:lvlJc w:val="left"/>
      <w:pPr>
        <w:tabs>
          <w:tab w:val="num" w:pos="1314"/>
        </w:tabs>
        <w:ind w:left="1314" w:hanging="1134"/>
      </w:pPr>
      <w:rPr>
        <w:rFonts w:ascii="Tahoma" w:hAnsi="Tahoma" w:cs="Tahoma" w:hint="default"/>
        <w:sz w:val="20"/>
        <w:szCs w:val="18"/>
      </w:rPr>
    </w:lvl>
    <w:lvl w:ilvl="1" w:tplc="04150003" w:tentative="1">
      <w:start w:val="1"/>
      <w:numFmt w:val="lowerLetter"/>
      <w:lvlText w:val="%2."/>
      <w:lvlJc w:val="left"/>
      <w:pPr>
        <w:tabs>
          <w:tab w:val="num" w:pos="1620"/>
        </w:tabs>
        <w:ind w:left="1620" w:hanging="360"/>
      </w:pPr>
    </w:lvl>
    <w:lvl w:ilvl="2" w:tplc="04150005" w:tentative="1">
      <w:start w:val="1"/>
      <w:numFmt w:val="lowerRoman"/>
      <w:lvlText w:val="%3."/>
      <w:lvlJc w:val="right"/>
      <w:pPr>
        <w:tabs>
          <w:tab w:val="num" w:pos="2340"/>
        </w:tabs>
        <w:ind w:left="2340" w:hanging="180"/>
      </w:pPr>
    </w:lvl>
    <w:lvl w:ilvl="3" w:tplc="04150001" w:tentative="1">
      <w:start w:val="1"/>
      <w:numFmt w:val="decimal"/>
      <w:lvlText w:val="%4."/>
      <w:lvlJc w:val="left"/>
      <w:pPr>
        <w:tabs>
          <w:tab w:val="num" w:pos="3060"/>
        </w:tabs>
        <w:ind w:left="3060" w:hanging="360"/>
      </w:pPr>
    </w:lvl>
    <w:lvl w:ilvl="4" w:tplc="04150003" w:tentative="1">
      <w:start w:val="1"/>
      <w:numFmt w:val="lowerLetter"/>
      <w:lvlText w:val="%5."/>
      <w:lvlJc w:val="left"/>
      <w:pPr>
        <w:tabs>
          <w:tab w:val="num" w:pos="3780"/>
        </w:tabs>
        <w:ind w:left="3780" w:hanging="360"/>
      </w:pPr>
    </w:lvl>
    <w:lvl w:ilvl="5" w:tplc="04150005" w:tentative="1">
      <w:start w:val="1"/>
      <w:numFmt w:val="lowerRoman"/>
      <w:lvlText w:val="%6."/>
      <w:lvlJc w:val="right"/>
      <w:pPr>
        <w:tabs>
          <w:tab w:val="num" w:pos="4500"/>
        </w:tabs>
        <w:ind w:left="4500" w:hanging="180"/>
      </w:pPr>
    </w:lvl>
    <w:lvl w:ilvl="6" w:tplc="04150001" w:tentative="1">
      <w:start w:val="1"/>
      <w:numFmt w:val="decimal"/>
      <w:lvlText w:val="%7."/>
      <w:lvlJc w:val="left"/>
      <w:pPr>
        <w:tabs>
          <w:tab w:val="num" w:pos="5220"/>
        </w:tabs>
        <w:ind w:left="5220" w:hanging="360"/>
      </w:pPr>
    </w:lvl>
    <w:lvl w:ilvl="7" w:tplc="04150003" w:tentative="1">
      <w:start w:val="1"/>
      <w:numFmt w:val="lowerLetter"/>
      <w:lvlText w:val="%8."/>
      <w:lvlJc w:val="left"/>
      <w:pPr>
        <w:tabs>
          <w:tab w:val="num" w:pos="5940"/>
        </w:tabs>
        <w:ind w:left="5940" w:hanging="360"/>
      </w:pPr>
    </w:lvl>
    <w:lvl w:ilvl="8" w:tplc="04150005" w:tentative="1">
      <w:start w:val="1"/>
      <w:numFmt w:val="lowerRoman"/>
      <w:lvlText w:val="%9."/>
      <w:lvlJc w:val="right"/>
      <w:pPr>
        <w:tabs>
          <w:tab w:val="num" w:pos="6660"/>
        </w:tabs>
        <w:ind w:left="6660" w:hanging="180"/>
      </w:pPr>
    </w:lvl>
  </w:abstractNum>
  <w:abstractNum w:abstractNumId="55">
    <w:nsid w:val="35792D4A"/>
    <w:multiLevelType w:val="multilevel"/>
    <w:tmpl w:val="848EACCC"/>
    <w:lvl w:ilvl="0">
      <w:start w:val="2"/>
      <w:numFmt w:val="none"/>
      <w:lvlText w:val="2.2"/>
      <w:lvlJc w:val="left"/>
      <w:pPr>
        <w:ind w:left="360" w:hanging="360"/>
      </w:pPr>
      <w:rPr>
        <w:rFonts w:hint="default"/>
      </w:rPr>
    </w:lvl>
    <w:lvl w:ilvl="1">
      <w:start w:val="2"/>
      <w:numFmt w:val="none"/>
      <w:lvlText w:val="2.2.1"/>
      <w:lvlJc w:val="left"/>
      <w:pPr>
        <w:ind w:left="720" w:hanging="360"/>
      </w:pPr>
      <w:rPr>
        <w:rFonts w:hint="default"/>
      </w:rPr>
    </w:lvl>
    <w:lvl w:ilvl="2">
      <w:start w:val="1"/>
      <w:numFmt w:val="none"/>
      <w:lvlText w:val="2.2.2"/>
      <w:lvlJc w:val="left"/>
      <w:pPr>
        <w:ind w:left="1080" w:hanging="360"/>
      </w:pPr>
      <w:rPr>
        <w:rFonts w:hint="default"/>
      </w:rPr>
    </w:lvl>
    <w:lvl w:ilvl="3">
      <w:start w:val="1"/>
      <w:numFmt w:val="none"/>
      <w:lvlText w:val="2.3"/>
      <w:lvlJc w:val="left"/>
      <w:pPr>
        <w:ind w:left="1440" w:hanging="360"/>
      </w:pPr>
      <w:rPr>
        <w:rFonts w:hint="default"/>
      </w:rPr>
    </w:lvl>
    <w:lvl w:ilvl="4">
      <w:start w:val="1"/>
      <w:numFmt w:val="none"/>
      <w:lvlText w:val="2.4"/>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378C3E01"/>
    <w:multiLevelType w:val="hybridMultilevel"/>
    <w:tmpl w:val="D826A8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7E05CAD"/>
    <w:multiLevelType w:val="hybridMultilevel"/>
    <w:tmpl w:val="89BA2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8875CB0"/>
    <w:multiLevelType w:val="hybridMultilevel"/>
    <w:tmpl w:val="32705D0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9">
    <w:nsid w:val="396E7CA0"/>
    <w:multiLevelType w:val="hybridMultilevel"/>
    <w:tmpl w:val="249CBA28"/>
    <w:lvl w:ilvl="0" w:tplc="46A49774">
      <w:start w:val="1"/>
      <w:numFmt w:val="decimal"/>
      <w:lvlText w:val="%1."/>
      <w:lvlJc w:val="left"/>
      <w:pPr>
        <w:ind w:left="502" w:hanging="360"/>
      </w:pPr>
      <w:rPr>
        <w:b w:val="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0">
    <w:nsid w:val="39F80CD8"/>
    <w:multiLevelType w:val="hybridMultilevel"/>
    <w:tmpl w:val="CD9C65B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3A493A4C"/>
    <w:multiLevelType w:val="multilevel"/>
    <w:tmpl w:val="6F522A3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2">
    <w:nsid w:val="3B852477"/>
    <w:multiLevelType w:val="hybridMultilevel"/>
    <w:tmpl w:val="20DE28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BA270AE"/>
    <w:multiLevelType w:val="hybridMultilevel"/>
    <w:tmpl w:val="0E3C695C"/>
    <w:lvl w:ilvl="0" w:tplc="9118CE82">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4">
    <w:nsid w:val="3CC92C32"/>
    <w:multiLevelType w:val="hybridMultilevel"/>
    <w:tmpl w:val="5BF8B4F0"/>
    <w:lvl w:ilvl="0" w:tplc="0415000B">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5">
    <w:nsid w:val="3E09136B"/>
    <w:multiLevelType w:val="hybridMultilevel"/>
    <w:tmpl w:val="E126F988"/>
    <w:lvl w:ilvl="0" w:tplc="11AA10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EF802E8"/>
    <w:multiLevelType w:val="hybridMultilevel"/>
    <w:tmpl w:val="5A109272"/>
    <w:lvl w:ilvl="0" w:tplc="0415000B">
      <w:start w:val="1"/>
      <w:numFmt w:val="bullet"/>
      <w:lvlText w:val=""/>
      <w:lvlJc w:val="left"/>
      <w:pPr>
        <w:ind w:left="1507" w:hanging="360"/>
      </w:pPr>
      <w:rPr>
        <w:rFonts w:ascii="Wingdings" w:hAnsi="Wingdings"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67">
    <w:nsid w:val="411E6B11"/>
    <w:multiLevelType w:val="hybridMultilevel"/>
    <w:tmpl w:val="249CBA28"/>
    <w:lvl w:ilvl="0" w:tplc="46A49774">
      <w:start w:val="1"/>
      <w:numFmt w:val="decimal"/>
      <w:lvlText w:val="%1."/>
      <w:lvlJc w:val="left"/>
      <w:pPr>
        <w:ind w:left="502" w:hanging="360"/>
      </w:pPr>
      <w:rPr>
        <w:b w:val="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8">
    <w:nsid w:val="419D6610"/>
    <w:multiLevelType w:val="hybridMultilevel"/>
    <w:tmpl w:val="A336DB4E"/>
    <w:lvl w:ilvl="0" w:tplc="5E1CD73E">
      <w:start w:val="1"/>
      <w:numFmt w:val="bullet"/>
      <w:lvlText w:val=""/>
      <w:lvlJc w:val="left"/>
      <w:pPr>
        <w:ind w:left="720"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22A18DA"/>
    <w:multiLevelType w:val="hybridMultilevel"/>
    <w:tmpl w:val="E0E43BA4"/>
    <w:lvl w:ilvl="0" w:tplc="57CCB978">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43717D6B"/>
    <w:multiLevelType w:val="multilevel"/>
    <w:tmpl w:val="CFB27958"/>
    <w:styleLink w:val="Styl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44BF2740"/>
    <w:multiLevelType w:val="hybridMultilevel"/>
    <w:tmpl w:val="D35E4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52D219B"/>
    <w:multiLevelType w:val="hybridMultilevel"/>
    <w:tmpl w:val="E9D4184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nsid w:val="466B4111"/>
    <w:multiLevelType w:val="hybridMultilevel"/>
    <w:tmpl w:val="D2C6B4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95C209A"/>
    <w:multiLevelType w:val="hybridMultilevel"/>
    <w:tmpl w:val="FE3AC4C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49946FC4"/>
    <w:multiLevelType w:val="hybridMultilevel"/>
    <w:tmpl w:val="1FA6A5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B2C0DB6"/>
    <w:multiLevelType w:val="multilevel"/>
    <w:tmpl w:val="CC7411DA"/>
    <w:lvl w:ilvl="0">
      <w:start w:val="1"/>
      <w:numFmt w:val="decimal"/>
      <w:lvlText w:val="%1."/>
      <w:lvlJc w:val="left"/>
      <w:pPr>
        <w:ind w:left="720" w:hanging="360"/>
      </w:pPr>
      <w:rPr>
        <w:rFonts w:hint="default"/>
      </w:rPr>
    </w:lvl>
    <w:lvl w:ilvl="1">
      <w:start w:val="1"/>
      <w:numFmt w:val="decimal"/>
      <w:pStyle w:val="Listapunktowana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4B902810"/>
    <w:multiLevelType w:val="hybridMultilevel"/>
    <w:tmpl w:val="519660AC"/>
    <w:lvl w:ilvl="0" w:tplc="11AA105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8">
    <w:nsid w:val="4BD020C3"/>
    <w:multiLevelType w:val="hybridMultilevel"/>
    <w:tmpl w:val="0C08CE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D155181"/>
    <w:multiLevelType w:val="hybridMultilevel"/>
    <w:tmpl w:val="6834EB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D784380"/>
    <w:multiLevelType w:val="hybridMultilevel"/>
    <w:tmpl w:val="91F61C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E3D41E2"/>
    <w:multiLevelType w:val="hybridMultilevel"/>
    <w:tmpl w:val="C972A15C"/>
    <w:lvl w:ilvl="0" w:tplc="D186B232">
      <w:start w:val="1"/>
      <w:numFmt w:val="bullet"/>
      <w:lvlText w:val=""/>
      <w:lvlJc w:val="left"/>
      <w:pPr>
        <w:ind w:left="720" w:hanging="360"/>
      </w:pPr>
      <w:rPr>
        <w:rFonts w:ascii="Symbol" w:hAnsi="Symbol" w:hint="default"/>
      </w:rPr>
    </w:lvl>
    <w:lvl w:ilvl="1" w:tplc="B6929B5C">
      <w:numFmt w:val="bullet"/>
      <w:lvlText w:val=""/>
      <w:lvlJc w:val="left"/>
      <w:pPr>
        <w:ind w:left="1440" w:hanging="360"/>
      </w:pPr>
      <w:rPr>
        <w:rFonts w:ascii="Symbol" w:eastAsia="Times New Roman" w:hAnsi="Symbol" w:cs="Times New Roman" w:hint="default"/>
        <w:b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FD01BE2"/>
    <w:multiLevelType w:val="hybridMultilevel"/>
    <w:tmpl w:val="EBCA4E7C"/>
    <w:lvl w:ilvl="0" w:tplc="835CF294">
      <w:start w:val="1"/>
      <w:numFmt w:val="decimal"/>
      <w:lvlText w:val="%1."/>
      <w:lvlJc w:val="left"/>
      <w:pPr>
        <w:tabs>
          <w:tab w:val="num" w:pos="720"/>
        </w:tabs>
        <w:ind w:left="720" w:hanging="360"/>
      </w:pPr>
      <w:rPr>
        <w:rFonts w:hint="default"/>
        <w:b w:val="0"/>
        <w:i w:val="0"/>
      </w:rPr>
    </w:lvl>
    <w:lvl w:ilvl="1" w:tplc="259ADBD8">
      <w:start w:val="1"/>
      <w:numFmt w:val="bullet"/>
      <w:lvlText w:val=""/>
      <w:lvlJc w:val="left"/>
      <w:pPr>
        <w:tabs>
          <w:tab w:val="num" w:pos="1443"/>
        </w:tabs>
        <w:ind w:left="1443" w:hanging="363"/>
      </w:pPr>
      <w:rPr>
        <w:rFonts w:ascii="Wingdings" w:hAnsi="Wingding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nsid w:val="50D125ED"/>
    <w:multiLevelType w:val="multilevel"/>
    <w:tmpl w:val="B8EA8D3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51FE3625"/>
    <w:multiLevelType w:val="hybridMultilevel"/>
    <w:tmpl w:val="E2E2952C"/>
    <w:lvl w:ilvl="0" w:tplc="0415000B">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5">
    <w:nsid w:val="53302996"/>
    <w:multiLevelType w:val="hybridMultilevel"/>
    <w:tmpl w:val="38686274"/>
    <w:lvl w:ilvl="0" w:tplc="B68CCDF4">
      <w:start w:val="1"/>
      <w:numFmt w:val="bullet"/>
      <w:pStyle w:val="Lista"/>
      <w:lvlText w:val=""/>
      <w:lvlJc w:val="left"/>
      <w:pPr>
        <w:tabs>
          <w:tab w:val="num" w:pos="2440"/>
        </w:tabs>
        <w:ind w:left="2440" w:hanging="360"/>
      </w:pPr>
      <w:rPr>
        <w:rFonts w:ascii="Symbol" w:hAnsi="Symbol" w:hint="default"/>
        <w:sz w:val="20"/>
      </w:rPr>
    </w:lvl>
    <w:lvl w:ilvl="1" w:tplc="04150019">
      <w:start w:val="1"/>
      <w:numFmt w:val="bullet"/>
      <w:lvlText w:val="o"/>
      <w:lvlJc w:val="left"/>
      <w:pPr>
        <w:tabs>
          <w:tab w:val="num" w:pos="2800"/>
        </w:tabs>
        <w:ind w:left="2800" w:hanging="360"/>
      </w:pPr>
      <w:rPr>
        <w:rFonts w:ascii="Courier New" w:hAnsi="Courier New" w:cs="Courier New" w:hint="default"/>
      </w:rPr>
    </w:lvl>
    <w:lvl w:ilvl="2" w:tplc="0415001B" w:tentative="1">
      <w:start w:val="1"/>
      <w:numFmt w:val="bullet"/>
      <w:lvlText w:val=""/>
      <w:lvlJc w:val="left"/>
      <w:pPr>
        <w:tabs>
          <w:tab w:val="num" w:pos="3520"/>
        </w:tabs>
        <w:ind w:left="3520" w:hanging="360"/>
      </w:pPr>
      <w:rPr>
        <w:rFonts w:ascii="Wingdings" w:hAnsi="Wingdings" w:hint="default"/>
      </w:rPr>
    </w:lvl>
    <w:lvl w:ilvl="3" w:tplc="0415000F" w:tentative="1">
      <w:start w:val="1"/>
      <w:numFmt w:val="bullet"/>
      <w:lvlText w:val=""/>
      <w:lvlJc w:val="left"/>
      <w:pPr>
        <w:tabs>
          <w:tab w:val="num" w:pos="4240"/>
        </w:tabs>
        <w:ind w:left="4240" w:hanging="360"/>
      </w:pPr>
      <w:rPr>
        <w:rFonts w:ascii="Symbol" w:hAnsi="Symbol" w:hint="default"/>
      </w:rPr>
    </w:lvl>
    <w:lvl w:ilvl="4" w:tplc="04150019" w:tentative="1">
      <w:start w:val="1"/>
      <w:numFmt w:val="bullet"/>
      <w:lvlText w:val="o"/>
      <w:lvlJc w:val="left"/>
      <w:pPr>
        <w:tabs>
          <w:tab w:val="num" w:pos="4960"/>
        </w:tabs>
        <w:ind w:left="4960" w:hanging="360"/>
      </w:pPr>
      <w:rPr>
        <w:rFonts w:ascii="Courier New" w:hAnsi="Courier New" w:cs="Courier New" w:hint="default"/>
      </w:rPr>
    </w:lvl>
    <w:lvl w:ilvl="5" w:tplc="0415001B" w:tentative="1">
      <w:start w:val="1"/>
      <w:numFmt w:val="bullet"/>
      <w:lvlText w:val=""/>
      <w:lvlJc w:val="left"/>
      <w:pPr>
        <w:tabs>
          <w:tab w:val="num" w:pos="5680"/>
        </w:tabs>
        <w:ind w:left="5680" w:hanging="360"/>
      </w:pPr>
      <w:rPr>
        <w:rFonts w:ascii="Wingdings" w:hAnsi="Wingdings" w:hint="default"/>
      </w:rPr>
    </w:lvl>
    <w:lvl w:ilvl="6" w:tplc="0415000F" w:tentative="1">
      <w:start w:val="1"/>
      <w:numFmt w:val="bullet"/>
      <w:lvlText w:val=""/>
      <w:lvlJc w:val="left"/>
      <w:pPr>
        <w:tabs>
          <w:tab w:val="num" w:pos="6400"/>
        </w:tabs>
        <w:ind w:left="6400" w:hanging="360"/>
      </w:pPr>
      <w:rPr>
        <w:rFonts w:ascii="Symbol" w:hAnsi="Symbol" w:hint="default"/>
      </w:rPr>
    </w:lvl>
    <w:lvl w:ilvl="7" w:tplc="04150019" w:tentative="1">
      <w:start w:val="1"/>
      <w:numFmt w:val="bullet"/>
      <w:lvlText w:val="o"/>
      <w:lvlJc w:val="left"/>
      <w:pPr>
        <w:tabs>
          <w:tab w:val="num" w:pos="7120"/>
        </w:tabs>
        <w:ind w:left="7120" w:hanging="360"/>
      </w:pPr>
      <w:rPr>
        <w:rFonts w:ascii="Courier New" w:hAnsi="Courier New" w:cs="Courier New" w:hint="default"/>
      </w:rPr>
    </w:lvl>
    <w:lvl w:ilvl="8" w:tplc="0415001B" w:tentative="1">
      <w:start w:val="1"/>
      <w:numFmt w:val="bullet"/>
      <w:lvlText w:val=""/>
      <w:lvlJc w:val="left"/>
      <w:pPr>
        <w:tabs>
          <w:tab w:val="num" w:pos="7840"/>
        </w:tabs>
        <w:ind w:left="7840" w:hanging="360"/>
      </w:pPr>
      <w:rPr>
        <w:rFonts w:ascii="Wingdings" w:hAnsi="Wingdings" w:hint="default"/>
      </w:rPr>
    </w:lvl>
  </w:abstractNum>
  <w:abstractNum w:abstractNumId="86">
    <w:nsid w:val="55880DFF"/>
    <w:multiLevelType w:val="multilevel"/>
    <w:tmpl w:val="1586FC06"/>
    <w:styleLink w:val="Styl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1.%2.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59306183"/>
    <w:multiLevelType w:val="hybridMultilevel"/>
    <w:tmpl w:val="5EEA8A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ADA15EB"/>
    <w:multiLevelType w:val="hybridMultilevel"/>
    <w:tmpl w:val="08CE1E92"/>
    <w:lvl w:ilvl="0" w:tplc="BEC06AA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D7517C6"/>
    <w:multiLevelType w:val="hybridMultilevel"/>
    <w:tmpl w:val="82207944"/>
    <w:lvl w:ilvl="0" w:tplc="A532E46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DEF57D5"/>
    <w:multiLevelType w:val="hybridMultilevel"/>
    <w:tmpl w:val="2CA64CB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5ED257F0"/>
    <w:multiLevelType w:val="multilevel"/>
    <w:tmpl w:val="AD08B766"/>
    <w:styleLink w:val="Styl8"/>
    <w:lvl w:ilvl="0">
      <w:start w:val="2"/>
      <w:numFmt w:val="decimal"/>
      <w:lvlText w:val="%1.1"/>
      <w:lvlJc w:val="left"/>
      <w:pPr>
        <w:ind w:left="2700" w:hanging="360"/>
      </w:pPr>
      <w:rPr>
        <w:rFonts w:hint="default"/>
      </w:rPr>
    </w:lvl>
    <w:lvl w:ilvl="1">
      <w:start w:val="1"/>
      <w:numFmt w:val="decimal"/>
      <w:lvlText w:val="2.%2.1"/>
      <w:lvlJc w:val="left"/>
      <w:pPr>
        <w:ind w:left="3420" w:hanging="360"/>
      </w:pPr>
      <w:rPr>
        <w:rFonts w:hint="default"/>
      </w:rPr>
    </w:lvl>
    <w:lvl w:ilvl="2">
      <w:start w:val="1"/>
      <w:numFmt w:val="none"/>
      <w:lvlText w:val="2.1.2"/>
      <w:lvlJc w:val="right"/>
      <w:pPr>
        <w:ind w:left="4140" w:hanging="180"/>
      </w:pPr>
      <w:rPr>
        <w:rFonts w:hint="default"/>
      </w:rPr>
    </w:lvl>
    <w:lvl w:ilvl="3">
      <w:start w:val="1"/>
      <w:numFmt w:val="none"/>
      <w:lvlText w:val="2.1.3"/>
      <w:lvlJc w:val="left"/>
      <w:pPr>
        <w:ind w:left="4860" w:hanging="360"/>
      </w:pPr>
      <w:rPr>
        <w:rFonts w:hint="default"/>
      </w:rPr>
    </w:lvl>
    <w:lvl w:ilvl="4">
      <w:start w:val="1"/>
      <w:numFmt w:val="none"/>
      <w:lvlText w:val="2.1.4"/>
      <w:lvlJc w:val="left"/>
      <w:pPr>
        <w:ind w:left="5580" w:hanging="360"/>
      </w:pPr>
      <w:rPr>
        <w:rFonts w:hint="default"/>
      </w:rPr>
    </w:lvl>
    <w:lvl w:ilvl="5">
      <w:start w:val="1"/>
      <w:numFmt w:val="none"/>
      <w:lvlText w:val="2.1.5"/>
      <w:lvlJc w:val="right"/>
      <w:pPr>
        <w:ind w:left="6300" w:hanging="180"/>
      </w:pPr>
      <w:rPr>
        <w:rFonts w:hint="default"/>
      </w:rPr>
    </w:lvl>
    <w:lvl w:ilvl="6">
      <w:start w:val="1"/>
      <w:numFmt w:val="none"/>
      <w:lvlText w:val="2.1.6"/>
      <w:lvlJc w:val="left"/>
      <w:pPr>
        <w:ind w:left="7020" w:hanging="360"/>
      </w:pPr>
      <w:rPr>
        <w:rFonts w:hint="default"/>
      </w:rPr>
    </w:lvl>
    <w:lvl w:ilvl="7">
      <w:start w:val="1"/>
      <w:numFmt w:val="none"/>
      <w:lvlText w:val="2.1.7"/>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2">
    <w:nsid w:val="5F947069"/>
    <w:multiLevelType w:val="hybridMultilevel"/>
    <w:tmpl w:val="57BE8A74"/>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93">
    <w:nsid w:val="604219A0"/>
    <w:multiLevelType w:val="hybridMultilevel"/>
    <w:tmpl w:val="671876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60AC6643"/>
    <w:multiLevelType w:val="hybridMultilevel"/>
    <w:tmpl w:val="01429A44"/>
    <w:lvl w:ilvl="0" w:tplc="6494DA30">
      <w:start w:val="1"/>
      <w:numFmt w:val="lowerLetter"/>
      <w:lvlText w:val="%1)"/>
      <w:lvlJc w:val="left"/>
      <w:pPr>
        <w:ind w:left="765" w:hanging="360"/>
      </w:pPr>
      <w:rPr>
        <w:rFonts w:ascii="Times New Roman" w:hAnsi="Times New Roman" w:cs="Times New Roman" w:hint="default"/>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5">
    <w:nsid w:val="632F591F"/>
    <w:multiLevelType w:val="hybridMultilevel"/>
    <w:tmpl w:val="46466958"/>
    <w:lvl w:ilvl="0" w:tplc="0415000B">
      <w:start w:val="1"/>
      <w:numFmt w:val="bullet"/>
      <w:lvlText w:val=""/>
      <w:lvlJc w:val="left"/>
      <w:pPr>
        <w:ind w:left="1440" w:hanging="360"/>
      </w:pPr>
      <w:rPr>
        <w:rFonts w:ascii="Wingdings" w:hAnsi="Wingdings" w:hint="default"/>
      </w:rPr>
    </w:lvl>
    <w:lvl w:ilvl="1" w:tplc="0415000B">
      <w:start w:val="1"/>
      <w:numFmt w:val="bullet"/>
      <w:lvlText w:val=""/>
      <w:lvlJc w:val="left"/>
      <w:pPr>
        <w:ind w:left="2160" w:hanging="360"/>
      </w:pPr>
      <w:rPr>
        <w:rFonts w:ascii="Wingdings" w:hAnsi="Wingding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6">
    <w:nsid w:val="63341E12"/>
    <w:multiLevelType w:val="hybridMultilevel"/>
    <w:tmpl w:val="8FF41D86"/>
    <w:lvl w:ilvl="0" w:tplc="BEC06AA8">
      <w:start w:val="1"/>
      <w:numFmt w:val="bullet"/>
      <w:lvlText w:val="-"/>
      <w:lvlJc w:val="left"/>
      <w:pPr>
        <w:ind w:left="664" w:hanging="360"/>
      </w:pPr>
      <w:rPr>
        <w:rFonts w:ascii="Courier New" w:hAnsi="Courier New" w:hint="default"/>
      </w:rPr>
    </w:lvl>
    <w:lvl w:ilvl="1" w:tplc="04150003" w:tentative="1">
      <w:start w:val="1"/>
      <w:numFmt w:val="bullet"/>
      <w:lvlText w:val="o"/>
      <w:lvlJc w:val="left"/>
      <w:pPr>
        <w:ind w:left="1384" w:hanging="360"/>
      </w:pPr>
      <w:rPr>
        <w:rFonts w:ascii="Courier New" w:hAnsi="Courier New" w:cs="Courier New" w:hint="default"/>
      </w:rPr>
    </w:lvl>
    <w:lvl w:ilvl="2" w:tplc="04150005" w:tentative="1">
      <w:start w:val="1"/>
      <w:numFmt w:val="bullet"/>
      <w:lvlText w:val=""/>
      <w:lvlJc w:val="left"/>
      <w:pPr>
        <w:ind w:left="2104" w:hanging="360"/>
      </w:pPr>
      <w:rPr>
        <w:rFonts w:ascii="Wingdings" w:hAnsi="Wingdings" w:hint="default"/>
      </w:rPr>
    </w:lvl>
    <w:lvl w:ilvl="3" w:tplc="04150001" w:tentative="1">
      <w:start w:val="1"/>
      <w:numFmt w:val="bullet"/>
      <w:lvlText w:val=""/>
      <w:lvlJc w:val="left"/>
      <w:pPr>
        <w:ind w:left="2824" w:hanging="360"/>
      </w:pPr>
      <w:rPr>
        <w:rFonts w:ascii="Symbol" w:hAnsi="Symbol" w:hint="default"/>
      </w:rPr>
    </w:lvl>
    <w:lvl w:ilvl="4" w:tplc="04150003" w:tentative="1">
      <w:start w:val="1"/>
      <w:numFmt w:val="bullet"/>
      <w:lvlText w:val="o"/>
      <w:lvlJc w:val="left"/>
      <w:pPr>
        <w:ind w:left="3544" w:hanging="360"/>
      </w:pPr>
      <w:rPr>
        <w:rFonts w:ascii="Courier New" w:hAnsi="Courier New" w:cs="Courier New" w:hint="default"/>
      </w:rPr>
    </w:lvl>
    <w:lvl w:ilvl="5" w:tplc="04150005" w:tentative="1">
      <w:start w:val="1"/>
      <w:numFmt w:val="bullet"/>
      <w:lvlText w:val=""/>
      <w:lvlJc w:val="left"/>
      <w:pPr>
        <w:ind w:left="4264" w:hanging="360"/>
      </w:pPr>
      <w:rPr>
        <w:rFonts w:ascii="Wingdings" w:hAnsi="Wingdings" w:hint="default"/>
      </w:rPr>
    </w:lvl>
    <w:lvl w:ilvl="6" w:tplc="04150001" w:tentative="1">
      <w:start w:val="1"/>
      <w:numFmt w:val="bullet"/>
      <w:lvlText w:val=""/>
      <w:lvlJc w:val="left"/>
      <w:pPr>
        <w:ind w:left="4984" w:hanging="360"/>
      </w:pPr>
      <w:rPr>
        <w:rFonts w:ascii="Symbol" w:hAnsi="Symbol" w:hint="default"/>
      </w:rPr>
    </w:lvl>
    <w:lvl w:ilvl="7" w:tplc="04150003" w:tentative="1">
      <w:start w:val="1"/>
      <w:numFmt w:val="bullet"/>
      <w:lvlText w:val="o"/>
      <w:lvlJc w:val="left"/>
      <w:pPr>
        <w:ind w:left="5704" w:hanging="360"/>
      </w:pPr>
      <w:rPr>
        <w:rFonts w:ascii="Courier New" w:hAnsi="Courier New" w:cs="Courier New" w:hint="default"/>
      </w:rPr>
    </w:lvl>
    <w:lvl w:ilvl="8" w:tplc="04150005" w:tentative="1">
      <w:start w:val="1"/>
      <w:numFmt w:val="bullet"/>
      <w:lvlText w:val=""/>
      <w:lvlJc w:val="left"/>
      <w:pPr>
        <w:ind w:left="6424" w:hanging="360"/>
      </w:pPr>
      <w:rPr>
        <w:rFonts w:ascii="Wingdings" w:hAnsi="Wingdings" w:hint="default"/>
      </w:rPr>
    </w:lvl>
  </w:abstractNum>
  <w:abstractNum w:abstractNumId="97">
    <w:nsid w:val="64710406"/>
    <w:multiLevelType w:val="multilevel"/>
    <w:tmpl w:val="0415001F"/>
    <w:styleLink w:val="Styl1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673102C7"/>
    <w:multiLevelType w:val="hybridMultilevel"/>
    <w:tmpl w:val="61E40546"/>
    <w:lvl w:ilvl="0" w:tplc="A47CC068">
      <w:start w:val="1"/>
      <w:numFmt w:val="decimal"/>
      <w:lvlText w:val="%1."/>
      <w:lvlJc w:val="left"/>
      <w:pPr>
        <w:tabs>
          <w:tab w:val="num" w:pos="720"/>
        </w:tabs>
        <w:ind w:left="720" w:hanging="360"/>
      </w:pPr>
    </w:lvl>
    <w:lvl w:ilvl="1" w:tplc="E0943774" w:tentative="1">
      <w:start w:val="1"/>
      <w:numFmt w:val="decimal"/>
      <w:lvlText w:val="%2."/>
      <w:lvlJc w:val="left"/>
      <w:pPr>
        <w:tabs>
          <w:tab w:val="num" w:pos="1440"/>
        </w:tabs>
        <w:ind w:left="1440" w:hanging="360"/>
      </w:pPr>
    </w:lvl>
    <w:lvl w:ilvl="2" w:tplc="D62AB2F6" w:tentative="1">
      <w:start w:val="1"/>
      <w:numFmt w:val="decimal"/>
      <w:lvlText w:val="%3."/>
      <w:lvlJc w:val="left"/>
      <w:pPr>
        <w:tabs>
          <w:tab w:val="num" w:pos="2160"/>
        </w:tabs>
        <w:ind w:left="2160" w:hanging="360"/>
      </w:pPr>
    </w:lvl>
    <w:lvl w:ilvl="3" w:tplc="14A691FC" w:tentative="1">
      <w:start w:val="1"/>
      <w:numFmt w:val="decimal"/>
      <w:lvlText w:val="%4."/>
      <w:lvlJc w:val="left"/>
      <w:pPr>
        <w:tabs>
          <w:tab w:val="num" w:pos="2880"/>
        </w:tabs>
        <w:ind w:left="2880" w:hanging="360"/>
      </w:pPr>
    </w:lvl>
    <w:lvl w:ilvl="4" w:tplc="1840A7FE" w:tentative="1">
      <w:start w:val="1"/>
      <w:numFmt w:val="decimal"/>
      <w:lvlText w:val="%5."/>
      <w:lvlJc w:val="left"/>
      <w:pPr>
        <w:tabs>
          <w:tab w:val="num" w:pos="3600"/>
        </w:tabs>
        <w:ind w:left="3600" w:hanging="360"/>
      </w:pPr>
    </w:lvl>
    <w:lvl w:ilvl="5" w:tplc="5BAC5ADC" w:tentative="1">
      <w:start w:val="1"/>
      <w:numFmt w:val="decimal"/>
      <w:lvlText w:val="%6."/>
      <w:lvlJc w:val="left"/>
      <w:pPr>
        <w:tabs>
          <w:tab w:val="num" w:pos="4320"/>
        </w:tabs>
        <w:ind w:left="4320" w:hanging="360"/>
      </w:pPr>
    </w:lvl>
    <w:lvl w:ilvl="6" w:tplc="27EC0768" w:tentative="1">
      <w:start w:val="1"/>
      <w:numFmt w:val="decimal"/>
      <w:lvlText w:val="%7."/>
      <w:lvlJc w:val="left"/>
      <w:pPr>
        <w:tabs>
          <w:tab w:val="num" w:pos="5040"/>
        </w:tabs>
        <w:ind w:left="5040" w:hanging="360"/>
      </w:pPr>
    </w:lvl>
    <w:lvl w:ilvl="7" w:tplc="7538447A" w:tentative="1">
      <w:start w:val="1"/>
      <w:numFmt w:val="decimal"/>
      <w:lvlText w:val="%8."/>
      <w:lvlJc w:val="left"/>
      <w:pPr>
        <w:tabs>
          <w:tab w:val="num" w:pos="5760"/>
        </w:tabs>
        <w:ind w:left="5760" w:hanging="360"/>
      </w:pPr>
    </w:lvl>
    <w:lvl w:ilvl="8" w:tplc="8AA42B0A" w:tentative="1">
      <w:start w:val="1"/>
      <w:numFmt w:val="decimal"/>
      <w:lvlText w:val="%9."/>
      <w:lvlJc w:val="left"/>
      <w:pPr>
        <w:tabs>
          <w:tab w:val="num" w:pos="6480"/>
        </w:tabs>
        <w:ind w:left="6480" w:hanging="360"/>
      </w:pPr>
    </w:lvl>
  </w:abstractNum>
  <w:abstractNum w:abstractNumId="99">
    <w:nsid w:val="67B25581"/>
    <w:multiLevelType w:val="multilevel"/>
    <w:tmpl w:val="D1F06A8C"/>
    <w:styleLink w:val="Styl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67FE4BFB"/>
    <w:multiLevelType w:val="hybridMultilevel"/>
    <w:tmpl w:val="508A2E8A"/>
    <w:lvl w:ilvl="0" w:tplc="0415000B">
      <w:start w:val="1"/>
      <w:numFmt w:val="bullet"/>
      <w:lvlText w:val=""/>
      <w:lvlJc w:val="left"/>
      <w:pPr>
        <w:ind w:left="720" w:hanging="360"/>
      </w:pPr>
      <w:rPr>
        <w:rFonts w:ascii="Wingdings" w:hAnsi="Wingding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8CA4FA7"/>
    <w:multiLevelType w:val="hybridMultilevel"/>
    <w:tmpl w:val="F6B40A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96A672E"/>
    <w:multiLevelType w:val="multilevel"/>
    <w:tmpl w:val="0415001F"/>
    <w:numStyleLink w:val="Styl11"/>
  </w:abstractNum>
  <w:abstractNum w:abstractNumId="103">
    <w:nsid w:val="69EB2F86"/>
    <w:multiLevelType w:val="hybridMultilevel"/>
    <w:tmpl w:val="C8A84C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A01670D"/>
    <w:multiLevelType w:val="hybridMultilevel"/>
    <w:tmpl w:val="30544B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B1D0983"/>
    <w:multiLevelType w:val="multilevel"/>
    <w:tmpl w:val="1A021BBA"/>
    <w:lvl w:ilvl="0">
      <w:start w:val="3"/>
      <w:numFmt w:val="decimal"/>
      <w:lvlText w:val="%1"/>
      <w:lvlJc w:val="left"/>
      <w:pPr>
        <w:ind w:left="600" w:hanging="600"/>
      </w:pPr>
      <w:rPr>
        <w:rFonts w:hint="default"/>
      </w:rPr>
    </w:lvl>
    <w:lvl w:ilvl="1">
      <w:start w:val="10"/>
      <w:numFmt w:val="decimal"/>
      <w:lvlText w:val="%1.%2"/>
      <w:lvlJc w:val="left"/>
      <w:pPr>
        <w:ind w:left="997" w:hanging="60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106">
    <w:nsid w:val="6DE41A00"/>
    <w:multiLevelType w:val="hybridMultilevel"/>
    <w:tmpl w:val="3DFE9E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22A79EE"/>
    <w:multiLevelType w:val="hybridMultilevel"/>
    <w:tmpl w:val="EF0643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3ED1DB3"/>
    <w:multiLevelType w:val="hybridMultilevel"/>
    <w:tmpl w:val="3AAAFC5C"/>
    <w:lvl w:ilvl="0" w:tplc="A5DA07D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9">
    <w:nsid w:val="75A91C6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762425D5"/>
    <w:multiLevelType w:val="hybridMultilevel"/>
    <w:tmpl w:val="5010E9C6"/>
    <w:lvl w:ilvl="0" w:tplc="D186B23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78F6BF8"/>
    <w:multiLevelType w:val="hybridMultilevel"/>
    <w:tmpl w:val="CCC0814C"/>
    <w:lvl w:ilvl="0" w:tplc="0415000B">
      <w:start w:val="1"/>
      <w:numFmt w:val="bullet"/>
      <w:lvlText w:val=""/>
      <w:lvlJc w:val="left"/>
      <w:pPr>
        <w:ind w:left="720" w:hanging="360"/>
      </w:pPr>
      <w:rPr>
        <w:rFonts w:ascii="Wingdings" w:hAnsi="Wingding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8B75694"/>
    <w:multiLevelType w:val="hybridMultilevel"/>
    <w:tmpl w:val="61B83F2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3">
    <w:nsid w:val="79615644"/>
    <w:multiLevelType w:val="hybridMultilevel"/>
    <w:tmpl w:val="7A00CCC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4">
    <w:nsid w:val="7AC47DCB"/>
    <w:multiLevelType w:val="hybridMultilevel"/>
    <w:tmpl w:val="61AED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7B651C59"/>
    <w:multiLevelType w:val="multilevel"/>
    <w:tmpl w:val="7D6C0C76"/>
    <w:lvl w:ilvl="0">
      <w:start w:val="1"/>
      <w:numFmt w:val="decimal"/>
      <w:lvlText w:val="%1."/>
      <w:lvlJc w:val="left"/>
      <w:pPr>
        <w:ind w:left="360" w:hanging="360"/>
      </w:p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6">
    <w:nsid w:val="7BDE3DFC"/>
    <w:multiLevelType w:val="hybridMultilevel"/>
    <w:tmpl w:val="4E7675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CA2229C"/>
    <w:multiLevelType w:val="hybridMultilevel"/>
    <w:tmpl w:val="1F685154"/>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7CC2007A"/>
    <w:multiLevelType w:val="multilevel"/>
    <w:tmpl w:val="5E485876"/>
    <w:lvl w:ilvl="0">
      <w:start w:val="1"/>
      <w:numFmt w:val="none"/>
      <w:pStyle w:val="Nagwek1"/>
      <w:lvlText w:val="3.10.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19">
    <w:nsid w:val="7CC67C91"/>
    <w:multiLevelType w:val="hybridMultilevel"/>
    <w:tmpl w:val="21EA50F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7CDE3252"/>
    <w:multiLevelType w:val="hybridMultilevel"/>
    <w:tmpl w:val="21C4DA66"/>
    <w:lvl w:ilvl="0" w:tplc="04150017">
      <w:start w:val="1"/>
      <w:numFmt w:val="lowerLetter"/>
      <w:lvlText w:val="%1)"/>
      <w:lvlJc w:val="left"/>
      <w:pPr>
        <w:ind w:left="765"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1">
    <w:nsid w:val="7D6C789C"/>
    <w:multiLevelType w:val="multilevel"/>
    <w:tmpl w:val="DB947964"/>
    <w:styleLink w:val="Styl10"/>
    <w:lvl w:ilvl="0">
      <w:start w:val="2"/>
      <w:numFmt w:val="decimal"/>
      <w:lvlText w:val="%1."/>
      <w:lvlJc w:val="left"/>
      <w:pPr>
        <w:ind w:left="720" w:hanging="360"/>
      </w:pPr>
      <w:rPr>
        <w:rFonts w:hint="default"/>
        <w:b w:val="0"/>
      </w:rPr>
    </w:lvl>
    <w:lvl w:ilvl="1">
      <w:start w:val="1"/>
      <w:numFmt w:val="none"/>
      <w:isLgl/>
      <w:lvlText w:val="2.1.6.3"/>
      <w:lvlJc w:val="left"/>
      <w:pPr>
        <w:ind w:left="1020" w:hanging="660"/>
      </w:pPr>
      <w:rPr>
        <w:rFonts w:hint="default"/>
      </w:rPr>
    </w:lvl>
    <w:lvl w:ilvl="2">
      <w:start w:val="6"/>
      <w:numFmt w:val="none"/>
      <w:isLgl/>
      <w:lvlText w:val="2.1.6.4"/>
      <w:lvlJc w:val="left"/>
      <w:pPr>
        <w:ind w:left="1080" w:hanging="720"/>
      </w:pPr>
      <w:rPr>
        <w:rFonts w:hint="default"/>
      </w:rPr>
    </w:lvl>
    <w:lvl w:ilvl="3">
      <w:start w:val="5"/>
      <w:numFmt w:val="decimal"/>
      <w:isLgl/>
      <w:lvlText w:val="%1.%2.%3.%4"/>
      <w:lvlJc w:val="left"/>
      <w:pPr>
        <w:ind w:left="1080" w:hanging="720"/>
      </w:pPr>
      <w:rPr>
        <w:rFonts w:ascii="Times New Roman" w:hAnsi="Times New Roman" w:hint="default"/>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2">
    <w:nsid w:val="7DA14F9E"/>
    <w:multiLevelType w:val="multilevel"/>
    <w:tmpl w:val="0415001D"/>
    <w:styleLink w:val="Styl7"/>
    <w:lvl w:ilvl="0">
      <w:start w:val="2"/>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6"/>
  </w:num>
  <w:num w:numId="2">
    <w:abstractNumId w:val="19"/>
  </w:num>
  <w:num w:numId="3">
    <w:abstractNumId w:val="76"/>
  </w:num>
  <w:num w:numId="4">
    <w:abstractNumId w:val="39"/>
  </w:num>
  <w:num w:numId="5">
    <w:abstractNumId w:val="95"/>
  </w:num>
  <w:num w:numId="6">
    <w:abstractNumId w:val="11"/>
  </w:num>
  <w:num w:numId="7">
    <w:abstractNumId w:val="15"/>
  </w:num>
  <w:num w:numId="8">
    <w:abstractNumId w:val="30"/>
  </w:num>
  <w:num w:numId="9">
    <w:abstractNumId w:val="101"/>
  </w:num>
  <w:num w:numId="10">
    <w:abstractNumId w:val="87"/>
  </w:num>
  <w:num w:numId="11">
    <w:abstractNumId w:val="93"/>
  </w:num>
  <w:num w:numId="12">
    <w:abstractNumId w:val="58"/>
  </w:num>
  <w:num w:numId="13">
    <w:abstractNumId w:val="85"/>
  </w:num>
  <w:num w:numId="14">
    <w:abstractNumId w:val="34"/>
  </w:num>
  <w:num w:numId="15">
    <w:abstractNumId w:val="96"/>
  </w:num>
  <w:num w:numId="16">
    <w:abstractNumId w:val="88"/>
  </w:num>
  <w:num w:numId="17">
    <w:abstractNumId w:val="54"/>
  </w:num>
  <w:num w:numId="18">
    <w:abstractNumId w:val="99"/>
  </w:num>
  <w:num w:numId="19">
    <w:abstractNumId w:val="38"/>
  </w:num>
  <w:num w:numId="20">
    <w:abstractNumId w:val="53"/>
  </w:num>
  <w:num w:numId="21">
    <w:abstractNumId w:val="86"/>
  </w:num>
  <w:num w:numId="22">
    <w:abstractNumId w:val="10"/>
  </w:num>
  <w:num w:numId="23">
    <w:abstractNumId w:val="27"/>
  </w:num>
  <w:num w:numId="24">
    <w:abstractNumId w:val="122"/>
  </w:num>
  <w:num w:numId="25">
    <w:abstractNumId w:val="102"/>
    <w:lvlOverride w:ilvl="0">
      <w:lvl w:ilvl="0">
        <w:start w:val="2"/>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2"/>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91"/>
  </w:num>
  <w:num w:numId="27">
    <w:abstractNumId w:val="23"/>
  </w:num>
  <w:num w:numId="28">
    <w:abstractNumId w:val="118"/>
  </w:num>
  <w:num w:numId="29">
    <w:abstractNumId w:val="121"/>
  </w:num>
  <w:num w:numId="30">
    <w:abstractNumId w:val="109"/>
  </w:num>
  <w:num w:numId="31">
    <w:abstractNumId w:val="97"/>
  </w:num>
  <w:num w:numId="32">
    <w:abstractNumId w:val="70"/>
  </w:num>
  <w:num w:numId="33">
    <w:abstractNumId w:val="29"/>
  </w:num>
  <w:num w:numId="34">
    <w:abstractNumId w:val="33"/>
  </w:num>
  <w:num w:numId="35">
    <w:abstractNumId w:val="35"/>
  </w:num>
  <w:num w:numId="36">
    <w:abstractNumId w:val="25"/>
  </w:num>
  <w:num w:numId="37">
    <w:abstractNumId w:val="36"/>
  </w:num>
  <w:num w:numId="38">
    <w:abstractNumId w:val="55"/>
  </w:num>
  <w:num w:numId="39">
    <w:abstractNumId w:val="83"/>
  </w:num>
  <w:num w:numId="40">
    <w:abstractNumId w:val="44"/>
  </w:num>
  <w:num w:numId="41">
    <w:abstractNumId w:val="81"/>
  </w:num>
  <w:num w:numId="42">
    <w:abstractNumId w:val="106"/>
  </w:num>
  <w:num w:numId="43">
    <w:abstractNumId w:val="116"/>
  </w:num>
  <w:num w:numId="44">
    <w:abstractNumId w:val="67"/>
  </w:num>
  <w:num w:numId="45">
    <w:abstractNumId w:val="75"/>
  </w:num>
  <w:num w:numId="46">
    <w:abstractNumId w:val="17"/>
  </w:num>
  <w:num w:numId="47">
    <w:abstractNumId w:val="104"/>
  </w:num>
  <w:num w:numId="48">
    <w:abstractNumId w:val="8"/>
  </w:num>
  <w:num w:numId="49">
    <w:abstractNumId w:val="32"/>
  </w:num>
  <w:num w:numId="50">
    <w:abstractNumId w:val="52"/>
  </w:num>
  <w:num w:numId="51">
    <w:abstractNumId w:val="66"/>
  </w:num>
  <w:num w:numId="52">
    <w:abstractNumId w:val="80"/>
  </w:num>
  <w:num w:numId="53">
    <w:abstractNumId w:val="113"/>
  </w:num>
  <w:num w:numId="54">
    <w:abstractNumId w:val="50"/>
  </w:num>
  <w:num w:numId="55">
    <w:abstractNumId w:val="73"/>
  </w:num>
  <w:num w:numId="56">
    <w:abstractNumId w:val="117"/>
  </w:num>
  <w:num w:numId="57">
    <w:abstractNumId w:val="103"/>
  </w:num>
  <w:num w:numId="58">
    <w:abstractNumId w:val="98"/>
  </w:num>
  <w:num w:numId="59">
    <w:abstractNumId w:val="20"/>
  </w:num>
  <w:num w:numId="60">
    <w:abstractNumId w:val="119"/>
  </w:num>
  <w:num w:numId="61">
    <w:abstractNumId w:val="61"/>
  </w:num>
  <w:num w:numId="62">
    <w:abstractNumId w:val="24"/>
  </w:num>
  <w:num w:numId="63">
    <w:abstractNumId w:val="115"/>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num>
  <w:num w:numId="67">
    <w:abstractNumId w:val="51"/>
  </w:num>
  <w:num w:numId="68">
    <w:abstractNumId w:val="90"/>
  </w:num>
  <w:num w:numId="69">
    <w:abstractNumId w:val="40"/>
  </w:num>
  <w:num w:numId="70">
    <w:abstractNumId w:val="108"/>
  </w:num>
  <w:num w:numId="7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0"/>
  </w:num>
  <w:num w:numId="7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num>
  <w:num w:numId="76">
    <w:abstractNumId w:val="62"/>
  </w:num>
  <w:num w:numId="77">
    <w:abstractNumId w:val="22"/>
  </w:num>
  <w:num w:numId="78">
    <w:abstractNumId w:val="77"/>
  </w:num>
  <w:num w:numId="79">
    <w:abstractNumId w:val="65"/>
  </w:num>
  <w:num w:numId="80">
    <w:abstractNumId w:val="68"/>
  </w:num>
  <w:num w:numId="81">
    <w:abstractNumId w:val="45"/>
  </w:num>
  <w:num w:numId="82">
    <w:abstractNumId w:val="48"/>
  </w:num>
  <w:num w:numId="83">
    <w:abstractNumId w:val="79"/>
  </w:num>
  <w:num w:numId="84">
    <w:abstractNumId w:val="47"/>
  </w:num>
  <w:num w:numId="85">
    <w:abstractNumId w:val="74"/>
  </w:num>
  <w:num w:numId="86">
    <w:abstractNumId w:val="7"/>
  </w:num>
  <w:num w:numId="87">
    <w:abstractNumId w:val="31"/>
  </w:num>
  <w:num w:numId="88">
    <w:abstractNumId w:val="13"/>
  </w:num>
  <w:num w:numId="89">
    <w:abstractNumId w:val="63"/>
  </w:num>
  <w:num w:numId="90">
    <w:abstractNumId w:val="46"/>
  </w:num>
  <w:num w:numId="91">
    <w:abstractNumId w:val="110"/>
  </w:num>
  <w:num w:numId="9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num>
  <w:num w:numId="94">
    <w:abstractNumId w:val="18"/>
  </w:num>
  <w:num w:numId="95">
    <w:abstractNumId w:val="107"/>
  </w:num>
  <w:num w:numId="96">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7"/>
  </w:num>
  <w:num w:numId="98">
    <w:abstractNumId w:val="69"/>
  </w:num>
  <w:num w:numId="99">
    <w:abstractNumId w:val="43"/>
  </w:num>
  <w:num w:numId="100">
    <w:abstractNumId w:val="105"/>
  </w:num>
  <w:num w:numId="101">
    <w:abstractNumId w:val="112"/>
  </w:num>
  <w:num w:numId="102">
    <w:abstractNumId w:val="60"/>
  </w:num>
  <w:num w:numId="103">
    <w:abstractNumId w:val="92"/>
  </w:num>
  <w:num w:numId="104">
    <w:abstractNumId w:val="12"/>
  </w:num>
  <w:num w:numId="105">
    <w:abstractNumId w:val="56"/>
  </w:num>
  <w:num w:numId="106">
    <w:abstractNumId w:val="42"/>
  </w:num>
  <w:num w:numId="107">
    <w:abstractNumId w:val="72"/>
  </w:num>
  <w:num w:numId="108">
    <w:abstractNumId w:val="16"/>
  </w:num>
  <w:num w:numId="109">
    <w:abstractNumId w:val="114"/>
  </w:num>
  <w:num w:numId="110">
    <w:abstractNumId w:val="100"/>
  </w:num>
  <w:num w:numId="111">
    <w:abstractNumId w:val="78"/>
  </w:num>
  <w:num w:numId="112">
    <w:abstractNumId w:val="111"/>
  </w:num>
  <w:num w:numId="113">
    <w:abstractNumId w:val="71"/>
  </w:num>
  <w:num w:numId="114">
    <w:abstractNumId w:val="49"/>
  </w:num>
  <w:num w:numId="115">
    <w:abstractNumId w:val="59"/>
  </w:num>
  <w:num w:numId="116">
    <w:abstractNumId w:val="8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9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10E"/>
    <w:rsid w:val="000012D3"/>
    <w:rsid w:val="00001962"/>
    <w:rsid w:val="00002840"/>
    <w:rsid w:val="0000294E"/>
    <w:rsid w:val="00002A76"/>
    <w:rsid w:val="00004ED0"/>
    <w:rsid w:val="00006202"/>
    <w:rsid w:val="00006321"/>
    <w:rsid w:val="0000762D"/>
    <w:rsid w:val="00007F24"/>
    <w:rsid w:val="0001000A"/>
    <w:rsid w:val="0001051D"/>
    <w:rsid w:val="00010CF8"/>
    <w:rsid w:val="0001153B"/>
    <w:rsid w:val="000116F7"/>
    <w:rsid w:val="00011EE4"/>
    <w:rsid w:val="000132AB"/>
    <w:rsid w:val="00013F6B"/>
    <w:rsid w:val="000147E5"/>
    <w:rsid w:val="0001489D"/>
    <w:rsid w:val="00015623"/>
    <w:rsid w:val="00015FD6"/>
    <w:rsid w:val="000169AC"/>
    <w:rsid w:val="0001713A"/>
    <w:rsid w:val="0001794C"/>
    <w:rsid w:val="00017A4A"/>
    <w:rsid w:val="00020049"/>
    <w:rsid w:val="0002070D"/>
    <w:rsid w:val="000219BA"/>
    <w:rsid w:val="00022206"/>
    <w:rsid w:val="00022A10"/>
    <w:rsid w:val="000243B5"/>
    <w:rsid w:val="00024813"/>
    <w:rsid w:val="00024F9E"/>
    <w:rsid w:val="0002581D"/>
    <w:rsid w:val="00026311"/>
    <w:rsid w:val="00026343"/>
    <w:rsid w:val="00026D14"/>
    <w:rsid w:val="00026F6F"/>
    <w:rsid w:val="000300D1"/>
    <w:rsid w:val="000304D8"/>
    <w:rsid w:val="00030E53"/>
    <w:rsid w:val="00031736"/>
    <w:rsid w:val="00031A1B"/>
    <w:rsid w:val="00032203"/>
    <w:rsid w:val="000322C3"/>
    <w:rsid w:val="000334DD"/>
    <w:rsid w:val="00033790"/>
    <w:rsid w:val="0003480C"/>
    <w:rsid w:val="00034EC4"/>
    <w:rsid w:val="000356F8"/>
    <w:rsid w:val="000375EA"/>
    <w:rsid w:val="00040431"/>
    <w:rsid w:val="00040808"/>
    <w:rsid w:val="000409F0"/>
    <w:rsid w:val="00040DE5"/>
    <w:rsid w:val="00041B94"/>
    <w:rsid w:val="000428F6"/>
    <w:rsid w:val="00042FA2"/>
    <w:rsid w:val="00043A56"/>
    <w:rsid w:val="000446B3"/>
    <w:rsid w:val="0004480F"/>
    <w:rsid w:val="000451B4"/>
    <w:rsid w:val="00045C7B"/>
    <w:rsid w:val="000461BA"/>
    <w:rsid w:val="00046879"/>
    <w:rsid w:val="00047709"/>
    <w:rsid w:val="00050039"/>
    <w:rsid w:val="00050132"/>
    <w:rsid w:val="0005034F"/>
    <w:rsid w:val="000512B4"/>
    <w:rsid w:val="00051782"/>
    <w:rsid w:val="000523A6"/>
    <w:rsid w:val="0005262C"/>
    <w:rsid w:val="00052658"/>
    <w:rsid w:val="000528FC"/>
    <w:rsid w:val="00052B4D"/>
    <w:rsid w:val="0005410E"/>
    <w:rsid w:val="00054D6D"/>
    <w:rsid w:val="00056082"/>
    <w:rsid w:val="000564D2"/>
    <w:rsid w:val="00057289"/>
    <w:rsid w:val="00060DC5"/>
    <w:rsid w:val="00060F07"/>
    <w:rsid w:val="00061FDC"/>
    <w:rsid w:val="0006240D"/>
    <w:rsid w:val="00063600"/>
    <w:rsid w:val="00063665"/>
    <w:rsid w:val="00063A94"/>
    <w:rsid w:val="000640C9"/>
    <w:rsid w:val="0006466A"/>
    <w:rsid w:val="0006487C"/>
    <w:rsid w:val="00064F84"/>
    <w:rsid w:val="00065AD0"/>
    <w:rsid w:val="00066682"/>
    <w:rsid w:val="00066B02"/>
    <w:rsid w:val="00067559"/>
    <w:rsid w:val="00067853"/>
    <w:rsid w:val="00070C07"/>
    <w:rsid w:val="000711FA"/>
    <w:rsid w:val="00071916"/>
    <w:rsid w:val="000719CA"/>
    <w:rsid w:val="00072BA7"/>
    <w:rsid w:val="000731B8"/>
    <w:rsid w:val="00073297"/>
    <w:rsid w:val="000735B6"/>
    <w:rsid w:val="0007396D"/>
    <w:rsid w:val="00076C18"/>
    <w:rsid w:val="000774B7"/>
    <w:rsid w:val="00077596"/>
    <w:rsid w:val="000802AD"/>
    <w:rsid w:val="00081212"/>
    <w:rsid w:val="0008138D"/>
    <w:rsid w:val="000815D8"/>
    <w:rsid w:val="00082999"/>
    <w:rsid w:val="00083252"/>
    <w:rsid w:val="000837D4"/>
    <w:rsid w:val="00083D15"/>
    <w:rsid w:val="000848CD"/>
    <w:rsid w:val="00084D4E"/>
    <w:rsid w:val="00085743"/>
    <w:rsid w:val="00085A26"/>
    <w:rsid w:val="00086432"/>
    <w:rsid w:val="00086583"/>
    <w:rsid w:val="0008737F"/>
    <w:rsid w:val="00087CF4"/>
    <w:rsid w:val="00087D35"/>
    <w:rsid w:val="00087E2F"/>
    <w:rsid w:val="00091902"/>
    <w:rsid w:val="000938C4"/>
    <w:rsid w:val="000940F3"/>
    <w:rsid w:val="00095118"/>
    <w:rsid w:val="0009633C"/>
    <w:rsid w:val="00097978"/>
    <w:rsid w:val="00097C7F"/>
    <w:rsid w:val="00097E92"/>
    <w:rsid w:val="00097FE9"/>
    <w:rsid w:val="000A05D7"/>
    <w:rsid w:val="000A0D02"/>
    <w:rsid w:val="000A1FAE"/>
    <w:rsid w:val="000A366D"/>
    <w:rsid w:val="000A4041"/>
    <w:rsid w:val="000A4213"/>
    <w:rsid w:val="000A470A"/>
    <w:rsid w:val="000A49E4"/>
    <w:rsid w:val="000A4C2C"/>
    <w:rsid w:val="000A5024"/>
    <w:rsid w:val="000A56A9"/>
    <w:rsid w:val="000A57A6"/>
    <w:rsid w:val="000A5F27"/>
    <w:rsid w:val="000A5F35"/>
    <w:rsid w:val="000A63EE"/>
    <w:rsid w:val="000A74D4"/>
    <w:rsid w:val="000A783E"/>
    <w:rsid w:val="000A7A18"/>
    <w:rsid w:val="000A7D43"/>
    <w:rsid w:val="000B1B0B"/>
    <w:rsid w:val="000B348C"/>
    <w:rsid w:val="000B34E5"/>
    <w:rsid w:val="000B3A11"/>
    <w:rsid w:val="000B44A6"/>
    <w:rsid w:val="000B4C69"/>
    <w:rsid w:val="000B4F18"/>
    <w:rsid w:val="000B694E"/>
    <w:rsid w:val="000B6DFE"/>
    <w:rsid w:val="000B7EF9"/>
    <w:rsid w:val="000C055C"/>
    <w:rsid w:val="000C05F2"/>
    <w:rsid w:val="000C0725"/>
    <w:rsid w:val="000C0A4C"/>
    <w:rsid w:val="000C0D2A"/>
    <w:rsid w:val="000C1497"/>
    <w:rsid w:val="000C3DC0"/>
    <w:rsid w:val="000C4032"/>
    <w:rsid w:val="000C4228"/>
    <w:rsid w:val="000C5A3A"/>
    <w:rsid w:val="000C5CC8"/>
    <w:rsid w:val="000C5EAB"/>
    <w:rsid w:val="000C5F3E"/>
    <w:rsid w:val="000C6043"/>
    <w:rsid w:val="000C6772"/>
    <w:rsid w:val="000C7B39"/>
    <w:rsid w:val="000C7C5E"/>
    <w:rsid w:val="000C7DE0"/>
    <w:rsid w:val="000D2128"/>
    <w:rsid w:val="000D2C11"/>
    <w:rsid w:val="000D3431"/>
    <w:rsid w:val="000D4324"/>
    <w:rsid w:val="000D436A"/>
    <w:rsid w:val="000D4410"/>
    <w:rsid w:val="000D5C83"/>
    <w:rsid w:val="000D5EC3"/>
    <w:rsid w:val="000D60D3"/>
    <w:rsid w:val="000D6FDD"/>
    <w:rsid w:val="000D7ADC"/>
    <w:rsid w:val="000E042C"/>
    <w:rsid w:val="000E0699"/>
    <w:rsid w:val="000E06AB"/>
    <w:rsid w:val="000E236D"/>
    <w:rsid w:val="000E2A11"/>
    <w:rsid w:val="000E2CA8"/>
    <w:rsid w:val="000E36B4"/>
    <w:rsid w:val="000E39E6"/>
    <w:rsid w:val="000E42EC"/>
    <w:rsid w:val="000E463C"/>
    <w:rsid w:val="000E6092"/>
    <w:rsid w:val="000E70C4"/>
    <w:rsid w:val="000E7406"/>
    <w:rsid w:val="000E7609"/>
    <w:rsid w:val="000E796F"/>
    <w:rsid w:val="000E7B66"/>
    <w:rsid w:val="000F0486"/>
    <w:rsid w:val="000F2170"/>
    <w:rsid w:val="000F3491"/>
    <w:rsid w:val="000F4447"/>
    <w:rsid w:val="000F4493"/>
    <w:rsid w:val="000F467C"/>
    <w:rsid w:val="000F48A0"/>
    <w:rsid w:val="000F49FD"/>
    <w:rsid w:val="000F4A76"/>
    <w:rsid w:val="000F545A"/>
    <w:rsid w:val="000F6155"/>
    <w:rsid w:val="000F6A44"/>
    <w:rsid w:val="000F6AD6"/>
    <w:rsid w:val="000F6BD4"/>
    <w:rsid w:val="000F6BFC"/>
    <w:rsid w:val="001006B1"/>
    <w:rsid w:val="00101A9B"/>
    <w:rsid w:val="00101B2F"/>
    <w:rsid w:val="0010207E"/>
    <w:rsid w:val="001023E7"/>
    <w:rsid w:val="0010286E"/>
    <w:rsid w:val="00102C08"/>
    <w:rsid w:val="00103D38"/>
    <w:rsid w:val="001064E1"/>
    <w:rsid w:val="00106A6E"/>
    <w:rsid w:val="001078F0"/>
    <w:rsid w:val="00107C8C"/>
    <w:rsid w:val="00107D86"/>
    <w:rsid w:val="00110AD6"/>
    <w:rsid w:val="001119E3"/>
    <w:rsid w:val="001120C3"/>
    <w:rsid w:val="00112690"/>
    <w:rsid w:val="00112DDF"/>
    <w:rsid w:val="00113250"/>
    <w:rsid w:val="0011331B"/>
    <w:rsid w:val="00114149"/>
    <w:rsid w:val="001149A6"/>
    <w:rsid w:val="00114A49"/>
    <w:rsid w:val="00114C2F"/>
    <w:rsid w:val="0011573E"/>
    <w:rsid w:val="00116F83"/>
    <w:rsid w:val="0011735D"/>
    <w:rsid w:val="0011755C"/>
    <w:rsid w:val="00117D0C"/>
    <w:rsid w:val="001201C7"/>
    <w:rsid w:val="00120794"/>
    <w:rsid w:val="0012131B"/>
    <w:rsid w:val="00121622"/>
    <w:rsid w:val="00122EA6"/>
    <w:rsid w:val="00123034"/>
    <w:rsid w:val="0012397E"/>
    <w:rsid w:val="001257FD"/>
    <w:rsid w:val="0012699D"/>
    <w:rsid w:val="00127328"/>
    <w:rsid w:val="0012771A"/>
    <w:rsid w:val="00131277"/>
    <w:rsid w:val="00131A97"/>
    <w:rsid w:val="00133D48"/>
    <w:rsid w:val="001340B2"/>
    <w:rsid w:val="00134653"/>
    <w:rsid w:val="001352D3"/>
    <w:rsid w:val="0013562F"/>
    <w:rsid w:val="00135684"/>
    <w:rsid w:val="00135C0A"/>
    <w:rsid w:val="0013707F"/>
    <w:rsid w:val="001373E5"/>
    <w:rsid w:val="00137596"/>
    <w:rsid w:val="00137B18"/>
    <w:rsid w:val="001404A7"/>
    <w:rsid w:val="0014082E"/>
    <w:rsid w:val="001409A7"/>
    <w:rsid w:val="00140C52"/>
    <w:rsid w:val="00142C48"/>
    <w:rsid w:val="00143E5B"/>
    <w:rsid w:val="00144938"/>
    <w:rsid w:val="00145032"/>
    <w:rsid w:val="0014579F"/>
    <w:rsid w:val="00145915"/>
    <w:rsid w:val="00145970"/>
    <w:rsid w:val="00145A95"/>
    <w:rsid w:val="00145BB7"/>
    <w:rsid w:val="001464C5"/>
    <w:rsid w:val="001464CD"/>
    <w:rsid w:val="00146695"/>
    <w:rsid w:val="00146E16"/>
    <w:rsid w:val="00147385"/>
    <w:rsid w:val="00147BCD"/>
    <w:rsid w:val="00150E13"/>
    <w:rsid w:val="001510D9"/>
    <w:rsid w:val="001510FF"/>
    <w:rsid w:val="001515A1"/>
    <w:rsid w:val="00151D65"/>
    <w:rsid w:val="00152A20"/>
    <w:rsid w:val="00152AE2"/>
    <w:rsid w:val="00152F15"/>
    <w:rsid w:val="00153613"/>
    <w:rsid w:val="00153FF3"/>
    <w:rsid w:val="0015444C"/>
    <w:rsid w:val="00154657"/>
    <w:rsid w:val="001547B4"/>
    <w:rsid w:val="00155717"/>
    <w:rsid w:val="00157C05"/>
    <w:rsid w:val="00157D1B"/>
    <w:rsid w:val="001606CD"/>
    <w:rsid w:val="00160C0D"/>
    <w:rsid w:val="00160C1E"/>
    <w:rsid w:val="00161122"/>
    <w:rsid w:val="00161808"/>
    <w:rsid w:val="001618BE"/>
    <w:rsid w:val="001619AA"/>
    <w:rsid w:val="00162B02"/>
    <w:rsid w:val="001632CC"/>
    <w:rsid w:val="001638B7"/>
    <w:rsid w:val="001643DF"/>
    <w:rsid w:val="001645BD"/>
    <w:rsid w:val="001651B0"/>
    <w:rsid w:val="001654CF"/>
    <w:rsid w:val="00165EDB"/>
    <w:rsid w:val="00167065"/>
    <w:rsid w:val="0016720C"/>
    <w:rsid w:val="001675D1"/>
    <w:rsid w:val="001678BC"/>
    <w:rsid w:val="00170290"/>
    <w:rsid w:val="00170AD5"/>
    <w:rsid w:val="00171FE5"/>
    <w:rsid w:val="00173117"/>
    <w:rsid w:val="0017339A"/>
    <w:rsid w:val="00173EAD"/>
    <w:rsid w:val="0017563A"/>
    <w:rsid w:val="00175E08"/>
    <w:rsid w:val="00177670"/>
    <w:rsid w:val="0017786E"/>
    <w:rsid w:val="00177A85"/>
    <w:rsid w:val="00177EDF"/>
    <w:rsid w:val="001803F7"/>
    <w:rsid w:val="00180A73"/>
    <w:rsid w:val="0018155F"/>
    <w:rsid w:val="00181850"/>
    <w:rsid w:val="001834F0"/>
    <w:rsid w:val="001835D2"/>
    <w:rsid w:val="0018365F"/>
    <w:rsid w:val="00184FFC"/>
    <w:rsid w:val="001855AE"/>
    <w:rsid w:val="00185D5C"/>
    <w:rsid w:val="0018639C"/>
    <w:rsid w:val="001864EF"/>
    <w:rsid w:val="001871FB"/>
    <w:rsid w:val="0018758E"/>
    <w:rsid w:val="00190CEE"/>
    <w:rsid w:val="00190FAD"/>
    <w:rsid w:val="001915C3"/>
    <w:rsid w:val="001917B3"/>
    <w:rsid w:val="00191DFA"/>
    <w:rsid w:val="0019224C"/>
    <w:rsid w:val="00192C01"/>
    <w:rsid w:val="00192E45"/>
    <w:rsid w:val="0019308A"/>
    <w:rsid w:val="001954BC"/>
    <w:rsid w:val="001958A7"/>
    <w:rsid w:val="00195FF6"/>
    <w:rsid w:val="00196346"/>
    <w:rsid w:val="00196933"/>
    <w:rsid w:val="00196A0A"/>
    <w:rsid w:val="00197692"/>
    <w:rsid w:val="00197836"/>
    <w:rsid w:val="00197D51"/>
    <w:rsid w:val="001A0B9C"/>
    <w:rsid w:val="001A2C98"/>
    <w:rsid w:val="001A3410"/>
    <w:rsid w:val="001A3BD4"/>
    <w:rsid w:val="001A43B3"/>
    <w:rsid w:val="001A5FB6"/>
    <w:rsid w:val="001A6697"/>
    <w:rsid w:val="001A7064"/>
    <w:rsid w:val="001A72B4"/>
    <w:rsid w:val="001A76AA"/>
    <w:rsid w:val="001A786A"/>
    <w:rsid w:val="001A797D"/>
    <w:rsid w:val="001B017A"/>
    <w:rsid w:val="001B02CE"/>
    <w:rsid w:val="001B03E2"/>
    <w:rsid w:val="001B08FD"/>
    <w:rsid w:val="001B1CA4"/>
    <w:rsid w:val="001B231B"/>
    <w:rsid w:val="001B2CAB"/>
    <w:rsid w:val="001B34C2"/>
    <w:rsid w:val="001B4977"/>
    <w:rsid w:val="001B4CF3"/>
    <w:rsid w:val="001B5A91"/>
    <w:rsid w:val="001B6202"/>
    <w:rsid w:val="001B6332"/>
    <w:rsid w:val="001B6F29"/>
    <w:rsid w:val="001B77DD"/>
    <w:rsid w:val="001C08B8"/>
    <w:rsid w:val="001C0A40"/>
    <w:rsid w:val="001C0B52"/>
    <w:rsid w:val="001C165F"/>
    <w:rsid w:val="001C1B7C"/>
    <w:rsid w:val="001C1C9B"/>
    <w:rsid w:val="001C1EB6"/>
    <w:rsid w:val="001C2145"/>
    <w:rsid w:val="001C2ABA"/>
    <w:rsid w:val="001C2BDA"/>
    <w:rsid w:val="001C316A"/>
    <w:rsid w:val="001C32BA"/>
    <w:rsid w:val="001C35C7"/>
    <w:rsid w:val="001C40AA"/>
    <w:rsid w:val="001C47D4"/>
    <w:rsid w:val="001C5D86"/>
    <w:rsid w:val="001C6755"/>
    <w:rsid w:val="001D05DD"/>
    <w:rsid w:val="001D2032"/>
    <w:rsid w:val="001D2213"/>
    <w:rsid w:val="001D260B"/>
    <w:rsid w:val="001D3E07"/>
    <w:rsid w:val="001D41DD"/>
    <w:rsid w:val="001D4CF2"/>
    <w:rsid w:val="001D4DEF"/>
    <w:rsid w:val="001D55D8"/>
    <w:rsid w:val="001D5C4B"/>
    <w:rsid w:val="001D7113"/>
    <w:rsid w:val="001D7690"/>
    <w:rsid w:val="001E0058"/>
    <w:rsid w:val="001E0250"/>
    <w:rsid w:val="001E2A0A"/>
    <w:rsid w:val="001E2B2C"/>
    <w:rsid w:val="001E3AA3"/>
    <w:rsid w:val="001E428B"/>
    <w:rsid w:val="001E59B7"/>
    <w:rsid w:val="001E656A"/>
    <w:rsid w:val="001E6722"/>
    <w:rsid w:val="001E6AA9"/>
    <w:rsid w:val="001E6CC7"/>
    <w:rsid w:val="001E73EE"/>
    <w:rsid w:val="001F0218"/>
    <w:rsid w:val="001F0987"/>
    <w:rsid w:val="001F15D4"/>
    <w:rsid w:val="001F1BD7"/>
    <w:rsid w:val="001F2D8A"/>
    <w:rsid w:val="001F3239"/>
    <w:rsid w:val="001F34DC"/>
    <w:rsid w:val="001F35B0"/>
    <w:rsid w:val="001F415F"/>
    <w:rsid w:val="001F50C7"/>
    <w:rsid w:val="001F6D06"/>
    <w:rsid w:val="001F7292"/>
    <w:rsid w:val="001F74E7"/>
    <w:rsid w:val="001F7BFF"/>
    <w:rsid w:val="001F7E12"/>
    <w:rsid w:val="00200338"/>
    <w:rsid w:val="002011DA"/>
    <w:rsid w:val="00201D48"/>
    <w:rsid w:val="00202258"/>
    <w:rsid w:val="0020357A"/>
    <w:rsid w:val="00203F7B"/>
    <w:rsid w:val="00203FB5"/>
    <w:rsid w:val="00205196"/>
    <w:rsid w:val="00206399"/>
    <w:rsid w:val="002067CD"/>
    <w:rsid w:val="00206E21"/>
    <w:rsid w:val="00206F16"/>
    <w:rsid w:val="0021098A"/>
    <w:rsid w:val="00210BC4"/>
    <w:rsid w:val="00210DA6"/>
    <w:rsid w:val="00211232"/>
    <w:rsid w:val="00211FF7"/>
    <w:rsid w:val="002125CB"/>
    <w:rsid w:val="00212D0F"/>
    <w:rsid w:val="00212D92"/>
    <w:rsid w:val="002142F7"/>
    <w:rsid w:val="00214C6C"/>
    <w:rsid w:val="002150B5"/>
    <w:rsid w:val="0021530E"/>
    <w:rsid w:val="00215723"/>
    <w:rsid w:val="00215E2A"/>
    <w:rsid w:val="00216376"/>
    <w:rsid w:val="002163AC"/>
    <w:rsid w:val="00216B4A"/>
    <w:rsid w:val="00217534"/>
    <w:rsid w:val="0022017D"/>
    <w:rsid w:val="00220742"/>
    <w:rsid w:val="00220CC1"/>
    <w:rsid w:val="002213A3"/>
    <w:rsid w:val="002213C6"/>
    <w:rsid w:val="00221A45"/>
    <w:rsid w:val="002225B5"/>
    <w:rsid w:val="00222605"/>
    <w:rsid w:val="00223F50"/>
    <w:rsid w:val="00224207"/>
    <w:rsid w:val="002252CD"/>
    <w:rsid w:val="002262B8"/>
    <w:rsid w:val="002263D7"/>
    <w:rsid w:val="0022788E"/>
    <w:rsid w:val="00231BF0"/>
    <w:rsid w:val="00232724"/>
    <w:rsid w:val="00232BD7"/>
    <w:rsid w:val="00232F69"/>
    <w:rsid w:val="00233673"/>
    <w:rsid w:val="00233A8D"/>
    <w:rsid w:val="00234D8E"/>
    <w:rsid w:val="00234F92"/>
    <w:rsid w:val="00235E0A"/>
    <w:rsid w:val="00235F90"/>
    <w:rsid w:val="002361DA"/>
    <w:rsid w:val="00236743"/>
    <w:rsid w:val="00236A5B"/>
    <w:rsid w:val="00236B6E"/>
    <w:rsid w:val="00236E87"/>
    <w:rsid w:val="002403ED"/>
    <w:rsid w:val="00240698"/>
    <w:rsid w:val="00240A69"/>
    <w:rsid w:val="00240B07"/>
    <w:rsid w:val="00241E0B"/>
    <w:rsid w:val="00242216"/>
    <w:rsid w:val="0024295C"/>
    <w:rsid w:val="002432AB"/>
    <w:rsid w:val="00243317"/>
    <w:rsid w:val="00243BED"/>
    <w:rsid w:val="00244042"/>
    <w:rsid w:val="002442CD"/>
    <w:rsid w:val="00245C09"/>
    <w:rsid w:val="00245D1B"/>
    <w:rsid w:val="00245F70"/>
    <w:rsid w:val="002509E2"/>
    <w:rsid w:val="00250DAE"/>
    <w:rsid w:val="0025183C"/>
    <w:rsid w:val="00251E34"/>
    <w:rsid w:val="00252552"/>
    <w:rsid w:val="00253F9D"/>
    <w:rsid w:val="00254DC5"/>
    <w:rsid w:val="00255A28"/>
    <w:rsid w:val="00255A92"/>
    <w:rsid w:val="00255AB1"/>
    <w:rsid w:val="00255D0E"/>
    <w:rsid w:val="0025667D"/>
    <w:rsid w:val="00256F4E"/>
    <w:rsid w:val="00257D29"/>
    <w:rsid w:val="00257DAC"/>
    <w:rsid w:val="00257ECC"/>
    <w:rsid w:val="00260600"/>
    <w:rsid w:val="002607D5"/>
    <w:rsid w:val="002611B9"/>
    <w:rsid w:val="00261A0A"/>
    <w:rsid w:val="00261CC8"/>
    <w:rsid w:val="00261DB4"/>
    <w:rsid w:val="00263268"/>
    <w:rsid w:val="00263C58"/>
    <w:rsid w:val="00264C33"/>
    <w:rsid w:val="00266918"/>
    <w:rsid w:val="0026742E"/>
    <w:rsid w:val="00267997"/>
    <w:rsid w:val="0027028E"/>
    <w:rsid w:val="002706B9"/>
    <w:rsid w:val="00270A28"/>
    <w:rsid w:val="002712FD"/>
    <w:rsid w:val="00271578"/>
    <w:rsid w:val="002728BE"/>
    <w:rsid w:val="002732E2"/>
    <w:rsid w:val="0027397A"/>
    <w:rsid w:val="00273B44"/>
    <w:rsid w:val="00273D28"/>
    <w:rsid w:val="00274014"/>
    <w:rsid w:val="0027425A"/>
    <w:rsid w:val="0027488C"/>
    <w:rsid w:val="00274B47"/>
    <w:rsid w:val="00274EDD"/>
    <w:rsid w:val="00274F97"/>
    <w:rsid w:val="00275317"/>
    <w:rsid w:val="00275B86"/>
    <w:rsid w:val="00275C5E"/>
    <w:rsid w:val="002762D7"/>
    <w:rsid w:val="002764A9"/>
    <w:rsid w:val="002765EA"/>
    <w:rsid w:val="0027776F"/>
    <w:rsid w:val="00277CF7"/>
    <w:rsid w:val="002821A6"/>
    <w:rsid w:val="00282349"/>
    <w:rsid w:val="00282E40"/>
    <w:rsid w:val="00285604"/>
    <w:rsid w:val="002861B5"/>
    <w:rsid w:val="00286955"/>
    <w:rsid w:val="00286B4B"/>
    <w:rsid w:val="00286BDE"/>
    <w:rsid w:val="00287014"/>
    <w:rsid w:val="00287578"/>
    <w:rsid w:val="0028774B"/>
    <w:rsid w:val="00290616"/>
    <w:rsid w:val="00290C7D"/>
    <w:rsid w:val="00291F53"/>
    <w:rsid w:val="00292326"/>
    <w:rsid w:val="0029233A"/>
    <w:rsid w:val="00292669"/>
    <w:rsid w:val="00292AE2"/>
    <w:rsid w:val="002934BF"/>
    <w:rsid w:val="0029402D"/>
    <w:rsid w:val="0029459D"/>
    <w:rsid w:val="0029491A"/>
    <w:rsid w:val="00296468"/>
    <w:rsid w:val="002A06E0"/>
    <w:rsid w:val="002A08B6"/>
    <w:rsid w:val="002A0906"/>
    <w:rsid w:val="002A097D"/>
    <w:rsid w:val="002A17CC"/>
    <w:rsid w:val="002A1905"/>
    <w:rsid w:val="002A19EF"/>
    <w:rsid w:val="002A412A"/>
    <w:rsid w:val="002A51F1"/>
    <w:rsid w:val="002A5EB4"/>
    <w:rsid w:val="002A63F7"/>
    <w:rsid w:val="002A67AA"/>
    <w:rsid w:val="002A707D"/>
    <w:rsid w:val="002A72D6"/>
    <w:rsid w:val="002A7C2B"/>
    <w:rsid w:val="002B03CA"/>
    <w:rsid w:val="002B0E0A"/>
    <w:rsid w:val="002B1063"/>
    <w:rsid w:val="002B1FB8"/>
    <w:rsid w:val="002B224A"/>
    <w:rsid w:val="002B2C49"/>
    <w:rsid w:val="002B3402"/>
    <w:rsid w:val="002B3A89"/>
    <w:rsid w:val="002B42E9"/>
    <w:rsid w:val="002B474E"/>
    <w:rsid w:val="002B4EDB"/>
    <w:rsid w:val="002B608B"/>
    <w:rsid w:val="002B6A2B"/>
    <w:rsid w:val="002B7A93"/>
    <w:rsid w:val="002C1684"/>
    <w:rsid w:val="002C2014"/>
    <w:rsid w:val="002C2EF5"/>
    <w:rsid w:val="002C3C01"/>
    <w:rsid w:val="002C4517"/>
    <w:rsid w:val="002C5507"/>
    <w:rsid w:val="002C64CD"/>
    <w:rsid w:val="002C7B0A"/>
    <w:rsid w:val="002D0335"/>
    <w:rsid w:val="002D08AA"/>
    <w:rsid w:val="002D1554"/>
    <w:rsid w:val="002D18CF"/>
    <w:rsid w:val="002D28BB"/>
    <w:rsid w:val="002D2C2D"/>
    <w:rsid w:val="002D3101"/>
    <w:rsid w:val="002D3291"/>
    <w:rsid w:val="002D3910"/>
    <w:rsid w:val="002D3980"/>
    <w:rsid w:val="002D3B4E"/>
    <w:rsid w:val="002D3B87"/>
    <w:rsid w:val="002D49D1"/>
    <w:rsid w:val="002D4ADE"/>
    <w:rsid w:val="002D4F43"/>
    <w:rsid w:val="002D518C"/>
    <w:rsid w:val="002D52CF"/>
    <w:rsid w:val="002D5A6A"/>
    <w:rsid w:val="002D5C81"/>
    <w:rsid w:val="002D5DE1"/>
    <w:rsid w:val="002D5E85"/>
    <w:rsid w:val="002D653E"/>
    <w:rsid w:val="002D6D50"/>
    <w:rsid w:val="002D6D93"/>
    <w:rsid w:val="002D777F"/>
    <w:rsid w:val="002E0355"/>
    <w:rsid w:val="002E03C3"/>
    <w:rsid w:val="002E0A4F"/>
    <w:rsid w:val="002E0C82"/>
    <w:rsid w:val="002E14D1"/>
    <w:rsid w:val="002E1BAE"/>
    <w:rsid w:val="002E3383"/>
    <w:rsid w:val="002E3542"/>
    <w:rsid w:val="002E3CCB"/>
    <w:rsid w:val="002E660A"/>
    <w:rsid w:val="002E66DA"/>
    <w:rsid w:val="002E68A8"/>
    <w:rsid w:val="002E7259"/>
    <w:rsid w:val="002E74F4"/>
    <w:rsid w:val="002E76DD"/>
    <w:rsid w:val="002E7A75"/>
    <w:rsid w:val="002F07F4"/>
    <w:rsid w:val="002F1B82"/>
    <w:rsid w:val="002F2207"/>
    <w:rsid w:val="002F2535"/>
    <w:rsid w:val="002F2E4B"/>
    <w:rsid w:val="002F3759"/>
    <w:rsid w:val="002F39DA"/>
    <w:rsid w:val="002F3E66"/>
    <w:rsid w:val="002F5807"/>
    <w:rsid w:val="002F75EA"/>
    <w:rsid w:val="002F7667"/>
    <w:rsid w:val="0030211C"/>
    <w:rsid w:val="00302693"/>
    <w:rsid w:val="003030BD"/>
    <w:rsid w:val="003033A5"/>
    <w:rsid w:val="00303A1A"/>
    <w:rsid w:val="00303FD1"/>
    <w:rsid w:val="00304E2D"/>
    <w:rsid w:val="00305508"/>
    <w:rsid w:val="00306414"/>
    <w:rsid w:val="00306879"/>
    <w:rsid w:val="00306DB0"/>
    <w:rsid w:val="003075B9"/>
    <w:rsid w:val="003077AF"/>
    <w:rsid w:val="00307946"/>
    <w:rsid w:val="00307A0E"/>
    <w:rsid w:val="00307C3A"/>
    <w:rsid w:val="00310587"/>
    <w:rsid w:val="003114E8"/>
    <w:rsid w:val="003126BB"/>
    <w:rsid w:val="003127B1"/>
    <w:rsid w:val="00312B53"/>
    <w:rsid w:val="00312DF1"/>
    <w:rsid w:val="00313088"/>
    <w:rsid w:val="00314BDB"/>
    <w:rsid w:val="00314E6D"/>
    <w:rsid w:val="00314EB7"/>
    <w:rsid w:val="00315420"/>
    <w:rsid w:val="0031590B"/>
    <w:rsid w:val="0031639F"/>
    <w:rsid w:val="00316C2E"/>
    <w:rsid w:val="00316E87"/>
    <w:rsid w:val="00317013"/>
    <w:rsid w:val="003170BC"/>
    <w:rsid w:val="003172BC"/>
    <w:rsid w:val="00317A3A"/>
    <w:rsid w:val="003205A8"/>
    <w:rsid w:val="00320682"/>
    <w:rsid w:val="00320CED"/>
    <w:rsid w:val="00321986"/>
    <w:rsid w:val="00322505"/>
    <w:rsid w:val="00322CA7"/>
    <w:rsid w:val="00322D9E"/>
    <w:rsid w:val="00322FB5"/>
    <w:rsid w:val="0032304B"/>
    <w:rsid w:val="00323150"/>
    <w:rsid w:val="003243CD"/>
    <w:rsid w:val="00324BD8"/>
    <w:rsid w:val="00325276"/>
    <w:rsid w:val="00325B71"/>
    <w:rsid w:val="003262B7"/>
    <w:rsid w:val="0032687E"/>
    <w:rsid w:val="00326BF9"/>
    <w:rsid w:val="00326DC4"/>
    <w:rsid w:val="00330B76"/>
    <w:rsid w:val="00331226"/>
    <w:rsid w:val="00331257"/>
    <w:rsid w:val="003313FD"/>
    <w:rsid w:val="003322F5"/>
    <w:rsid w:val="0033404E"/>
    <w:rsid w:val="00334871"/>
    <w:rsid w:val="0033504B"/>
    <w:rsid w:val="0033551E"/>
    <w:rsid w:val="00337251"/>
    <w:rsid w:val="003379F6"/>
    <w:rsid w:val="00340A97"/>
    <w:rsid w:val="00340CC2"/>
    <w:rsid w:val="003414D7"/>
    <w:rsid w:val="00341923"/>
    <w:rsid w:val="0034193A"/>
    <w:rsid w:val="00341D42"/>
    <w:rsid w:val="00342201"/>
    <w:rsid w:val="0034276B"/>
    <w:rsid w:val="00342831"/>
    <w:rsid w:val="003431CD"/>
    <w:rsid w:val="003439F5"/>
    <w:rsid w:val="00343CB3"/>
    <w:rsid w:val="0034400E"/>
    <w:rsid w:val="0034503C"/>
    <w:rsid w:val="00345929"/>
    <w:rsid w:val="00345962"/>
    <w:rsid w:val="00345D16"/>
    <w:rsid w:val="00346A40"/>
    <w:rsid w:val="003477CF"/>
    <w:rsid w:val="00347A91"/>
    <w:rsid w:val="00347AA4"/>
    <w:rsid w:val="00347D95"/>
    <w:rsid w:val="00350C09"/>
    <w:rsid w:val="00350DF8"/>
    <w:rsid w:val="00350F44"/>
    <w:rsid w:val="003515A4"/>
    <w:rsid w:val="003515EE"/>
    <w:rsid w:val="00351BC2"/>
    <w:rsid w:val="0035210A"/>
    <w:rsid w:val="0035347A"/>
    <w:rsid w:val="00353762"/>
    <w:rsid w:val="00354526"/>
    <w:rsid w:val="0035518C"/>
    <w:rsid w:val="003558F5"/>
    <w:rsid w:val="00355B06"/>
    <w:rsid w:val="00355CE3"/>
    <w:rsid w:val="003567C5"/>
    <w:rsid w:val="00357906"/>
    <w:rsid w:val="0036002A"/>
    <w:rsid w:val="0036010B"/>
    <w:rsid w:val="003609E2"/>
    <w:rsid w:val="00360B92"/>
    <w:rsid w:val="00361BD6"/>
    <w:rsid w:val="00361E8B"/>
    <w:rsid w:val="0036312C"/>
    <w:rsid w:val="003633A6"/>
    <w:rsid w:val="00364FD0"/>
    <w:rsid w:val="00365069"/>
    <w:rsid w:val="00366218"/>
    <w:rsid w:val="00366B89"/>
    <w:rsid w:val="00366F20"/>
    <w:rsid w:val="00366F76"/>
    <w:rsid w:val="00370178"/>
    <w:rsid w:val="003702E6"/>
    <w:rsid w:val="00370D95"/>
    <w:rsid w:val="00370E1D"/>
    <w:rsid w:val="00370F21"/>
    <w:rsid w:val="0037114F"/>
    <w:rsid w:val="00371150"/>
    <w:rsid w:val="003714F4"/>
    <w:rsid w:val="00371E69"/>
    <w:rsid w:val="00372B6A"/>
    <w:rsid w:val="00372E18"/>
    <w:rsid w:val="00372F8E"/>
    <w:rsid w:val="0037302C"/>
    <w:rsid w:val="003739E6"/>
    <w:rsid w:val="00374DC6"/>
    <w:rsid w:val="00374E9F"/>
    <w:rsid w:val="00375E07"/>
    <w:rsid w:val="00376520"/>
    <w:rsid w:val="003770F9"/>
    <w:rsid w:val="00377AFF"/>
    <w:rsid w:val="0038074A"/>
    <w:rsid w:val="00380D10"/>
    <w:rsid w:val="003826ED"/>
    <w:rsid w:val="0038292B"/>
    <w:rsid w:val="00382B8C"/>
    <w:rsid w:val="0038329F"/>
    <w:rsid w:val="00383524"/>
    <w:rsid w:val="00383589"/>
    <w:rsid w:val="003837C0"/>
    <w:rsid w:val="00384647"/>
    <w:rsid w:val="00384BB9"/>
    <w:rsid w:val="00385167"/>
    <w:rsid w:val="003851A8"/>
    <w:rsid w:val="003854F3"/>
    <w:rsid w:val="00387C19"/>
    <w:rsid w:val="00387C1A"/>
    <w:rsid w:val="003900FE"/>
    <w:rsid w:val="003901D3"/>
    <w:rsid w:val="003909AD"/>
    <w:rsid w:val="00391EE2"/>
    <w:rsid w:val="003923EE"/>
    <w:rsid w:val="0039261D"/>
    <w:rsid w:val="00392634"/>
    <w:rsid w:val="00393D78"/>
    <w:rsid w:val="003940EC"/>
    <w:rsid w:val="00394641"/>
    <w:rsid w:val="0039486E"/>
    <w:rsid w:val="003949F0"/>
    <w:rsid w:val="0039534D"/>
    <w:rsid w:val="003957F3"/>
    <w:rsid w:val="00395941"/>
    <w:rsid w:val="00396925"/>
    <w:rsid w:val="003A086B"/>
    <w:rsid w:val="003A34AD"/>
    <w:rsid w:val="003A37AA"/>
    <w:rsid w:val="003A3F1E"/>
    <w:rsid w:val="003A55CB"/>
    <w:rsid w:val="003A62BD"/>
    <w:rsid w:val="003A6A94"/>
    <w:rsid w:val="003A7B56"/>
    <w:rsid w:val="003A7DC9"/>
    <w:rsid w:val="003B0D1A"/>
    <w:rsid w:val="003B1341"/>
    <w:rsid w:val="003B1795"/>
    <w:rsid w:val="003B3108"/>
    <w:rsid w:val="003B43C6"/>
    <w:rsid w:val="003B5090"/>
    <w:rsid w:val="003B6131"/>
    <w:rsid w:val="003B74E2"/>
    <w:rsid w:val="003C12E8"/>
    <w:rsid w:val="003C1812"/>
    <w:rsid w:val="003C2686"/>
    <w:rsid w:val="003C2E72"/>
    <w:rsid w:val="003C34BD"/>
    <w:rsid w:val="003C37AB"/>
    <w:rsid w:val="003C39FC"/>
    <w:rsid w:val="003C3A1C"/>
    <w:rsid w:val="003C53ED"/>
    <w:rsid w:val="003C577B"/>
    <w:rsid w:val="003C5E69"/>
    <w:rsid w:val="003C5FA3"/>
    <w:rsid w:val="003C7602"/>
    <w:rsid w:val="003C7D3A"/>
    <w:rsid w:val="003D01E2"/>
    <w:rsid w:val="003D032D"/>
    <w:rsid w:val="003D0E7E"/>
    <w:rsid w:val="003D13F1"/>
    <w:rsid w:val="003D17EC"/>
    <w:rsid w:val="003D2113"/>
    <w:rsid w:val="003D2819"/>
    <w:rsid w:val="003D3265"/>
    <w:rsid w:val="003D3D52"/>
    <w:rsid w:val="003D4FC2"/>
    <w:rsid w:val="003D61A8"/>
    <w:rsid w:val="003D6481"/>
    <w:rsid w:val="003D693E"/>
    <w:rsid w:val="003D6B3E"/>
    <w:rsid w:val="003D6B77"/>
    <w:rsid w:val="003D7078"/>
    <w:rsid w:val="003D70F4"/>
    <w:rsid w:val="003D70F9"/>
    <w:rsid w:val="003D74CA"/>
    <w:rsid w:val="003D7838"/>
    <w:rsid w:val="003D7BA5"/>
    <w:rsid w:val="003D7DA6"/>
    <w:rsid w:val="003E07E7"/>
    <w:rsid w:val="003E1057"/>
    <w:rsid w:val="003E26DE"/>
    <w:rsid w:val="003E2A56"/>
    <w:rsid w:val="003E3913"/>
    <w:rsid w:val="003E3F2C"/>
    <w:rsid w:val="003E4AE1"/>
    <w:rsid w:val="003E4BBC"/>
    <w:rsid w:val="003E59E5"/>
    <w:rsid w:val="003E66C8"/>
    <w:rsid w:val="003E6C82"/>
    <w:rsid w:val="003E75E0"/>
    <w:rsid w:val="003E7870"/>
    <w:rsid w:val="003F018F"/>
    <w:rsid w:val="003F0C6E"/>
    <w:rsid w:val="003F1552"/>
    <w:rsid w:val="003F1974"/>
    <w:rsid w:val="003F1AC5"/>
    <w:rsid w:val="003F1C31"/>
    <w:rsid w:val="003F29A3"/>
    <w:rsid w:val="003F2DA6"/>
    <w:rsid w:val="003F42E9"/>
    <w:rsid w:val="003F4640"/>
    <w:rsid w:val="003F484E"/>
    <w:rsid w:val="003F48D6"/>
    <w:rsid w:val="003F4D1A"/>
    <w:rsid w:val="003F4FE5"/>
    <w:rsid w:val="003F528C"/>
    <w:rsid w:val="003F5463"/>
    <w:rsid w:val="003F65CF"/>
    <w:rsid w:val="003F66A8"/>
    <w:rsid w:val="00401D06"/>
    <w:rsid w:val="00401D66"/>
    <w:rsid w:val="00401E8E"/>
    <w:rsid w:val="00402420"/>
    <w:rsid w:val="00402F9C"/>
    <w:rsid w:val="004036D3"/>
    <w:rsid w:val="0040392B"/>
    <w:rsid w:val="0040448F"/>
    <w:rsid w:val="004048E2"/>
    <w:rsid w:val="0040531D"/>
    <w:rsid w:val="004057F1"/>
    <w:rsid w:val="00405BC8"/>
    <w:rsid w:val="00406607"/>
    <w:rsid w:val="00406EA4"/>
    <w:rsid w:val="00407608"/>
    <w:rsid w:val="00407F12"/>
    <w:rsid w:val="00410E73"/>
    <w:rsid w:val="00411B02"/>
    <w:rsid w:val="004126B9"/>
    <w:rsid w:val="004134CC"/>
    <w:rsid w:val="004137D7"/>
    <w:rsid w:val="00413D90"/>
    <w:rsid w:val="00414054"/>
    <w:rsid w:val="004146D8"/>
    <w:rsid w:val="004151F0"/>
    <w:rsid w:val="00415409"/>
    <w:rsid w:val="004156AA"/>
    <w:rsid w:val="00415858"/>
    <w:rsid w:val="00415BF0"/>
    <w:rsid w:val="004200B9"/>
    <w:rsid w:val="0042054D"/>
    <w:rsid w:val="00420653"/>
    <w:rsid w:val="00420C6A"/>
    <w:rsid w:val="004212B0"/>
    <w:rsid w:val="004218CA"/>
    <w:rsid w:val="00421B39"/>
    <w:rsid w:val="0042207D"/>
    <w:rsid w:val="004225BF"/>
    <w:rsid w:val="00422866"/>
    <w:rsid w:val="00422B63"/>
    <w:rsid w:val="00423158"/>
    <w:rsid w:val="004234D3"/>
    <w:rsid w:val="00423B8A"/>
    <w:rsid w:val="00423F74"/>
    <w:rsid w:val="0042411B"/>
    <w:rsid w:val="00424843"/>
    <w:rsid w:val="00424BCC"/>
    <w:rsid w:val="00424FDE"/>
    <w:rsid w:val="00425D9B"/>
    <w:rsid w:val="004262EC"/>
    <w:rsid w:val="00426C9C"/>
    <w:rsid w:val="00427A35"/>
    <w:rsid w:val="004301A5"/>
    <w:rsid w:val="0043061A"/>
    <w:rsid w:val="00430674"/>
    <w:rsid w:val="004310FE"/>
    <w:rsid w:val="004319F4"/>
    <w:rsid w:val="00431E1F"/>
    <w:rsid w:val="004327B4"/>
    <w:rsid w:val="004335D7"/>
    <w:rsid w:val="0043437E"/>
    <w:rsid w:val="00434A08"/>
    <w:rsid w:val="00435781"/>
    <w:rsid w:val="00435A95"/>
    <w:rsid w:val="0043616F"/>
    <w:rsid w:val="004375A8"/>
    <w:rsid w:val="00437964"/>
    <w:rsid w:val="0043798F"/>
    <w:rsid w:val="00437AF2"/>
    <w:rsid w:val="0044157A"/>
    <w:rsid w:val="00441F34"/>
    <w:rsid w:val="004421EB"/>
    <w:rsid w:val="00442AE9"/>
    <w:rsid w:val="00442DBC"/>
    <w:rsid w:val="004468B0"/>
    <w:rsid w:val="004477F0"/>
    <w:rsid w:val="004506A1"/>
    <w:rsid w:val="00450B7A"/>
    <w:rsid w:val="00451170"/>
    <w:rsid w:val="004511D8"/>
    <w:rsid w:val="004516A7"/>
    <w:rsid w:val="00451CEE"/>
    <w:rsid w:val="004539F2"/>
    <w:rsid w:val="00453D8E"/>
    <w:rsid w:val="00453F8A"/>
    <w:rsid w:val="004540F7"/>
    <w:rsid w:val="004544B5"/>
    <w:rsid w:val="00454C4C"/>
    <w:rsid w:val="00455A6C"/>
    <w:rsid w:val="00456887"/>
    <w:rsid w:val="00456A88"/>
    <w:rsid w:val="0045705C"/>
    <w:rsid w:val="0045799D"/>
    <w:rsid w:val="00457C39"/>
    <w:rsid w:val="00460822"/>
    <w:rsid w:val="00460837"/>
    <w:rsid w:val="004609BB"/>
    <w:rsid w:val="00460F49"/>
    <w:rsid w:val="00460F53"/>
    <w:rsid w:val="00461193"/>
    <w:rsid w:val="00463A6A"/>
    <w:rsid w:val="00463A8F"/>
    <w:rsid w:val="00464048"/>
    <w:rsid w:val="00464A7C"/>
    <w:rsid w:val="0046588F"/>
    <w:rsid w:val="0046793D"/>
    <w:rsid w:val="00467D98"/>
    <w:rsid w:val="00471452"/>
    <w:rsid w:val="0047243F"/>
    <w:rsid w:val="00472639"/>
    <w:rsid w:val="00472641"/>
    <w:rsid w:val="004726DB"/>
    <w:rsid w:val="004728E8"/>
    <w:rsid w:val="00473F06"/>
    <w:rsid w:val="00474399"/>
    <w:rsid w:val="00476A91"/>
    <w:rsid w:val="00477E8A"/>
    <w:rsid w:val="0048014D"/>
    <w:rsid w:val="004803EB"/>
    <w:rsid w:val="00480C00"/>
    <w:rsid w:val="00480EA9"/>
    <w:rsid w:val="00481391"/>
    <w:rsid w:val="00482F1F"/>
    <w:rsid w:val="00483618"/>
    <w:rsid w:val="00483867"/>
    <w:rsid w:val="00483CEC"/>
    <w:rsid w:val="004851D7"/>
    <w:rsid w:val="0048596F"/>
    <w:rsid w:val="00486ADD"/>
    <w:rsid w:val="00486CA3"/>
    <w:rsid w:val="00486D7C"/>
    <w:rsid w:val="00486E4B"/>
    <w:rsid w:val="00486FC6"/>
    <w:rsid w:val="00487812"/>
    <w:rsid w:val="00487EB5"/>
    <w:rsid w:val="004900E6"/>
    <w:rsid w:val="0049026B"/>
    <w:rsid w:val="00490568"/>
    <w:rsid w:val="004910C2"/>
    <w:rsid w:val="00491261"/>
    <w:rsid w:val="00492133"/>
    <w:rsid w:val="004935DC"/>
    <w:rsid w:val="00493D1D"/>
    <w:rsid w:val="00494491"/>
    <w:rsid w:val="00495FFD"/>
    <w:rsid w:val="0049607C"/>
    <w:rsid w:val="0049792C"/>
    <w:rsid w:val="004979BD"/>
    <w:rsid w:val="004A012F"/>
    <w:rsid w:val="004A0944"/>
    <w:rsid w:val="004A0BFD"/>
    <w:rsid w:val="004A0C0B"/>
    <w:rsid w:val="004A15F2"/>
    <w:rsid w:val="004A1751"/>
    <w:rsid w:val="004A2760"/>
    <w:rsid w:val="004A2C4B"/>
    <w:rsid w:val="004A359E"/>
    <w:rsid w:val="004A4258"/>
    <w:rsid w:val="004A429C"/>
    <w:rsid w:val="004A4705"/>
    <w:rsid w:val="004A47D5"/>
    <w:rsid w:val="004A5A00"/>
    <w:rsid w:val="004A63B5"/>
    <w:rsid w:val="004A64D1"/>
    <w:rsid w:val="004A6962"/>
    <w:rsid w:val="004B131A"/>
    <w:rsid w:val="004B15B1"/>
    <w:rsid w:val="004B1979"/>
    <w:rsid w:val="004B1C22"/>
    <w:rsid w:val="004B1C49"/>
    <w:rsid w:val="004B1EC1"/>
    <w:rsid w:val="004B2397"/>
    <w:rsid w:val="004B24D4"/>
    <w:rsid w:val="004B317C"/>
    <w:rsid w:val="004B37E6"/>
    <w:rsid w:val="004B4C96"/>
    <w:rsid w:val="004B5A5C"/>
    <w:rsid w:val="004B6BDD"/>
    <w:rsid w:val="004B7012"/>
    <w:rsid w:val="004B7A63"/>
    <w:rsid w:val="004B7BA3"/>
    <w:rsid w:val="004B7E40"/>
    <w:rsid w:val="004C0C51"/>
    <w:rsid w:val="004C1442"/>
    <w:rsid w:val="004C1DC6"/>
    <w:rsid w:val="004C2FA3"/>
    <w:rsid w:val="004C3DFA"/>
    <w:rsid w:val="004C4007"/>
    <w:rsid w:val="004C4131"/>
    <w:rsid w:val="004C538B"/>
    <w:rsid w:val="004C566E"/>
    <w:rsid w:val="004C65F7"/>
    <w:rsid w:val="004C66A8"/>
    <w:rsid w:val="004C681E"/>
    <w:rsid w:val="004C6AA8"/>
    <w:rsid w:val="004C7923"/>
    <w:rsid w:val="004D0AB9"/>
    <w:rsid w:val="004D1175"/>
    <w:rsid w:val="004D126F"/>
    <w:rsid w:val="004D1E89"/>
    <w:rsid w:val="004D21EE"/>
    <w:rsid w:val="004D28BA"/>
    <w:rsid w:val="004D3921"/>
    <w:rsid w:val="004D3E29"/>
    <w:rsid w:val="004D43E5"/>
    <w:rsid w:val="004D5691"/>
    <w:rsid w:val="004D5EFE"/>
    <w:rsid w:val="004D6014"/>
    <w:rsid w:val="004D6A45"/>
    <w:rsid w:val="004D7159"/>
    <w:rsid w:val="004D75CD"/>
    <w:rsid w:val="004E01EA"/>
    <w:rsid w:val="004E02D0"/>
    <w:rsid w:val="004E0CF7"/>
    <w:rsid w:val="004E177E"/>
    <w:rsid w:val="004E2732"/>
    <w:rsid w:val="004E2B95"/>
    <w:rsid w:val="004E2BFF"/>
    <w:rsid w:val="004E37A8"/>
    <w:rsid w:val="004E37D0"/>
    <w:rsid w:val="004E42CB"/>
    <w:rsid w:val="004E4A7B"/>
    <w:rsid w:val="004E4D98"/>
    <w:rsid w:val="004E516D"/>
    <w:rsid w:val="004E5A3B"/>
    <w:rsid w:val="004E631E"/>
    <w:rsid w:val="004E6507"/>
    <w:rsid w:val="004E7292"/>
    <w:rsid w:val="004F09F4"/>
    <w:rsid w:val="004F0DAC"/>
    <w:rsid w:val="004F15AA"/>
    <w:rsid w:val="004F18B5"/>
    <w:rsid w:val="004F190A"/>
    <w:rsid w:val="004F1A7D"/>
    <w:rsid w:val="004F1EC5"/>
    <w:rsid w:val="004F2C69"/>
    <w:rsid w:val="004F34DC"/>
    <w:rsid w:val="004F5D5B"/>
    <w:rsid w:val="004F6DCD"/>
    <w:rsid w:val="004F6F67"/>
    <w:rsid w:val="004F7BC1"/>
    <w:rsid w:val="0050095D"/>
    <w:rsid w:val="00500DFA"/>
    <w:rsid w:val="00500EC9"/>
    <w:rsid w:val="00500F40"/>
    <w:rsid w:val="00501512"/>
    <w:rsid w:val="00502399"/>
    <w:rsid w:val="0050287D"/>
    <w:rsid w:val="0050308F"/>
    <w:rsid w:val="00503367"/>
    <w:rsid w:val="00503798"/>
    <w:rsid w:val="0050379D"/>
    <w:rsid w:val="00504027"/>
    <w:rsid w:val="0050418B"/>
    <w:rsid w:val="00504325"/>
    <w:rsid w:val="00504E9E"/>
    <w:rsid w:val="00505310"/>
    <w:rsid w:val="0050566B"/>
    <w:rsid w:val="005059B0"/>
    <w:rsid w:val="00505D37"/>
    <w:rsid w:val="00506687"/>
    <w:rsid w:val="0050672A"/>
    <w:rsid w:val="005070C0"/>
    <w:rsid w:val="005075EE"/>
    <w:rsid w:val="0050766D"/>
    <w:rsid w:val="00512FB8"/>
    <w:rsid w:val="005133D0"/>
    <w:rsid w:val="005138A6"/>
    <w:rsid w:val="00513D9E"/>
    <w:rsid w:val="005144F1"/>
    <w:rsid w:val="005147FB"/>
    <w:rsid w:val="0051588A"/>
    <w:rsid w:val="005164CD"/>
    <w:rsid w:val="00516537"/>
    <w:rsid w:val="00517A33"/>
    <w:rsid w:val="00521D9B"/>
    <w:rsid w:val="00521FC6"/>
    <w:rsid w:val="0052507D"/>
    <w:rsid w:val="005250C7"/>
    <w:rsid w:val="005252B6"/>
    <w:rsid w:val="0052660D"/>
    <w:rsid w:val="00531058"/>
    <w:rsid w:val="00532107"/>
    <w:rsid w:val="00533375"/>
    <w:rsid w:val="00534922"/>
    <w:rsid w:val="00535759"/>
    <w:rsid w:val="0053583A"/>
    <w:rsid w:val="00536F13"/>
    <w:rsid w:val="00537292"/>
    <w:rsid w:val="00537F16"/>
    <w:rsid w:val="00540173"/>
    <w:rsid w:val="005406CF"/>
    <w:rsid w:val="005414FF"/>
    <w:rsid w:val="00542313"/>
    <w:rsid w:val="00542664"/>
    <w:rsid w:val="00542A88"/>
    <w:rsid w:val="00542D22"/>
    <w:rsid w:val="00544026"/>
    <w:rsid w:val="005445B3"/>
    <w:rsid w:val="0054483F"/>
    <w:rsid w:val="00544FFC"/>
    <w:rsid w:val="005454AB"/>
    <w:rsid w:val="0054734E"/>
    <w:rsid w:val="005501CF"/>
    <w:rsid w:val="00550632"/>
    <w:rsid w:val="00550E75"/>
    <w:rsid w:val="005519A5"/>
    <w:rsid w:val="00552983"/>
    <w:rsid w:val="00553275"/>
    <w:rsid w:val="005532F7"/>
    <w:rsid w:val="00553328"/>
    <w:rsid w:val="00553BC5"/>
    <w:rsid w:val="00554A3B"/>
    <w:rsid w:val="00555190"/>
    <w:rsid w:val="00555F67"/>
    <w:rsid w:val="005562B5"/>
    <w:rsid w:val="00557E3D"/>
    <w:rsid w:val="00560DF4"/>
    <w:rsid w:val="00561BC1"/>
    <w:rsid w:val="00561D06"/>
    <w:rsid w:val="005626F4"/>
    <w:rsid w:val="005630BC"/>
    <w:rsid w:val="0056415B"/>
    <w:rsid w:val="00564B45"/>
    <w:rsid w:val="00565AFC"/>
    <w:rsid w:val="00566149"/>
    <w:rsid w:val="00567465"/>
    <w:rsid w:val="005675DC"/>
    <w:rsid w:val="00571340"/>
    <w:rsid w:val="0057164C"/>
    <w:rsid w:val="00572218"/>
    <w:rsid w:val="00573CC8"/>
    <w:rsid w:val="00573DA9"/>
    <w:rsid w:val="00574E71"/>
    <w:rsid w:val="005763E7"/>
    <w:rsid w:val="005770A3"/>
    <w:rsid w:val="005806D8"/>
    <w:rsid w:val="0058088A"/>
    <w:rsid w:val="00580A3B"/>
    <w:rsid w:val="00580D93"/>
    <w:rsid w:val="00581049"/>
    <w:rsid w:val="0058229F"/>
    <w:rsid w:val="00582741"/>
    <w:rsid w:val="005837D6"/>
    <w:rsid w:val="00583845"/>
    <w:rsid w:val="00584793"/>
    <w:rsid w:val="00584A61"/>
    <w:rsid w:val="00585111"/>
    <w:rsid w:val="00585367"/>
    <w:rsid w:val="0058637E"/>
    <w:rsid w:val="00586DB4"/>
    <w:rsid w:val="005877A0"/>
    <w:rsid w:val="0059045F"/>
    <w:rsid w:val="00591EF2"/>
    <w:rsid w:val="00592B89"/>
    <w:rsid w:val="005932BB"/>
    <w:rsid w:val="0059360B"/>
    <w:rsid w:val="00593736"/>
    <w:rsid w:val="00593A68"/>
    <w:rsid w:val="00593DFE"/>
    <w:rsid w:val="00594313"/>
    <w:rsid w:val="00594361"/>
    <w:rsid w:val="00594DBA"/>
    <w:rsid w:val="00594E6F"/>
    <w:rsid w:val="00594E7B"/>
    <w:rsid w:val="00595610"/>
    <w:rsid w:val="00595ABF"/>
    <w:rsid w:val="00596699"/>
    <w:rsid w:val="00596A5D"/>
    <w:rsid w:val="00596F67"/>
    <w:rsid w:val="00597081"/>
    <w:rsid w:val="00597325"/>
    <w:rsid w:val="00597346"/>
    <w:rsid w:val="0059767D"/>
    <w:rsid w:val="00597A05"/>
    <w:rsid w:val="00597C57"/>
    <w:rsid w:val="00597F2F"/>
    <w:rsid w:val="00597FFD"/>
    <w:rsid w:val="005A10D8"/>
    <w:rsid w:val="005A1920"/>
    <w:rsid w:val="005A195A"/>
    <w:rsid w:val="005A1AB1"/>
    <w:rsid w:val="005A1F63"/>
    <w:rsid w:val="005A1F9A"/>
    <w:rsid w:val="005A2030"/>
    <w:rsid w:val="005A21EE"/>
    <w:rsid w:val="005A3519"/>
    <w:rsid w:val="005A436C"/>
    <w:rsid w:val="005A4585"/>
    <w:rsid w:val="005A57F6"/>
    <w:rsid w:val="005A5814"/>
    <w:rsid w:val="005A601B"/>
    <w:rsid w:val="005A68BB"/>
    <w:rsid w:val="005B0025"/>
    <w:rsid w:val="005B055E"/>
    <w:rsid w:val="005B0590"/>
    <w:rsid w:val="005B0882"/>
    <w:rsid w:val="005B0C82"/>
    <w:rsid w:val="005B1875"/>
    <w:rsid w:val="005B1F1F"/>
    <w:rsid w:val="005B1F4A"/>
    <w:rsid w:val="005B3B67"/>
    <w:rsid w:val="005B3BCD"/>
    <w:rsid w:val="005B3CAD"/>
    <w:rsid w:val="005B4AAE"/>
    <w:rsid w:val="005B4AE2"/>
    <w:rsid w:val="005B64B0"/>
    <w:rsid w:val="005B6B18"/>
    <w:rsid w:val="005C040E"/>
    <w:rsid w:val="005C0754"/>
    <w:rsid w:val="005C0837"/>
    <w:rsid w:val="005C1F29"/>
    <w:rsid w:val="005C2EC8"/>
    <w:rsid w:val="005C2F42"/>
    <w:rsid w:val="005C3CED"/>
    <w:rsid w:val="005C573F"/>
    <w:rsid w:val="005C643A"/>
    <w:rsid w:val="005D00BB"/>
    <w:rsid w:val="005D115D"/>
    <w:rsid w:val="005D13A4"/>
    <w:rsid w:val="005D20AC"/>
    <w:rsid w:val="005D2D53"/>
    <w:rsid w:val="005D2FB6"/>
    <w:rsid w:val="005D436D"/>
    <w:rsid w:val="005D4DE9"/>
    <w:rsid w:val="005D4EF4"/>
    <w:rsid w:val="005D5633"/>
    <w:rsid w:val="005D5FB9"/>
    <w:rsid w:val="005D6BA1"/>
    <w:rsid w:val="005D6CE0"/>
    <w:rsid w:val="005D75D8"/>
    <w:rsid w:val="005D77CD"/>
    <w:rsid w:val="005D7F02"/>
    <w:rsid w:val="005D7F35"/>
    <w:rsid w:val="005E047D"/>
    <w:rsid w:val="005E073F"/>
    <w:rsid w:val="005E1A1D"/>
    <w:rsid w:val="005E1B17"/>
    <w:rsid w:val="005E2E17"/>
    <w:rsid w:val="005E350F"/>
    <w:rsid w:val="005E3527"/>
    <w:rsid w:val="005E3A2F"/>
    <w:rsid w:val="005E3DF5"/>
    <w:rsid w:val="005E3EAD"/>
    <w:rsid w:val="005E3FBC"/>
    <w:rsid w:val="005E464D"/>
    <w:rsid w:val="005E4CA8"/>
    <w:rsid w:val="005E5638"/>
    <w:rsid w:val="005E604B"/>
    <w:rsid w:val="005E6CFE"/>
    <w:rsid w:val="005E6EB7"/>
    <w:rsid w:val="005E77FF"/>
    <w:rsid w:val="005E7883"/>
    <w:rsid w:val="005F022C"/>
    <w:rsid w:val="005F102C"/>
    <w:rsid w:val="005F10ED"/>
    <w:rsid w:val="005F33FF"/>
    <w:rsid w:val="005F4CE1"/>
    <w:rsid w:val="005F5898"/>
    <w:rsid w:val="005F5D1B"/>
    <w:rsid w:val="005F5E6C"/>
    <w:rsid w:val="005F6757"/>
    <w:rsid w:val="006008D7"/>
    <w:rsid w:val="00600B81"/>
    <w:rsid w:val="00600D04"/>
    <w:rsid w:val="0060162D"/>
    <w:rsid w:val="00602374"/>
    <w:rsid w:val="0060371E"/>
    <w:rsid w:val="00603A45"/>
    <w:rsid w:val="00603AD6"/>
    <w:rsid w:val="00604AD0"/>
    <w:rsid w:val="006050FC"/>
    <w:rsid w:val="006065ED"/>
    <w:rsid w:val="00606BD5"/>
    <w:rsid w:val="00606F6D"/>
    <w:rsid w:val="006076C6"/>
    <w:rsid w:val="006079C3"/>
    <w:rsid w:val="006104BC"/>
    <w:rsid w:val="00610853"/>
    <w:rsid w:val="00610C57"/>
    <w:rsid w:val="006110C5"/>
    <w:rsid w:val="006111E2"/>
    <w:rsid w:val="00611818"/>
    <w:rsid w:val="00611DCE"/>
    <w:rsid w:val="00611F00"/>
    <w:rsid w:val="00612734"/>
    <w:rsid w:val="006127F5"/>
    <w:rsid w:val="00612CC4"/>
    <w:rsid w:val="006131E1"/>
    <w:rsid w:val="006134E3"/>
    <w:rsid w:val="00613A65"/>
    <w:rsid w:val="00613F08"/>
    <w:rsid w:val="00614869"/>
    <w:rsid w:val="00614F17"/>
    <w:rsid w:val="00615670"/>
    <w:rsid w:val="006158E9"/>
    <w:rsid w:val="006166C8"/>
    <w:rsid w:val="00616B78"/>
    <w:rsid w:val="006170C5"/>
    <w:rsid w:val="0061712F"/>
    <w:rsid w:val="006172A9"/>
    <w:rsid w:val="0062010F"/>
    <w:rsid w:val="0062133C"/>
    <w:rsid w:val="006217BB"/>
    <w:rsid w:val="00621D53"/>
    <w:rsid w:val="00622777"/>
    <w:rsid w:val="00622DC2"/>
    <w:rsid w:val="00623903"/>
    <w:rsid w:val="00624C99"/>
    <w:rsid w:val="00626001"/>
    <w:rsid w:val="00627498"/>
    <w:rsid w:val="00627783"/>
    <w:rsid w:val="00627F2C"/>
    <w:rsid w:val="00631339"/>
    <w:rsid w:val="00631CC5"/>
    <w:rsid w:val="00632010"/>
    <w:rsid w:val="0063201F"/>
    <w:rsid w:val="00632488"/>
    <w:rsid w:val="00632DDC"/>
    <w:rsid w:val="00633C8B"/>
    <w:rsid w:val="00634EA2"/>
    <w:rsid w:val="00635642"/>
    <w:rsid w:val="00635C12"/>
    <w:rsid w:val="00635D92"/>
    <w:rsid w:val="0063610B"/>
    <w:rsid w:val="00636405"/>
    <w:rsid w:val="006378A5"/>
    <w:rsid w:val="00637A7A"/>
    <w:rsid w:val="00640265"/>
    <w:rsid w:val="00640E8B"/>
    <w:rsid w:val="00640F73"/>
    <w:rsid w:val="00641C8C"/>
    <w:rsid w:val="006426D9"/>
    <w:rsid w:val="00644658"/>
    <w:rsid w:val="00644C24"/>
    <w:rsid w:val="00647277"/>
    <w:rsid w:val="006479AF"/>
    <w:rsid w:val="00647BE6"/>
    <w:rsid w:val="00650BDB"/>
    <w:rsid w:val="00651097"/>
    <w:rsid w:val="00651661"/>
    <w:rsid w:val="00651668"/>
    <w:rsid w:val="0065169B"/>
    <w:rsid w:val="006518AB"/>
    <w:rsid w:val="00652078"/>
    <w:rsid w:val="00652A78"/>
    <w:rsid w:val="0065496C"/>
    <w:rsid w:val="00654E95"/>
    <w:rsid w:val="00654FE0"/>
    <w:rsid w:val="0065558E"/>
    <w:rsid w:val="00655943"/>
    <w:rsid w:val="006559DF"/>
    <w:rsid w:val="00655A09"/>
    <w:rsid w:val="00656140"/>
    <w:rsid w:val="006564CA"/>
    <w:rsid w:val="00656815"/>
    <w:rsid w:val="00656F97"/>
    <w:rsid w:val="0065700A"/>
    <w:rsid w:val="00660E64"/>
    <w:rsid w:val="00661E87"/>
    <w:rsid w:val="006624CA"/>
    <w:rsid w:val="006624CD"/>
    <w:rsid w:val="006628BF"/>
    <w:rsid w:val="00663087"/>
    <w:rsid w:val="006633F0"/>
    <w:rsid w:val="00663ABA"/>
    <w:rsid w:val="00664673"/>
    <w:rsid w:val="0066493F"/>
    <w:rsid w:val="00664A15"/>
    <w:rsid w:val="00665538"/>
    <w:rsid w:val="0066614A"/>
    <w:rsid w:val="00666356"/>
    <w:rsid w:val="006667B3"/>
    <w:rsid w:val="0066688C"/>
    <w:rsid w:val="00667543"/>
    <w:rsid w:val="00667DA3"/>
    <w:rsid w:val="00670328"/>
    <w:rsid w:val="0067068B"/>
    <w:rsid w:val="00671198"/>
    <w:rsid w:val="0067171F"/>
    <w:rsid w:val="00671F63"/>
    <w:rsid w:val="00672332"/>
    <w:rsid w:val="00672432"/>
    <w:rsid w:val="00672BEA"/>
    <w:rsid w:val="00672E97"/>
    <w:rsid w:val="00673311"/>
    <w:rsid w:val="00673E17"/>
    <w:rsid w:val="0067410E"/>
    <w:rsid w:val="00674124"/>
    <w:rsid w:val="0067412A"/>
    <w:rsid w:val="006751C7"/>
    <w:rsid w:val="006752FC"/>
    <w:rsid w:val="00676870"/>
    <w:rsid w:val="00677C43"/>
    <w:rsid w:val="006805A9"/>
    <w:rsid w:val="00680BF3"/>
    <w:rsid w:val="00682376"/>
    <w:rsid w:val="00682C29"/>
    <w:rsid w:val="00683211"/>
    <w:rsid w:val="0068334D"/>
    <w:rsid w:val="00683B1B"/>
    <w:rsid w:val="0068475B"/>
    <w:rsid w:val="00685199"/>
    <w:rsid w:val="006854FD"/>
    <w:rsid w:val="00685D3B"/>
    <w:rsid w:val="00687515"/>
    <w:rsid w:val="006879DB"/>
    <w:rsid w:val="006879F7"/>
    <w:rsid w:val="00687FC6"/>
    <w:rsid w:val="006902E8"/>
    <w:rsid w:val="00690A68"/>
    <w:rsid w:val="0069145B"/>
    <w:rsid w:val="006916F1"/>
    <w:rsid w:val="00691C14"/>
    <w:rsid w:val="00691D03"/>
    <w:rsid w:val="00691D75"/>
    <w:rsid w:val="00691FDE"/>
    <w:rsid w:val="00692230"/>
    <w:rsid w:val="006927E1"/>
    <w:rsid w:val="00692885"/>
    <w:rsid w:val="006935A6"/>
    <w:rsid w:val="006941F8"/>
    <w:rsid w:val="006949C0"/>
    <w:rsid w:val="00694C72"/>
    <w:rsid w:val="006956AB"/>
    <w:rsid w:val="00695B1B"/>
    <w:rsid w:val="006960DE"/>
    <w:rsid w:val="00696485"/>
    <w:rsid w:val="006970E7"/>
    <w:rsid w:val="0069713D"/>
    <w:rsid w:val="006A2977"/>
    <w:rsid w:val="006A2A28"/>
    <w:rsid w:val="006A2D1B"/>
    <w:rsid w:val="006A2DF7"/>
    <w:rsid w:val="006A2E8E"/>
    <w:rsid w:val="006A3014"/>
    <w:rsid w:val="006A40E2"/>
    <w:rsid w:val="006A4265"/>
    <w:rsid w:val="006A4EC5"/>
    <w:rsid w:val="006A5220"/>
    <w:rsid w:val="006A60CE"/>
    <w:rsid w:val="006A6147"/>
    <w:rsid w:val="006A6920"/>
    <w:rsid w:val="006A6BDB"/>
    <w:rsid w:val="006B00E9"/>
    <w:rsid w:val="006B00EF"/>
    <w:rsid w:val="006B2387"/>
    <w:rsid w:val="006B2429"/>
    <w:rsid w:val="006B26F2"/>
    <w:rsid w:val="006B32F1"/>
    <w:rsid w:val="006B3435"/>
    <w:rsid w:val="006B4F4D"/>
    <w:rsid w:val="006B5CD2"/>
    <w:rsid w:val="006B6473"/>
    <w:rsid w:val="006B7EFE"/>
    <w:rsid w:val="006C04E1"/>
    <w:rsid w:val="006C059E"/>
    <w:rsid w:val="006C09F1"/>
    <w:rsid w:val="006C14EF"/>
    <w:rsid w:val="006C1908"/>
    <w:rsid w:val="006C1E8D"/>
    <w:rsid w:val="006C2361"/>
    <w:rsid w:val="006C26D3"/>
    <w:rsid w:val="006C2BB4"/>
    <w:rsid w:val="006C2DAC"/>
    <w:rsid w:val="006C3474"/>
    <w:rsid w:val="006C3509"/>
    <w:rsid w:val="006C36A2"/>
    <w:rsid w:val="006C41BA"/>
    <w:rsid w:val="006C44F0"/>
    <w:rsid w:val="006C633B"/>
    <w:rsid w:val="006C7181"/>
    <w:rsid w:val="006D0961"/>
    <w:rsid w:val="006D14E8"/>
    <w:rsid w:val="006D2151"/>
    <w:rsid w:val="006D2422"/>
    <w:rsid w:val="006D29CA"/>
    <w:rsid w:val="006D4031"/>
    <w:rsid w:val="006D43A9"/>
    <w:rsid w:val="006D5FDB"/>
    <w:rsid w:val="006D6759"/>
    <w:rsid w:val="006D69A3"/>
    <w:rsid w:val="006D7099"/>
    <w:rsid w:val="006D71C7"/>
    <w:rsid w:val="006D7BA7"/>
    <w:rsid w:val="006E0772"/>
    <w:rsid w:val="006E0A7B"/>
    <w:rsid w:val="006E0FF5"/>
    <w:rsid w:val="006E244E"/>
    <w:rsid w:val="006E290F"/>
    <w:rsid w:val="006E3A0D"/>
    <w:rsid w:val="006E4456"/>
    <w:rsid w:val="006E538F"/>
    <w:rsid w:val="006E5464"/>
    <w:rsid w:val="006E5C5E"/>
    <w:rsid w:val="006E7026"/>
    <w:rsid w:val="006E7A6B"/>
    <w:rsid w:val="006E7D56"/>
    <w:rsid w:val="006E7D90"/>
    <w:rsid w:val="006E7ED7"/>
    <w:rsid w:val="006F018D"/>
    <w:rsid w:val="006F0D44"/>
    <w:rsid w:val="006F12DF"/>
    <w:rsid w:val="006F1301"/>
    <w:rsid w:val="006F1671"/>
    <w:rsid w:val="006F1F0A"/>
    <w:rsid w:val="006F2470"/>
    <w:rsid w:val="006F2EEF"/>
    <w:rsid w:val="006F3086"/>
    <w:rsid w:val="006F3783"/>
    <w:rsid w:val="006F419A"/>
    <w:rsid w:val="006F5858"/>
    <w:rsid w:val="006F5A67"/>
    <w:rsid w:val="006F605E"/>
    <w:rsid w:val="006F61C8"/>
    <w:rsid w:val="006F6302"/>
    <w:rsid w:val="006F7FD7"/>
    <w:rsid w:val="00700FCF"/>
    <w:rsid w:val="00701151"/>
    <w:rsid w:val="0070138C"/>
    <w:rsid w:val="007016CC"/>
    <w:rsid w:val="007030FF"/>
    <w:rsid w:val="00703E33"/>
    <w:rsid w:val="00704695"/>
    <w:rsid w:val="0070491D"/>
    <w:rsid w:val="007051B4"/>
    <w:rsid w:val="007064DD"/>
    <w:rsid w:val="007067C8"/>
    <w:rsid w:val="0070685C"/>
    <w:rsid w:val="007075FD"/>
    <w:rsid w:val="00707B6B"/>
    <w:rsid w:val="00710AD7"/>
    <w:rsid w:val="00711C5A"/>
    <w:rsid w:val="007123C8"/>
    <w:rsid w:val="007125BB"/>
    <w:rsid w:val="00712CD4"/>
    <w:rsid w:val="007130AA"/>
    <w:rsid w:val="007146F4"/>
    <w:rsid w:val="00714AD1"/>
    <w:rsid w:val="00714D71"/>
    <w:rsid w:val="00715E02"/>
    <w:rsid w:val="0071657A"/>
    <w:rsid w:val="00716B76"/>
    <w:rsid w:val="00720564"/>
    <w:rsid w:val="00720B75"/>
    <w:rsid w:val="00720F07"/>
    <w:rsid w:val="00721978"/>
    <w:rsid w:val="00722498"/>
    <w:rsid w:val="0072259D"/>
    <w:rsid w:val="0072268A"/>
    <w:rsid w:val="00722D33"/>
    <w:rsid w:val="00723509"/>
    <w:rsid w:val="00723CA6"/>
    <w:rsid w:val="0072450D"/>
    <w:rsid w:val="00725716"/>
    <w:rsid w:val="00726241"/>
    <w:rsid w:val="00726A34"/>
    <w:rsid w:val="00727649"/>
    <w:rsid w:val="00727D67"/>
    <w:rsid w:val="00727DA7"/>
    <w:rsid w:val="007301AC"/>
    <w:rsid w:val="00730C59"/>
    <w:rsid w:val="00731A35"/>
    <w:rsid w:val="00731C6A"/>
    <w:rsid w:val="00731FBC"/>
    <w:rsid w:val="00732093"/>
    <w:rsid w:val="00732EB9"/>
    <w:rsid w:val="0073307D"/>
    <w:rsid w:val="007331A5"/>
    <w:rsid w:val="00733548"/>
    <w:rsid w:val="007338BD"/>
    <w:rsid w:val="00733D5D"/>
    <w:rsid w:val="00734B92"/>
    <w:rsid w:val="007363A1"/>
    <w:rsid w:val="00736A68"/>
    <w:rsid w:val="00737EAD"/>
    <w:rsid w:val="00737F63"/>
    <w:rsid w:val="00741548"/>
    <w:rsid w:val="007417B8"/>
    <w:rsid w:val="00742224"/>
    <w:rsid w:val="007427AD"/>
    <w:rsid w:val="00742862"/>
    <w:rsid w:val="007433AA"/>
    <w:rsid w:val="00743A66"/>
    <w:rsid w:val="00743CA9"/>
    <w:rsid w:val="00743DA1"/>
    <w:rsid w:val="00744DA6"/>
    <w:rsid w:val="00745783"/>
    <w:rsid w:val="00745E88"/>
    <w:rsid w:val="0074681F"/>
    <w:rsid w:val="007479CB"/>
    <w:rsid w:val="00750CA8"/>
    <w:rsid w:val="00751349"/>
    <w:rsid w:val="00751DC5"/>
    <w:rsid w:val="00752004"/>
    <w:rsid w:val="0075215C"/>
    <w:rsid w:val="00752567"/>
    <w:rsid w:val="00753CC3"/>
    <w:rsid w:val="00753E2C"/>
    <w:rsid w:val="00753EEF"/>
    <w:rsid w:val="0075405E"/>
    <w:rsid w:val="0075440B"/>
    <w:rsid w:val="00755F73"/>
    <w:rsid w:val="00756DD3"/>
    <w:rsid w:val="00757004"/>
    <w:rsid w:val="00757F90"/>
    <w:rsid w:val="0076061D"/>
    <w:rsid w:val="00760B0E"/>
    <w:rsid w:val="00760EB8"/>
    <w:rsid w:val="007610BD"/>
    <w:rsid w:val="0076176E"/>
    <w:rsid w:val="0076222E"/>
    <w:rsid w:val="00762435"/>
    <w:rsid w:val="00762DFA"/>
    <w:rsid w:val="00762E66"/>
    <w:rsid w:val="0076319A"/>
    <w:rsid w:val="00763216"/>
    <w:rsid w:val="00763938"/>
    <w:rsid w:val="00763B83"/>
    <w:rsid w:val="0076424A"/>
    <w:rsid w:val="00764692"/>
    <w:rsid w:val="0076478E"/>
    <w:rsid w:val="0076499D"/>
    <w:rsid w:val="00765231"/>
    <w:rsid w:val="00765E72"/>
    <w:rsid w:val="00766B5B"/>
    <w:rsid w:val="00770C39"/>
    <w:rsid w:val="00771202"/>
    <w:rsid w:val="007717B7"/>
    <w:rsid w:val="00771BC2"/>
    <w:rsid w:val="00772216"/>
    <w:rsid w:val="00773065"/>
    <w:rsid w:val="00773574"/>
    <w:rsid w:val="00773839"/>
    <w:rsid w:val="007744EC"/>
    <w:rsid w:val="007750D1"/>
    <w:rsid w:val="00775199"/>
    <w:rsid w:val="00775552"/>
    <w:rsid w:val="007771C2"/>
    <w:rsid w:val="007778D8"/>
    <w:rsid w:val="007779F8"/>
    <w:rsid w:val="00780050"/>
    <w:rsid w:val="007808C3"/>
    <w:rsid w:val="00781EC9"/>
    <w:rsid w:val="00781F84"/>
    <w:rsid w:val="00782C51"/>
    <w:rsid w:val="00783992"/>
    <w:rsid w:val="00783CB7"/>
    <w:rsid w:val="00784220"/>
    <w:rsid w:val="00784388"/>
    <w:rsid w:val="00784FD9"/>
    <w:rsid w:val="007858CB"/>
    <w:rsid w:val="00787D7C"/>
    <w:rsid w:val="00787DAE"/>
    <w:rsid w:val="00787EA6"/>
    <w:rsid w:val="007906F4"/>
    <w:rsid w:val="00791068"/>
    <w:rsid w:val="0079109A"/>
    <w:rsid w:val="007920AD"/>
    <w:rsid w:val="00792792"/>
    <w:rsid w:val="00792795"/>
    <w:rsid w:val="007934B8"/>
    <w:rsid w:val="00794021"/>
    <w:rsid w:val="00796FE1"/>
    <w:rsid w:val="007975E9"/>
    <w:rsid w:val="007A0459"/>
    <w:rsid w:val="007A1109"/>
    <w:rsid w:val="007A13F4"/>
    <w:rsid w:val="007A1667"/>
    <w:rsid w:val="007A18C5"/>
    <w:rsid w:val="007A230E"/>
    <w:rsid w:val="007A25A6"/>
    <w:rsid w:val="007A2D5F"/>
    <w:rsid w:val="007A3BAA"/>
    <w:rsid w:val="007A43DE"/>
    <w:rsid w:val="007A54BC"/>
    <w:rsid w:val="007A5FAB"/>
    <w:rsid w:val="007A638C"/>
    <w:rsid w:val="007A67B2"/>
    <w:rsid w:val="007A70DC"/>
    <w:rsid w:val="007B0ABE"/>
    <w:rsid w:val="007B1231"/>
    <w:rsid w:val="007B1396"/>
    <w:rsid w:val="007B1759"/>
    <w:rsid w:val="007B2772"/>
    <w:rsid w:val="007B31D6"/>
    <w:rsid w:val="007B3D56"/>
    <w:rsid w:val="007B3F20"/>
    <w:rsid w:val="007B4137"/>
    <w:rsid w:val="007B47B3"/>
    <w:rsid w:val="007B4D45"/>
    <w:rsid w:val="007B5669"/>
    <w:rsid w:val="007B5AA7"/>
    <w:rsid w:val="007B5B24"/>
    <w:rsid w:val="007B6007"/>
    <w:rsid w:val="007B6365"/>
    <w:rsid w:val="007B6506"/>
    <w:rsid w:val="007B6543"/>
    <w:rsid w:val="007B732D"/>
    <w:rsid w:val="007B7E39"/>
    <w:rsid w:val="007C0579"/>
    <w:rsid w:val="007C13B6"/>
    <w:rsid w:val="007C14C5"/>
    <w:rsid w:val="007C1984"/>
    <w:rsid w:val="007C1DD9"/>
    <w:rsid w:val="007C414E"/>
    <w:rsid w:val="007C4E55"/>
    <w:rsid w:val="007C62FA"/>
    <w:rsid w:val="007C6856"/>
    <w:rsid w:val="007C68F3"/>
    <w:rsid w:val="007C699E"/>
    <w:rsid w:val="007C6CB9"/>
    <w:rsid w:val="007D0263"/>
    <w:rsid w:val="007D0937"/>
    <w:rsid w:val="007D3AAE"/>
    <w:rsid w:val="007D3B85"/>
    <w:rsid w:val="007D3C29"/>
    <w:rsid w:val="007D3EF7"/>
    <w:rsid w:val="007D3FD0"/>
    <w:rsid w:val="007D48A0"/>
    <w:rsid w:val="007D4EE1"/>
    <w:rsid w:val="007D50E8"/>
    <w:rsid w:val="007D62D4"/>
    <w:rsid w:val="007D6CF0"/>
    <w:rsid w:val="007D72EA"/>
    <w:rsid w:val="007D763E"/>
    <w:rsid w:val="007E0677"/>
    <w:rsid w:val="007E1A1C"/>
    <w:rsid w:val="007E1F79"/>
    <w:rsid w:val="007E2A86"/>
    <w:rsid w:val="007E3CC3"/>
    <w:rsid w:val="007E446E"/>
    <w:rsid w:val="007E44A1"/>
    <w:rsid w:val="007E478B"/>
    <w:rsid w:val="007E4E86"/>
    <w:rsid w:val="007E514C"/>
    <w:rsid w:val="007E54B6"/>
    <w:rsid w:val="007E660D"/>
    <w:rsid w:val="007E6FA8"/>
    <w:rsid w:val="007E72D2"/>
    <w:rsid w:val="007E7A42"/>
    <w:rsid w:val="007E7DF3"/>
    <w:rsid w:val="007F09C3"/>
    <w:rsid w:val="007F0A2E"/>
    <w:rsid w:val="007F19BB"/>
    <w:rsid w:val="007F1C08"/>
    <w:rsid w:val="007F2546"/>
    <w:rsid w:val="007F259E"/>
    <w:rsid w:val="007F2F38"/>
    <w:rsid w:val="007F3837"/>
    <w:rsid w:val="007F4281"/>
    <w:rsid w:val="007F4727"/>
    <w:rsid w:val="007F4CA3"/>
    <w:rsid w:val="007F5022"/>
    <w:rsid w:val="007F541F"/>
    <w:rsid w:val="007F5651"/>
    <w:rsid w:val="007F5AA2"/>
    <w:rsid w:val="007F5DE4"/>
    <w:rsid w:val="007F66AF"/>
    <w:rsid w:val="007F6A38"/>
    <w:rsid w:val="007F6A6E"/>
    <w:rsid w:val="007F713B"/>
    <w:rsid w:val="007F7B67"/>
    <w:rsid w:val="00800C62"/>
    <w:rsid w:val="008016BD"/>
    <w:rsid w:val="008025DC"/>
    <w:rsid w:val="0080278D"/>
    <w:rsid w:val="008027AA"/>
    <w:rsid w:val="0080300E"/>
    <w:rsid w:val="00804281"/>
    <w:rsid w:val="008048D6"/>
    <w:rsid w:val="008049F4"/>
    <w:rsid w:val="00804D36"/>
    <w:rsid w:val="00804E3C"/>
    <w:rsid w:val="0080556C"/>
    <w:rsid w:val="00805700"/>
    <w:rsid w:val="00805ACD"/>
    <w:rsid w:val="00805CCE"/>
    <w:rsid w:val="0080624A"/>
    <w:rsid w:val="008069A4"/>
    <w:rsid w:val="008100B4"/>
    <w:rsid w:val="008113A0"/>
    <w:rsid w:val="00811AB0"/>
    <w:rsid w:val="008134F1"/>
    <w:rsid w:val="008137D9"/>
    <w:rsid w:val="008142A8"/>
    <w:rsid w:val="00814487"/>
    <w:rsid w:val="0081499C"/>
    <w:rsid w:val="00815DEA"/>
    <w:rsid w:val="008166DA"/>
    <w:rsid w:val="008167CF"/>
    <w:rsid w:val="00816DCE"/>
    <w:rsid w:val="00817201"/>
    <w:rsid w:val="008177B8"/>
    <w:rsid w:val="008201C0"/>
    <w:rsid w:val="008207EF"/>
    <w:rsid w:val="00820A06"/>
    <w:rsid w:val="00821388"/>
    <w:rsid w:val="0082166A"/>
    <w:rsid w:val="00822AE2"/>
    <w:rsid w:val="008232A6"/>
    <w:rsid w:val="0082404C"/>
    <w:rsid w:val="0082462F"/>
    <w:rsid w:val="008251C0"/>
    <w:rsid w:val="008256CB"/>
    <w:rsid w:val="00827025"/>
    <w:rsid w:val="00827D95"/>
    <w:rsid w:val="008301A0"/>
    <w:rsid w:val="008303A7"/>
    <w:rsid w:val="00830532"/>
    <w:rsid w:val="00830A8A"/>
    <w:rsid w:val="00830C45"/>
    <w:rsid w:val="00831F38"/>
    <w:rsid w:val="00833B21"/>
    <w:rsid w:val="008355BC"/>
    <w:rsid w:val="00835BB3"/>
    <w:rsid w:val="008361A9"/>
    <w:rsid w:val="00837133"/>
    <w:rsid w:val="0083717B"/>
    <w:rsid w:val="00837BFB"/>
    <w:rsid w:val="0084043B"/>
    <w:rsid w:val="00840EAC"/>
    <w:rsid w:val="00841BB8"/>
    <w:rsid w:val="008428C9"/>
    <w:rsid w:val="0084391A"/>
    <w:rsid w:val="00845405"/>
    <w:rsid w:val="00845BC6"/>
    <w:rsid w:val="0084602F"/>
    <w:rsid w:val="00846B57"/>
    <w:rsid w:val="00846B80"/>
    <w:rsid w:val="008470FC"/>
    <w:rsid w:val="008471C7"/>
    <w:rsid w:val="008478AF"/>
    <w:rsid w:val="00851973"/>
    <w:rsid w:val="00852473"/>
    <w:rsid w:val="00854704"/>
    <w:rsid w:val="0085531E"/>
    <w:rsid w:val="00856094"/>
    <w:rsid w:val="008563C0"/>
    <w:rsid w:val="008563FA"/>
    <w:rsid w:val="00856FCA"/>
    <w:rsid w:val="0085754B"/>
    <w:rsid w:val="008577B9"/>
    <w:rsid w:val="008618AC"/>
    <w:rsid w:val="00861E36"/>
    <w:rsid w:val="0086200C"/>
    <w:rsid w:val="008622FB"/>
    <w:rsid w:val="00862D34"/>
    <w:rsid w:val="00862DA2"/>
    <w:rsid w:val="00862FB5"/>
    <w:rsid w:val="0086361B"/>
    <w:rsid w:val="00863B22"/>
    <w:rsid w:val="00864267"/>
    <w:rsid w:val="0086470F"/>
    <w:rsid w:val="008647DE"/>
    <w:rsid w:val="00865C2A"/>
    <w:rsid w:val="00866270"/>
    <w:rsid w:val="008668A2"/>
    <w:rsid w:val="00866982"/>
    <w:rsid w:val="00866A66"/>
    <w:rsid w:val="0086750F"/>
    <w:rsid w:val="00870750"/>
    <w:rsid w:val="00870EDB"/>
    <w:rsid w:val="008714A8"/>
    <w:rsid w:val="00871B80"/>
    <w:rsid w:val="0087219F"/>
    <w:rsid w:val="00872C15"/>
    <w:rsid w:val="0087339F"/>
    <w:rsid w:val="00873711"/>
    <w:rsid w:val="0087377F"/>
    <w:rsid w:val="0087391E"/>
    <w:rsid w:val="00873CD2"/>
    <w:rsid w:val="008749BA"/>
    <w:rsid w:val="00874BF1"/>
    <w:rsid w:val="008750E2"/>
    <w:rsid w:val="00875338"/>
    <w:rsid w:val="00875449"/>
    <w:rsid w:val="00880518"/>
    <w:rsid w:val="008813F6"/>
    <w:rsid w:val="0088252E"/>
    <w:rsid w:val="00882BC7"/>
    <w:rsid w:val="0088314A"/>
    <w:rsid w:val="00884D5B"/>
    <w:rsid w:val="00884E92"/>
    <w:rsid w:val="0088540C"/>
    <w:rsid w:val="00885C39"/>
    <w:rsid w:val="008860A0"/>
    <w:rsid w:val="008861A0"/>
    <w:rsid w:val="008861C4"/>
    <w:rsid w:val="00886629"/>
    <w:rsid w:val="00887080"/>
    <w:rsid w:val="00887BCD"/>
    <w:rsid w:val="00887C6B"/>
    <w:rsid w:val="0089019A"/>
    <w:rsid w:val="00891947"/>
    <w:rsid w:val="00892021"/>
    <w:rsid w:val="00892835"/>
    <w:rsid w:val="0089285C"/>
    <w:rsid w:val="008938E4"/>
    <w:rsid w:val="00893D3B"/>
    <w:rsid w:val="00893EC6"/>
    <w:rsid w:val="008941BA"/>
    <w:rsid w:val="00894373"/>
    <w:rsid w:val="008952EE"/>
    <w:rsid w:val="008958A7"/>
    <w:rsid w:val="00897201"/>
    <w:rsid w:val="008973A9"/>
    <w:rsid w:val="00897657"/>
    <w:rsid w:val="00897E89"/>
    <w:rsid w:val="008A05DC"/>
    <w:rsid w:val="008A0724"/>
    <w:rsid w:val="008A2036"/>
    <w:rsid w:val="008A2143"/>
    <w:rsid w:val="008A23E2"/>
    <w:rsid w:val="008A2A4A"/>
    <w:rsid w:val="008A4345"/>
    <w:rsid w:val="008A4A6F"/>
    <w:rsid w:val="008A4C52"/>
    <w:rsid w:val="008A5441"/>
    <w:rsid w:val="008A5CED"/>
    <w:rsid w:val="008A77C7"/>
    <w:rsid w:val="008B0486"/>
    <w:rsid w:val="008B1B52"/>
    <w:rsid w:val="008B238A"/>
    <w:rsid w:val="008B3D97"/>
    <w:rsid w:val="008B3E11"/>
    <w:rsid w:val="008B40E1"/>
    <w:rsid w:val="008B4113"/>
    <w:rsid w:val="008B44AF"/>
    <w:rsid w:val="008B5678"/>
    <w:rsid w:val="008B5D4F"/>
    <w:rsid w:val="008B612B"/>
    <w:rsid w:val="008B7633"/>
    <w:rsid w:val="008B7BAA"/>
    <w:rsid w:val="008C052A"/>
    <w:rsid w:val="008C1715"/>
    <w:rsid w:val="008C2067"/>
    <w:rsid w:val="008C244A"/>
    <w:rsid w:val="008C2679"/>
    <w:rsid w:val="008C28E9"/>
    <w:rsid w:val="008C2957"/>
    <w:rsid w:val="008C30FE"/>
    <w:rsid w:val="008C3F38"/>
    <w:rsid w:val="008C41AF"/>
    <w:rsid w:val="008C4FCB"/>
    <w:rsid w:val="008C571D"/>
    <w:rsid w:val="008C5BDD"/>
    <w:rsid w:val="008C64E2"/>
    <w:rsid w:val="008D0DB4"/>
    <w:rsid w:val="008D16C0"/>
    <w:rsid w:val="008D1711"/>
    <w:rsid w:val="008D1815"/>
    <w:rsid w:val="008D1D36"/>
    <w:rsid w:val="008D4B6B"/>
    <w:rsid w:val="008D5069"/>
    <w:rsid w:val="008D7B59"/>
    <w:rsid w:val="008E0057"/>
    <w:rsid w:val="008E0148"/>
    <w:rsid w:val="008E076A"/>
    <w:rsid w:val="008E0944"/>
    <w:rsid w:val="008E0C3C"/>
    <w:rsid w:val="008E122C"/>
    <w:rsid w:val="008E1966"/>
    <w:rsid w:val="008E1D4C"/>
    <w:rsid w:val="008E1FAA"/>
    <w:rsid w:val="008E24E1"/>
    <w:rsid w:val="008E2953"/>
    <w:rsid w:val="008E31F5"/>
    <w:rsid w:val="008E3816"/>
    <w:rsid w:val="008E3A4D"/>
    <w:rsid w:val="008E3E89"/>
    <w:rsid w:val="008E4177"/>
    <w:rsid w:val="008E5C78"/>
    <w:rsid w:val="008E5CEA"/>
    <w:rsid w:val="008E5D23"/>
    <w:rsid w:val="008E5D84"/>
    <w:rsid w:val="008E617A"/>
    <w:rsid w:val="008E62EA"/>
    <w:rsid w:val="008E6E4A"/>
    <w:rsid w:val="008E71C3"/>
    <w:rsid w:val="008E7629"/>
    <w:rsid w:val="008E79B7"/>
    <w:rsid w:val="008F033C"/>
    <w:rsid w:val="008F0AC7"/>
    <w:rsid w:val="008F0C93"/>
    <w:rsid w:val="008F0EC3"/>
    <w:rsid w:val="008F180E"/>
    <w:rsid w:val="008F1FC2"/>
    <w:rsid w:val="008F2B80"/>
    <w:rsid w:val="008F2FA8"/>
    <w:rsid w:val="008F3750"/>
    <w:rsid w:val="008F3931"/>
    <w:rsid w:val="008F3CF0"/>
    <w:rsid w:val="008F542E"/>
    <w:rsid w:val="008F56A9"/>
    <w:rsid w:val="008F5C52"/>
    <w:rsid w:val="008F5E92"/>
    <w:rsid w:val="008F6F44"/>
    <w:rsid w:val="008F7228"/>
    <w:rsid w:val="008F7325"/>
    <w:rsid w:val="008F75C6"/>
    <w:rsid w:val="0090055F"/>
    <w:rsid w:val="009020E6"/>
    <w:rsid w:val="009022CE"/>
    <w:rsid w:val="0090360E"/>
    <w:rsid w:val="00903715"/>
    <w:rsid w:val="00903D0E"/>
    <w:rsid w:val="009041B4"/>
    <w:rsid w:val="009044AB"/>
    <w:rsid w:val="0090478A"/>
    <w:rsid w:val="00904D47"/>
    <w:rsid w:val="009053E6"/>
    <w:rsid w:val="00906170"/>
    <w:rsid w:val="009063CB"/>
    <w:rsid w:val="00906E9A"/>
    <w:rsid w:val="00907F1A"/>
    <w:rsid w:val="0091133C"/>
    <w:rsid w:val="00911533"/>
    <w:rsid w:val="00911771"/>
    <w:rsid w:val="009119F5"/>
    <w:rsid w:val="00911B07"/>
    <w:rsid w:val="009120A6"/>
    <w:rsid w:val="0091251B"/>
    <w:rsid w:val="0091272A"/>
    <w:rsid w:val="009131D7"/>
    <w:rsid w:val="009147F8"/>
    <w:rsid w:val="00914E8C"/>
    <w:rsid w:val="009156FA"/>
    <w:rsid w:val="0091649A"/>
    <w:rsid w:val="00917330"/>
    <w:rsid w:val="00920379"/>
    <w:rsid w:val="00920CA7"/>
    <w:rsid w:val="00920D50"/>
    <w:rsid w:val="00920DDD"/>
    <w:rsid w:val="009214D1"/>
    <w:rsid w:val="00921835"/>
    <w:rsid w:val="009218FD"/>
    <w:rsid w:val="00921DC3"/>
    <w:rsid w:val="00924C5A"/>
    <w:rsid w:val="0092529A"/>
    <w:rsid w:val="009255F3"/>
    <w:rsid w:val="00925753"/>
    <w:rsid w:val="00925D4A"/>
    <w:rsid w:val="00925EA1"/>
    <w:rsid w:val="0092613A"/>
    <w:rsid w:val="00926E64"/>
    <w:rsid w:val="00927374"/>
    <w:rsid w:val="00927C99"/>
    <w:rsid w:val="00927D69"/>
    <w:rsid w:val="00930000"/>
    <w:rsid w:val="0093044A"/>
    <w:rsid w:val="00930A81"/>
    <w:rsid w:val="0093127F"/>
    <w:rsid w:val="009322FF"/>
    <w:rsid w:val="00934132"/>
    <w:rsid w:val="009353AB"/>
    <w:rsid w:val="00935508"/>
    <w:rsid w:val="00935944"/>
    <w:rsid w:val="00935A37"/>
    <w:rsid w:val="00935A69"/>
    <w:rsid w:val="0093669E"/>
    <w:rsid w:val="00936C18"/>
    <w:rsid w:val="00940219"/>
    <w:rsid w:val="00941490"/>
    <w:rsid w:val="009416B1"/>
    <w:rsid w:val="00942317"/>
    <w:rsid w:val="0094239F"/>
    <w:rsid w:val="00942629"/>
    <w:rsid w:val="00942851"/>
    <w:rsid w:val="009428B6"/>
    <w:rsid w:val="00942B97"/>
    <w:rsid w:val="00942E6B"/>
    <w:rsid w:val="00943B0F"/>
    <w:rsid w:val="00943B12"/>
    <w:rsid w:val="00944DDF"/>
    <w:rsid w:val="00944FF6"/>
    <w:rsid w:val="00946011"/>
    <w:rsid w:val="0094628A"/>
    <w:rsid w:val="00946610"/>
    <w:rsid w:val="0094791F"/>
    <w:rsid w:val="00947D86"/>
    <w:rsid w:val="00947E4F"/>
    <w:rsid w:val="00950B6E"/>
    <w:rsid w:val="009515E3"/>
    <w:rsid w:val="0095264B"/>
    <w:rsid w:val="0095275C"/>
    <w:rsid w:val="00952C78"/>
    <w:rsid w:val="00952DDF"/>
    <w:rsid w:val="00953101"/>
    <w:rsid w:val="00953C2A"/>
    <w:rsid w:val="009553B9"/>
    <w:rsid w:val="00955873"/>
    <w:rsid w:val="00955FD6"/>
    <w:rsid w:val="00956D39"/>
    <w:rsid w:val="00957207"/>
    <w:rsid w:val="00957B13"/>
    <w:rsid w:val="00957C86"/>
    <w:rsid w:val="009604EE"/>
    <w:rsid w:val="0096274F"/>
    <w:rsid w:val="00962A0D"/>
    <w:rsid w:val="00962A7C"/>
    <w:rsid w:val="00962BF2"/>
    <w:rsid w:val="00963369"/>
    <w:rsid w:val="00963FB2"/>
    <w:rsid w:val="00964158"/>
    <w:rsid w:val="00964CDD"/>
    <w:rsid w:val="009650DD"/>
    <w:rsid w:val="00965DCF"/>
    <w:rsid w:val="009669A9"/>
    <w:rsid w:val="00970397"/>
    <w:rsid w:val="009706B3"/>
    <w:rsid w:val="00970731"/>
    <w:rsid w:val="00971113"/>
    <w:rsid w:val="0097128C"/>
    <w:rsid w:val="0097139E"/>
    <w:rsid w:val="009726F4"/>
    <w:rsid w:val="009728A8"/>
    <w:rsid w:val="009728E1"/>
    <w:rsid w:val="00972B3A"/>
    <w:rsid w:val="00972B95"/>
    <w:rsid w:val="00972E6F"/>
    <w:rsid w:val="00974162"/>
    <w:rsid w:val="00975E36"/>
    <w:rsid w:val="009762DB"/>
    <w:rsid w:val="0097696A"/>
    <w:rsid w:val="009769C3"/>
    <w:rsid w:val="00976BCC"/>
    <w:rsid w:val="00977372"/>
    <w:rsid w:val="0097772D"/>
    <w:rsid w:val="00980209"/>
    <w:rsid w:val="00980377"/>
    <w:rsid w:val="00980DC8"/>
    <w:rsid w:val="009810FE"/>
    <w:rsid w:val="00981C3E"/>
    <w:rsid w:val="0098262D"/>
    <w:rsid w:val="009828E2"/>
    <w:rsid w:val="00982D27"/>
    <w:rsid w:val="00983493"/>
    <w:rsid w:val="0098384C"/>
    <w:rsid w:val="00984180"/>
    <w:rsid w:val="0098465D"/>
    <w:rsid w:val="0098519F"/>
    <w:rsid w:val="00985F16"/>
    <w:rsid w:val="00985FC3"/>
    <w:rsid w:val="009866E8"/>
    <w:rsid w:val="009868C5"/>
    <w:rsid w:val="00986AB5"/>
    <w:rsid w:val="00987F89"/>
    <w:rsid w:val="009906A9"/>
    <w:rsid w:val="00990925"/>
    <w:rsid w:val="00991613"/>
    <w:rsid w:val="00991732"/>
    <w:rsid w:val="00991EF8"/>
    <w:rsid w:val="00992862"/>
    <w:rsid w:val="009929DE"/>
    <w:rsid w:val="00992D54"/>
    <w:rsid w:val="00992E8A"/>
    <w:rsid w:val="00992EBB"/>
    <w:rsid w:val="009936CB"/>
    <w:rsid w:val="00993E8A"/>
    <w:rsid w:val="0099411A"/>
    <w:rsid w:val="00994A9D"/>
    <w:rsid w:val="00994C0F"/>
    <w:rsid w:val="009950DA"/>
    <w:rsid w:val="009952A8"/>
    <w:rsid w:val="0099556E"/>
    <w:rsid w:val="009955C3"/>
    <w:rsid w:val="00995748"/>
    <w:rsid w:val="00995BF0"/>
    <w:rsid w:val="009968A2"/>
    <w:rsid w:val="009968F5"/>
    <w:rsid w:val="00996922"/>
    <w:rsid w:val="009973D0"/>
    <w:rsid w:val="009A0BE4"/>
    <w:rsid w:val="009A1C83"/>
    <w:rsid w:val="009A24A2"/>
    <w:rsid w:val="009A288A"/>
    <w:rsid w:val="009A28C6"/>
    <w:rsid w:val="009A33F9"/>
    <w:rsid w:val="009A3CD4"/>
    <w:rsid w:val="009A484C"/>
    <w:rsid w:val="009A515B"/>
    <w:rsid w:val="009A51E2"/>
    <w:rsid w:val="009A60C6"/>
    <w:rsid w:val="009A7B67"/>
    <w:rsid w:val="009A7FCE"/>
    <w:rsid w:val="009B1B77"/>
    <w:rsid w:val="009B2A49"/>
    <w:rsid w:val="009B33B5"/>
    <w:rsid w:val="009B3A26"/>
    <w:rsid w:val="009B3B84"/>
    <w:rsid w:val="009B46FE"/>
    <w:rsid w:val="009B48B5"/>
    <w:rsid w:val="009B5081"/>
    <w:rsid w:val="009B5171"/>
    <w:rsid w:val="009B6019"/>
    <w:rsid w:val="009B6D0A"/>
    <w:rsid w:val="009B7800"/>
    <w:rsid w:val="009C0287"/>
    <w:rsid w:val="009C07AD"/>
    <w:rsid w:val="009C1530"/>
    <w:rsid w:val="009C1A3E"/>
    <w:rsid w:val="009C1FEC"/>
    <w:rsid w:val="009C2133"/>
    <w:rsid w:val="009C26E4"/>
    <w:rsid w:val="009C319F"/>
    <w:rsid w:val="009C542E"/>
    <w:rsid w:val="009C5DF3"/>
    <w:rsid w:val="009C659C"/>
    <w:rsid w:val="009C66D5"/>
    <w:rsid w:val="009C7CDC"/>
    <w:rsid w:val="009D0D2B"/>
    <w:rsid w:val="009D0E50"/>
    <w:rsid w:val="009D1823"/>
    <w:rsid w:val="009D3080"/>
    <w:rsid w:val="009D39B4"/>
    <w:rsid w:val="009D3BB1"/>
    <w:rsid w:val="009D52E4"/>
    <w:rsid w:val="009D6430"/>
    <w:rsid w:val="009D6DD9"/>
    <w:rsid w:val="009D7CA0"/>
    <w:rsid w:val="009E1CB8"/>
    <w:rsid w:val="009E1E5B"/>
    <w:rsid w:val="009E1FD3"/>
    <w:rsid w:val="009E2B28"/>
    <w:rsid w:val="009E3ACC"/>
    <w:rsid w:val="009E3C6B"/>
    <w:rsid w:val="009E49C6"/>
    <w:rsid w:val="009E543B"/>
    <w:rsid w:val="009E5AE4"/>
    <w:rsid w:val="009E5D3F"/>
    <w:rsid w:val="009E5D45"/>
    <w:rsid w:val="009E615B"/>
    <w:rsid w:val="009E615F"/>
    <w:rsid w:val="009E6ABC"/>
    <w:rsid w:val="009E78E8"/>
    <w:rsid w:val="009E7F58"/>
    <w:rsid w:val="009F0092"/>
    <w:rsid w:val="009F03CD"/>
    <w:rsid w:val="009F2F8C"/>
    <w:rsid w:val="009F37F1"/>
    <w:rsid w:val="009F3D84"/>
    <w:rsid w:val="009F4072"/>
    <w:rsid w:val="009F4437"/>
    <w:rsid w:val="009F4CC9"/>
    <w:rsid w:val="009F5725"/>
    <w:rsid w:val="009F583D"/>
    <w:rsid w:val="009F5DFF"/>
    <w:rsid w:val="009F61D5"/>
    <w:rsid w:val="009F6C2F"/>
    <w:rsid w:val="009F6F9E"/>
    <w:rsid w:val="009F70F2"/>
    <w:rsid w:val="009F7E89"/>
    <w:rsid w:val="009F7ED0"/>
    <w:rsid w:val="00A0086A"/>
    <w:rsid w:val="00A011C9"/>
    <w:rsid w:val="00A01787"/>
    <w:rsid w:val="00A01C06"/>
    <w:rsid w:val="00A02083"/>
    <w:rsid w:val="00A03134"/>
    <w:rsid w:val="00A048D1"/>
    <w:rsid w:val="00A0519F"/>
    <w:rsid w:val="00A0681C"/>
    <w:rsid w:val="00A07060"/>
    <w:rsid w:val="00A07B21"/>
    <w:rsid w:val="00A1149A"/>
    <w:rsid w:val="00A11D5A"/>
    <w:rsid w:val="00A11D73"/>
    <w:rsid w:val="00A12195"/>
    <w:rsid w:val="00A132AF"/>
    <w:rsid w:val="00A1398C"/>
    <w:rsid w:val="00A14002"/>
    <w:rsid w:val="00A1469C"/>
    <w:rsid w:val="00A1500D"/>
    <w:rsid w:val="00A15AAF"/>
    <w:rsid w:val="00A15D6D"/>
    <w:rsid w:val="00A161DD"/>
    <w:rsid w:val="00A1643A"/>
    <w:rsid w:val="00A1649E"/>
    <w:rsid w:val="00A16B48"/>
    <w:rsid w:val="00A171AC"/>
    <w:rsid w:val="00A171F8"/>
    <w:rsid w:val="00A175EC"/>
    <w:rsid w:val="00A17818"/>
    <w:rsid w:val="00A203E4"/>
    <w:rsid w:val="00A2098C"/>
    <w:rsid w:val="00A21701"/>
    <w:rsid w:val="00A2251E"/>
    <w:rsid w:val="00A2445D"/>
    <w:rsid w:val="00A24BA8"/>
    <w:rsid w:val="00A24C23"/>
    <w:rsid w:val="00A24F3C"/>
    <w:rsid w:val="00A26838"/>
    <w:rsid w:val="00A270AD"/>
    <w:rsid w:val="00A2730A"/>
    <w:rsid w:val="00A2743F"/>
    <w:rsid w:val="00A27A73"/>
    <w:rsid w:val="00A27B50"/>
    <w:rsid w:val="00A3098E"/>
    <w:rsid w:val="00A3125E"/>
    <w:rsid w:val="00A326D5"/>
    <w:rsid w:val="00A33894"/>
    <w:rsid w:val="00A341AF"/>
    <w:rsid w:val="00A36AE9"/>
    <w:rsid w:val="00A3724C"/>
    <w:rsid w:val="00A4184E"/>
    <w:rsid w:val="00A41E99"/>
    <w:rsid w:val="00A422AB"/>
    <w:rsid w:val="00A43654"/>
    <w:rsid w:val="00A443CE"/>
    <w:rsid w:val="00A4511D"/>
    <w:rsid w:val="00A452E8"/>
    <w:rsid w:val="00A472A4"/>
    <w:rsid w:val="00A50481"/>
    <w:rsid w:val="00A50DE5"/>
    <w:rsid w:val="00A52097"/>
    <w:rsid w:val="00A5229B"/>
    <w:rsid w:val="00A52ED3"/>
    <w:rsid w:val="00A532EE"/>
    <w:rsid w:val="00A537EB"/>
    <w:rsid w:val="00A53A2A"/>
    <w:rsid w:val="00A54881"/>
    <w:rsid w:val="00A54974"/>
    <w:rsid w:val="00A54F0B"/>
    <w:rsid w:val="00A56445"/>
    <w:rsid w:val="00A57E08"/>
    <w:rsid w:val="00A57FEB"/>
    <w:rsid w:val="00A616A6"/>
    <w:rsid w:val="00A6290F"/>
    <w:rsid w:val="00A62B29"/>
    <w:rsid w:val="00A63DE1"/>
    <w:rsid w:val="00A6439E"/>
    <w:rsid w:val="00A648DB"/>
    <w:rsid w:val="00A65AA8"/>
    <w:rsid w:val="00A70578"/>
    <w:rsid w:val="00A70F48"/>
    <w:rsid w:val="00A718AF"/>
    <w:rsid w:val="00A722EA"/>
    <w:rsid w:val="00A72348"/>
    <w:rsid w:val="00A728CE"/>
    <w:rsid w:val="00A72CBC"/>
    <w:rsid w:val="00A7367C"/>
    <w:rsid w:val="00A74D5C"/>
    <w:rsid w:val="00A75384"/>
    <w:rsid w:val="00A75D5A"/>
    <w:rsid w:val="00A76CD2"/>
    <w:rsid w:val="00A76CE7"/>
    <w:rsid w:val="00A76D07"/>
    <w:rsid w:val="00A76E14"/>
    <w:rsid w:val="00A80192"/>
    <w:rsid w:val="00A8027B"/>
    <w:rsid w:val="00A80D21"/>
    <w:rsid w:val="00A812C6"/>
    <w:rsid w:val="00A81300"/>
    <w:rsid w:val="00A813C9"/>
    <w:rsid w:val="00A814BA"/>
    <w:rsid w:val="00A8151F"/>
    <w:rsid w:val="00A82371"/>
    <w:rsid w:val="00A82747"/>
    <w:rsid w:val="00A83A8A"/>
    <w:rsid w:val="00A84846"/>
    <w:rsid w:val="00A8515D"/>
    <w:rsid w:val="00A85FE7"/>
    <w:rsid w:val="00A86113"/>
    <w:rsid w:val="00A917E2"/>
    <w:rsid w:val="00A91BA1"/>
    <w:rsid w:val="00A92244"/>
    <w:rsid w:val="00A9295D"/>
    <w:rsid w:val="00A93243"/>
    <w:rsid w:val="00A93621"/>
    <w:rsid w:val="00A93C07"/>
    <w:rsid w:val="00A9483D"/>
    <w:rsid w:val="00A96E4C"/>
    <w:rsid w:val="00AA05A7"/>
    <w:rsid w:val="00AA0B0C"/>
    <w:rsid w:val="00AA1A7B"/>
    <w:rsid w:val="00AA1CFC"/>
    <w:rsid w:val="00AA1CFE"/>
    <w:rsid w:val="00AA3F56"/>
    <w:rsid w:val="00AA412A"/>
    <w:rsid w:val="00AA43A5"/>
    <w:rsid w:val="00AA4A31"/>
    <w:rsid w:val="00AA5323"/>
    <w:rsid w:val="00AA6C0C"/>
    <w:rsid w:val="00AA7376"/>
    <w:rsid w:val="00AA7898"/>
    <w:rsid w:val="00AB09DB"/>
    <w:rsid w:val="00AB0C3F"/>
    <w:rsid w:val="00AB224A"/>
    <w:rsid w:val="00AB2A59"/>
    <w:rsid w:val="00AB2BBB"/>
    <w:rsid w:val="00AB3F51"/>
    <w:rsid w:val="00AB460C"/>
    <w:rsid w:val="00AB46A9"/>
    <w:rsid w:val="00AB4806"/>
    <w:rsid w:val="00AB49E9"/>
    <w:rsid w:val="00AB4A58"/>
    <w:rsid w:val="00AB519B"/>
    <w:rsid w:val="00AB6279"/>
    <w:rsid w:val="00AB6A59"/>
    <w:rsid w:val="00AB71AF"/>
    <w:rsid w:val="00AB7CF4"/>
    <w:rsid w:val="00AB7E1C"/>
    <w:rsid w:val="00AC2CB7"/>
    <w:rsid w:val="00AC38D4"/>
    <w:rsid w:val="00AC66B9"/>
    <w:rsid w:val="00AC689E"/>
    <w:rsid w:val="00AC69F2"/>
    <w:rsid w:val="00AC6F2A"/>
    <w:rsid w:val="00AC76B7"/>
    <w:rsid w:val="00AC7E9C"/>
    <w:rsid w:val="00AD0227"/>
    <w:rsid w:val="00AD1102"/>
    <w:rsid w:val="00AD1C4C"/>
    <w:rsid w:val="00AD1DCA"/>
    <w:rsid w:val="00AD3605"/>
    <w:rsid w:val="00AD3CBD"/>
    <w:rsid w:val="00AD3FA5"/>
    <w:rsid w:val="00AD4668"/>
    <w:rsid w:val="00AD4DC9"/>
    <w:rsid w:val="00AD6AAB"/>
    <w:rsid w:val="00AD6D81"/>
    <w:rsid w:val="00AD6EA2"/>
    <w:rsid w:val="00AD7866"/>
    <w:rsid w:val="00AE00CD"/>
    <w:rsid w:val="00AE0FDD"/>
    <w:rsid w:val="00AE1CFF"/>
    <w:rsid w:val="00AE2024"/>
    <w:rsid w:val="00AE20C1"/>
    <w:rsid w:val="00AE2457"/>
    <w:rsid w:val="00AE25B3"/>
    <w:rsid w:val="00AE2A91"/>
    <w:rsid w:val="00AE2B3D"/>
    <w:rsid w:val="00AE3A41"/>
    <w:rsid w:val="00AE4365"/>
    <w:rsid w:val="00AE4517"/>
    <w:rsid w:val="00AE468A"/>
    <w:rsid w:val="00AE4B70"/>
    <w:rsid w:val="00AE555C"/>
    <w:rsid w:val="00AE5592"/>
    <w:rsid w:val="00AE5CBE"/>
    <w:rsid w:val="00AE6D1C"/>
    <w:rsid w:val="00AE71DF"/>
    <w:rsid w:val="00AE72C8"/>
    <w:rsid w:val="00AF0D04"/>
    <w:rsid w:val="00AF1772"/>
    <w:rsid w:val="00AF18DF"/>
    <w:rsid w:val="00AF1C37"/>
    <w:rsid w:val="00AF28EC"/>
    <w:rsid w:val="00AF2932"/>
    <w:rsid w:val="00AF4271"/>
    <w:rsid w:val="00AF43CE"/>
    <w:rsid w:val="00AF4AAC"/>
    <w:rsid w:val="00AF7C0F"/>
    <w:rsid w:val="00AF7C14"/>
    <w:rsid w:val="00B00217"/>
    <w:rsid w:val="00B01377"/>
    <w:rsid w:val="00B015B0"/>
    <w:rsid w:val="00B02F3F"/>
    <w:rsid w:val="00B04056"/>
    <w:rsid w:val="00B04423"/>
    <w:rsid w:val="00B051BA"/>
    <w:rsid w:val="00B0538B"/>
    <w:rsid w:val="00B055BA"/>
    <w:rsid w:val="00B05A83"/>
    <w:rsid w:val="00B05D6C"/>
    <w:rsid w:val="00B0774B"/>
    <w:rsid w:val="00B078EB"/>
    <w:rsid w:val="00B1102A"/>
    <w:rsid w:val="00B110CA"/>
    <w:rsid w:val="00B11BB5"/>
    <w:rsid w:val="00B1246F"/>
    <w:rsid w:val="00B12C30"/>
    <w:rsid w:val="00B14803"/>
    <w:rsid w:val="00B14FF9"/>
    <w:rsid w:val="00B1506F"/>
    <w:rsid w:val="00B157CF"/>
    <w:rsid w:val="00B15EFD"/>
    <w:rsid w:val="00B16256"/>
    <w:rsid w:val="00B16652"/>
    <w:rsid w:val="00B16AC6"/>
    <w:rsid w:val="00B210CC"/>
    <w:rsid w:val="00B2140D"/>
    <w:rsid w:val="00B2148D"/>
    <w:rsid w:val="00B21EC4"/>
    <w:rsid w:val="00B2207E"/>
    <w:rsid w:val="00B22DE9"/>
    <w:rsid w:val="00B24424"/>
    <w:rsid w:val="00B2497F"/>
    <w:rsid w:val="00B24C7D"/>
    <w:rsid w:val="00B24D67"/>
    <w:rsid w:val="00B260D7"/>
    <w:rsid w:val="00B263C4"/>
    <w:rsid w:val="00B321B3"/>
    <w:rsid w:val="00B32933"/>
    <w:rsid w:val="00B33ED3"/>
    <w:rsid w:val="00B353DD"/>
    <w:rsid w:val="00B356B2"/>
    <w:rsid w:val="00B35AB1"/>
    <w:rsid w:val="00B35DE8"/>
    <w:rsid w:val="00B362AB"/>
    <w:rsid w:val="00B365D6"/>
    <w:rsid w:val="00B36DE3"/>
    <w:rsid w:val="00B37330"/>
    <w:rsid w:val="00B405EB"/>
    <w:rsid w:val="00B411BE"/>
    <w:rsid w:val="00B415C4"/>
    <w:rsid w:val="00B418C4"/>
    <w:rsid w:val="00B4282B"/>
    <w:rsid w:val="00B42969"/>
    <w:rsid w:val="00B42B02"/>
    <w:rsid w:val="00B42B34"/>
    <w:rsid w:val="00B43499"/>
    <w:rsid w:val="00B43C81"/>
    <w:rsid w:val="00B43DDE"/>
    <w:rsid w:val="00B43F8D"/>
    <w:rsid w:val="00B43FEC"/>
    <w:rsid w:val="00B441F7"/>
    <w:rsid w:val="00B44716"/>
    <w:rsid w:val="00B449B3"/>
    <w:rsid w:val="00B458C8"/>
    <w:rsid w:val="00B45958"/>
    <w:rsid w:val="00B46A04"/>
    <w:rsid w:val="00B46BFB"/>
    <w:rsid w:val="00B46EEF"/>
    <w:rsid w:val="00B4743E"/>
    <w:rsid w:val="00B47EB2"/>
    <w:rsid w:val="00B47EC4"/>
    <w:rsid w:val="00B47EC9"/>
    <w:rsid w:val="00B503C8"/>
    <w:rsid w:val="00B50BDA"/>
    <w:rsid w:val="00B50DC6"/>
    <w:rsid w:val="00B51349"/>
    <w:rsid w:val="00B53227"/>
    <w:rsid w:val="00B532C4"/>
    <w:rsid w:val="00B53DE9"/>
    <w:rsid w:val="00B54A07"/>
    <w:rsid w:val="00B54AA9"/>
    <w:rsid w:val="00B54CBF"/>
    <w:rsid w:val="00B54D7F"/>
    <w:rsid w:val="00B54FE9"/>
    <w:rsid w:val="00B556F9"/>
    <w:rsid w:val="00B558A2"/>
    <w:rsid w:val="00B55C07"/>
    <w:rsid w:val="00B57828"/>
    <w:rsid w:val="00B57BC0"/>
    <w:rsid w:val="00B57EE3"/>
    <w:rsid w:val="00B6029F"/>
    <w:rsid w:val="00B610BC"/>
    <w:rsid w:val="00B616C3"/>
    <w:rsid w:val="00B6199B"/>
    <w:rsid w:val="00B61E28"/>
    <w:rsid w:val="00B61EF9"/>
    <w:rsid w:val="00B62210"/>
    <w:rsid w:val="00B63A8E"/>
    <w:rsid w:val="00B63AAD"/>
    <w:rsid w:val="00B640C7"/>
    <w:rsid w:val="00B643CC"/>
    <w:rsid w:val="00B647EA"/>
    <w:rsid w:val="00B64854"/>
    <w:rsid w:val="00B651DE"/>
    <w:rsid w:val="00B65970"/>
    <w:rsid w:val="00B66AB1"/>
    <w:rsid w:val="00B66FD8"/>
    <w:rsid w:val="00B67071"/>
    <w:rsid w:val="00B67293"/>
    <w:rsid w:val="00B6730F"/>
    <w:rsid w:val="00B6780A"/>
    <w:rsid w:val="00B7084D"/>
    <w:rsid w:val="00B717BD"/>
    <w:rsid w:val="00B719C3"/>
    <w:rsid w:val="00B71BF6"/>
    <w:rsid w:val="00B71F03"/>
    <w:rsid w:val="00B72771"/>
    <w:rsid w:val="00B72890"/>
    <w:rsid w:val="00B72B6C"/>
    <w:rsid w:val="00B74356"/>
    <w:rsid w:val="00B748B4"/>
    <w:rsid w:val="00B75283"/>
    <w:rsid w:val="00B75AB0"/>
    <w:rsid w:val="00B75DBD"/>
    <w:rsid w:val="00B76918"/>
    <w:rsid w:val="00B76D99"/>
    <w:rsid w:val="00B7721A"/>
    <w:rsid w:val="00B77D47"/>
    <w:rsid w:val="00B77DE1"/>
    <w:rsid w:val="00B80006"/>
    <w:rsid w:val="00B80D8B"/>
    <w:rsid w:val="00B8105C"/>
    <w:rsid w:val="00B8251E"/>
    <w:rsid w:val="00B826EB"/>
    <w:rsid w:val="00B82944"/>
    <w:rsid w:val="00B831AF"/>
    <w:rsid w:val="00B836D9"/>
    <w:rsid w:val="00B8529E"/>
    <w:rsid w:val="00B857C5"/>
    <w:rsid w:val="00B87083"/>
    <w:rsid w:val="00B87B6F"/>
    <w:rsid w:val="00B87FDE"/>
    <w:rsid w:val="00B87FFA"/>
    <w:rsid w:val="00B90041"/>
    <w:rsid w:val="00B9013B"/>
    <w:rsid w:val="00B90212"/>
    <w:rsid w:val="00B90707"/>
    <w:rsid w:val="00B90C97"/>
    <w:rsid w:val="00B91DDC"/>
    <w:rsid w:val="00B922F5"/>
    <w:rsid w:val="00B92F7C"/>
    <w:rsid w:val="00B9327A"/>
    <w:rsid w:val="00B94626"/>
    <w:rsid w:val="00B94B0F"/>
    <w:rsid w:val="00B966E0"/>
    <w:rsid w:val="00BA0E0D"/>
    <w:rsid w:val="00BA2097"/>
    <w:rsid w:val="00BA2A35"/>
    <w:rsid w:val="00BA2FE7"/>
    <w:rsid w:val="00BA3522"/>
    <w:rsid w:val="00BA3620"/>
    <w:rsid w:val="00BA471B"/>
    <w:rsid w:val="00BA4C76"/>
    <w:rsid w:val="00BA5155"/>
    <w:rsid w:val="00BA57D4"/>
    <w:rsid w:val="00BA591C"/>
    <w:rsid w:val="00BA7091"/>
    <w:rsid w:val="00BA7A9F"/>
    <w:rsid w:val="00BB0525"/>
    <w:rsid w:val="00BB1216"/>
    <w:rsid w:val="00BB169B"/>
    <w:rsid w:val="00BB1715"/>
    <w:rsid w:val="00BB1A69"/>
    <w:rsid w:val="00BB2619"/>
    <w:rsid w:val="00BB2DD0"/>
    <w:rsid w:val="00BB3672"/>
    <w:rsid w:val="00BB5457"/>
    <w:rsid w:val="00BB5ACD"/>
    <w:rsid w:val="00BB61CA"/>
    <w:rsid w:val="00BB6E1C"/>
    <w:rsid w:val="00BB74E3"/>
    <w:rsid w:val="00BB7605"/>
    <w:rsid w:val="00BC0646"/>
    <w:rsid w:val="00BC084E"/>
    <w:rsid w:val="00BC1A4D"/>
    <w:rsid w:val="00BC1A9B"/>
    <w:rsid w:val="00BC1CDC"/>
    <w:rsid w:val="00BC1E41"/>
    <w:rsid w:val="00BC26A2"/>
    <w:rsid w:val="00BC272C"/>
    <w:rsid w:val="00BC3017"/>
    <w:rsid w:val="00BC3305"/>
    <w:rsid w:val="00BC33D7"/>
    <w:rsid w:val="00BC490A"/>
    <w:rsid w:val="00BC4913"/>
    <w:rsid w:val="00BC497B"/>
    <w:rsid w:val="00BC4E1A"/>
    <w:rsid w:val="00BC5637"/>
    <w:rsid w:val="00BC5C44"/>
    <w:rsid w:val="00BC60D9"/>
    <w:rsid w:val="00BC6347"/>
    <w:rsid w:val="00BC638D"/>
    <w:rsid w:val="00BC671F"/>
    <w:rsid w:val="00BC6F7A"/>
    <w:rsid w:val="00BC73F9"/>
    <w:rsid w:val="00BD1364"/>
    <w:rsid w:val="00BD16A0"/>
    <w:rsid w:val="00BD180E"/>
    <w:rsid w:val="00BD1D97"/>
    <w:rsid w:val="00BD230F"/>
    <w:rsid w:val="00BD2336"/>
    <w:rsid w:val="00BD2E78"/>
    <w:rsid w:val="00BD5097"/>
    <w:rsid w:val="00BD5481"/>
    <w:rsid w:val="00BD73B7"/>
    <w:rsid w:val="00BD785A"/>
    <w:rsid w:val="00BD7870"/>
    <w:rsid w:val="00BD7E01"/>
    <w:rsid w:val="00BD7E38"/>
    <w:rsid w:val="00BD7E5F"/>
    <w:rsid w:val="00BE0BFE"/>
    <w:rsid w:val="00BE15C1"/>
    <w:rsid w:val="00BE3192"/>
    <w:rsid w:val="00BE35AE"/>
    <w:rsid w:val="00BE36C6"/>
    <w:rsid w:val="00BE3D40"/>
    <w:rsid w:val="00BE49CC"/>
    <w:rsid w:val="00BE4A38"/>
    <w:rsid w:val="00BE55A5"/>
    <w:rsid w:val="00BE5A01"/>
    <w:rsid w:val="00BE5BAB"/>
    <w:rsid w:val="00BE5F8F"/>
    <w:rsid w:val="00BE6B6B"/>
    <w:rsid w:val="00BF0393"/>
    <w:rsid w:val="00BF03DA"/>
    <w:rsid w:val="00BF2BA4"/>
    <w:rsid w:val="00BF3713"/>
    <w:rsid w:val="00BF4723"/>
    <w:rsid w:val="00BF4877"/>
    <w:rsid w:val="00BF4964"/>
    <w:rsid w:val="00BF49ED"/>
    <w:rsid w:val="00BF5159"/>
    <w:rsid w:val="00BF5471"/>
    <w:rsid w:val="00BF70D7"/>
    <w:rsid w:val="00BF71C1"/>
    <w:rsid w:val="00BF73A1"/>
    <w:rsid w:val="00C0056F"/>
    <w:rsid w:val="00C0066A"/>
    <w:rsid w:val="00C00D23"/>
    <w:rsid w:val="00C00E84"/>
    <w:rsid w:val="00C0134C"/>
    <w:rsid w:val="00C01512"/>
    <w:rsid w:val="00C01A41"/>
    <w:rsid w:val="00C02A6E"/>
    <w:rsid w:val="00C03405"/>
    <w:rsid w:val="00C0381F"/>
    <w:rsid w:val="00C0576B"/>
    <w:rsid w:val="00C05A97"/>
    <w:rsid w:val="00C05BA1"/>
    <w:rsid w:val="00C073FE"/>
    <w:rsid w:val="00C11C85"/>
    <w:rsid w:val="00C1305B"/>
    <w:rsid w:val="00C13306"/>
    <w:rsid w:val="00C13EC0"/>
    <w:rsid w:val="00C1463B"/>
    <w:rsid w:val="00C14D89"/>
    <w:rsid w:val="00C1573B"/>
    <w:rsid w:val="00C175EA"/>
    <w:rsid w:val="00C20692"/>
    <w:rsid w:val="00C219DA"/>
    <w:rsid w:val="00C22DDF"/>
    <w:rsid w:val="00C22E27"/>
    <w:rsid w:val="00C23091"/>
    <w:rsid w:val="00C23736"/>
    <w:rsid w:val="00C23A35"/>
    <w:rsid w:val="00C247D9"/>
    <w:rsid w:val="00C2691C"/>
    <w:rsid w:val="00C26F50"/>
    <w:rsid w:val="00C272A7"/>
    <w:rsid w:val="00C27403"/>
    <w:rsid w:val="00C27693"/>
    <w:rsid w:val="00C2783F"/>
    <w:rsid w:val="00C27B0A"/>
    <w:rsid w:val="00C300F1"/>
    <w:rsid w:val="00C303A0"/>
    <w:rsid w:val="00C3069D"/>
    <w:rsid w:val="00C312D3"/>
    <w:rsid w:val="00C31605"/>
    <w:rsid w:val="00C318D3"/>
    <w:rsid w:val="00C31EFF"/>
    <w:rsid w:val="00C325A7"/>
    <w:rsid w:val="00C32855"/>
    <w:rsid w:val="00C32D04"/>
    <w:rsid w:val="00C334AB"/>
    <w:rsid w:val="00C34DBB"/>
    <w:rsid w:val="00C34FC7"/>
    <w:rsid w:val="00C3569E"/>
    <w:rsid w:val="00C3656B"/>
    <w:rsid w:val="00C3686B"/>
    <w:rsid w:val="00C36C60"/>
    <w:rsid w:val="00C37305"/>
    <w:rsid w:val="00C37961"/>
    <w:rsid w:val="00C37C90"/>
    <w:rsid w:val="00C406F7"/>
    <w:rsid w:val="00C40D25"/>
    <w:rsid w:val="00C40DF6"/>
    <w:rsid w:val="00C410DC"/>
    <w:rsid w:val="00C416ED"/>
    <w:rsid w:val="00C41F80"/>
    <w:rsid w:val="00C42311"/>
    <w:rsid w:val="00C42C20"/>
    <w:rsid w:val="00C42D73"/>
    <w:rsid w:val="00C437A9"/>
    <w:rsid w:val="00C43A74"/>
    <w:rsid w:val="00C43AA1"/>
    <w:rsid w:val="00C43B75"/>
    <w:rsid w:val="00C451B3"/>
    <w:rsid w:val="00C45E90"/>
    <w:rsid w:val="00C47D3A"/>
    <w:rsid w:val="00C50147"/>
    <w:rsid w:val="00C50FCA"/>
    <w:rsid w:val="00C515C5"/>
    <w:rsid w:val="00C51C99"/>
    <w:rsid w:val="00C52BE9"/>
    <w:rsid w:val="00C52F2C"/>
    <w:rsid w:val="00C532F4"/>
    <w:rsid w:val="00C53C65"/>
    <w:rsid w:val="00C53D11"/>
    <w:rsid w:val="00C53E09"/>
    <w:rsid w:val="00C54A69"/>
    <w:rsid w:val="00C54AA4"/>
    <w:rsid w:val="00C54D90"/>
    <w:rsid w:val="00C54DBC"/>
    <w:rsid w:val="00C562B8"/>
    <w:rsid w:val="00C565A5"/>
    <w:rsid w:val="00C56702"/>
    <w:rsid w:val="00C572F7"/>
    <w:rsid w:val="00C57700"/>
    <w:rsid w:val="00C57709"/>
    <w:rsid w:val="00C6090F"/>
    <w:rsid w:val="00C60C39"/>
    <w:rsid w:val="00C6116F"/>
    <w:rsid w:val="00C62874"/>
    <w:rsid w:val="00C63D00"/>
    <w:rsid w:val="00C64116"/>
    <w:rsid w:val="00C65008"/>
    <w:rsid w:val="00C6623E"/>
    <w:rsid w:val="00C665B2"/>
    <w:rsid w:val="00C706B7"/>
    <w:rsid w:val="00C70D11"/>
    <w:rsid w:val="00C7136A"/>
    <w:rsid w:val="00C718AE"/>
    <w:rsid w:val="00C71AA2"/>
    <w:rsid w:val="00C72189"/>
    <w:rsid w:val="00C72988"/>
    <w:rsid w:val="00C72A04"/>
    <w:rsid w:val="00C72C2B"/>
    <w:rsid w:val="00C72ED9"/>
    <w:rsid w:val="00C73619"/>
    <w:rsid w:val="00C73A5F"/>
    <w:rsid w:val="00C73F8D"/>
    <w:rsid w:val="00C74054"/>
    <w:rsid w:val="00C74CA6"/>
    <w:rsid w:val="00C74E17"/>
    <w:rsid w:val="00C758E1"/>
    <w:rsid w:val="00C75F6A"/>
    <w:rsid w:val="00C77A65"/>
    <w:rsid w:val="00C809DC"/>
    <w:rsid w:val="00C81215"/>
    <w:rsid w:val="00C81493"/>
    <w:rsid w:val="00C81A59"/>
    <w:rsid w:val="00C81B6D"/>
    <w:rsid w:val="00C82B7D"/>
    <w:rsid w:val="00C83B63"/>
    <w:rsid w:val="00C85613"/>
    <w:rsid w:val="00C85F4C"/>
    <w:rsid w:val="00C86352"/>
    <w:rsid w:val="00C86758"/>
    <w:rsid w:val="00C868FB"/>
    <w:rsid w:val="00C86DDE"/>
    <w:rsid w:val="00C87581"/>
    <w:rsid w:val="00C87E68"/>
    <w:rsid w:val="00C90083"/>
    <w:rsid w:val="00C90704"/>
    <w:rsid w:val="00C915DD"/>
    <w:rsid w:val="00C91954"/>
    <w:rsid w:val="00C91A2F"/>
    <w:rsid w:val="00C91F4A"/>
    <w:rsid w:val="00C94071"/>
    <w:rsid w:val="00C94277"/>
    <w:rsid w:val="00C94B41"/>
    <w:rsid w:val="00C94DEA"/>
    <w:rsid w:val="00C957E4"/>
    <w:rsid w:val="00C97175"/>
    <w:rsid w:val="00C97C17"/>
    <w:rsid w:val="00C97CF9"/>
    <w:rsid w:val="00CA0A70"/>
    <w:rsid w:val="00CA0DC8"/>
    <w:rsid w:val="00CA15B5"/>
    <w:rsid w:val="00CA1DE1"/>
    <w:rsid w:val="00CA2A05"/>
    <w:rsid w:val="00CA3B76"/>
    <w:rsid w:val="00CA4A1A"/>
    <w:rsid w:val="00CA4B98"/>
    <w:rsid w:val="00CA5E13"/>
    <w:rsid w:val="00CA5E40"/>
    <w:rsid w:val="00CA6024"/>
    <w:rsid w:val="00CA6821"/>
    <w:rsid w:val="00CA6AB6"/>
    <w:rsid w:val="00CA72BF"/>
    <w:rsid w:val="00CA7327"/>
    <w:rsid w:val="00CA7336"/>
    <w:rsid w:val="00CA7A41"/>
    <w:rsid w:val="00CA7BF8"/>
    <w:rsid w:val="00CB0C60"/>
    <w:rsid w:val="00CB22A2"/>
    <w:rsid w:val="00CB232D"/>
    <w:rsid w:val="00CB236B"/>
    <w:rsid w:val="00CB29E6"/>
    <w:rsid w:val="00CB4635"/>
    <w:rsid w:val="00CB5479"/>
    <w:rsid w:val="00CB5596"/>
    <w:rsid w:val="00CB5EE8"/>
    <w:rsid w:val="00CB6161"/>
    <w:rsid w:val="00CB6B5E"/>
    <w:rsid w:val="00CB70CB"/>
    <w:rsid w:val="00CC0297"/>
    <w:rsid w:val="00CC0329"/>
    <w:rsid w:val="00CC06A3"/>
    <w:rsid w:val="00CC230E"/>
    <w:rsid w:val="00CC3660"/>
    <w:rsid w:val="00CC3794"/>
    <w:rsid w:val="00CC3E20"/>
    <w:rsid w:val="00CC52EA"/>
    <w:rsid w:val="00CC53A8"/>
    <w:rsid w:val="00CC5565"/>
    <w:rsid w:val="00CC610C"/>
    <w:rsid w:val="00CC696F"/>
    <w:rsid w:val="00CC6A18"/>
    <w:rsid w:val="00CC739E"/>
    <w:rsid w:val="00CC7679"/>
    <w:rsid w:val="00CC78C0"/>
    <w:rsid w:val="00CC7A21"/>
    <w:rsid w:val="00CD08C8"/>
    <w:rsid w:val="00CD27C6"/>
    <w:rsid w:val="00CD2825"/>
    <w:rsid w:val="00CD2E04"/>
    <w:rsid w:val="00CD2E15"/>
    <w:rsid w:val="00CD32E8"/>
    <w:rsid w:val="00CD3859"/>
    <w:rsid w:val="00CD39CB"/>
    <w:rsid w:val="00CD4ADD"/>
    <w:rsid w:val="00CD54EB"/>
    <w:rsid w:val="00CD5797"/>
    <w:rsid w:val="00CD77C8"/>
    <w:rsid w:val="00CD7A5D"/>
    <w:rsid w:val="00CE0C5E"/>
    <w:rsid w:val="00CE21FB"/>
    <w:rsid w:val="00CE2260"/>
    <w:rsid w:val="00CE249D"/>
    <w:rsid w:val="00CE3717"/>
    <w:rsid w:val="00CE39A0"/>
    <w:rsid w:val="00CE3CDD"/>
    <w:rsid w:val="00CE4F7B"/>
    <w:rsid w:val="00CE525F"/>
    <w:rsid w:val="00CE566F"/>
    <w:rsid w:val="00CE5ABF"/>
    <w:rsid w:val="00CE6CD0"/>
    <w:rsid w:val="00CF067A"/>
    <w:rsid w:val="00CF184A"/>
    <w:rsid w:val="00CF1ACF"/>
    <w:rsid w:val="00CF2C03"/>
    <w:rsid w:val="00CF33B6"/>
    <w:rsid w:val="00CF378C"/>
    <w:rsid w:val="00CF383D"/>
    <w:rsid w:val="00CF38FE"/>
    <w:rsid w:val="00CF3D18"/>
    <w:rsid w:val="00CF3F00"/>
    <w:rsid w:val="00CF4100"/>
    <w:rsid w:val="00CF4B00"/>
    <w:rsid w:val="00CF6DA5"/>
    <w:rsid w:val="00CF7158"/>
    <w:rsid w:val="00CF7520"/>
    <w:rsid w:val="00CF79ED"/>
    <w:rsid w:val="00CF7E36"/>
    <w:rsid w:val="00CF7E88"/>
    <w:rsid w:val="00D00704"/>
    <w:rsid w:val="00D0072E"/>
    <w:rsid w:val="00D00833"/>
    <w:rsid w:val="00D01314"/>
    <w:rsid w:val="00D015E6"/>
    <w:rsid w:val="00D016B0"/>
    <w:rsid w:val="00D01C90"/>
    <w:rsid w:val="00D021BA"/>
    <w:rsid w:val="00D021F8"/>
    <w:rsid w:val="00D02DBB"/>
    <w:rsid w:val="00D0306E"/>
    <w:rsid w:val="00D04014"/>
    <w:rsid w:val="00D04592"/>
    <w:rsid w:val="00D0587F"/>
    <w:rsid w:val="00D0638B"/>
    <w:rsid w:val="00D06C61"/>
    <w:rsid w:val="00D07C55"/>
    <w:rsid w:val="00D07E15"/>
    <w:rsid w:val="00D10A43"/>
    <w:rsid w:val="00D11C9C"/>
    <w:rsid w:val="00D12264"/>
    <w:rsid w:val="00D12709"/>
    <w:rsid w:val="00D12784"/>
    <w:rsid w:val="00D134B5"/>
    <w:rsid w:val="00D13856"/>
    <w:rsid w:val="00D1469C"/>
    <w:rsid w:val="00D153B6"/>
    <w:rsid w:val="00D1658B"/>
    <w:rsid w:val="00D16D6D"/>
    <w:rsid w:val="00D16F8D"/>
    <w:rsid w:val="00D1789F"/>
    <w:rsid w:val="00D17969"/>
    <w:rsid w:val="00D17BA5"/>
    <w:rsid w:val="00D208FA"/>
    <w:rsid w:val="00D2094A"/>
    <w:rsid w:val="00D20EE2"/>
    <w:rsid w:val="00D211B7"/>
    <w:rsid w:val="00D216CD"/>
    <w:rsid w:val="00D22110"/>
    <w:rsid w:val="00D22DAD"/>
    <w:rsid w:val="00D2418D"/>
    <w:rsid w:val="00D248AD"/>
    <w:rsid w:val="00D24F49"/>
    <w:rsid w:val="00D25937"/>
    <w:rsid w:val="00D26040"/>
    <w:rsid w:val="00D262BF"/>
    <w:rsid w:val="00D27062"/>
    <w:rsid w:val="00D276D7"/>
    <w:rsid w:val="00D27A26"/>
    <w:rsid w:val="00D27EF5"/>
    <w:rsid w:val="00D30491"/>
    <w:rsid w:val="00D31005"/>
    <w:rsid w:val="00D3277B"/>
    <w:rsid w:val="00D32FF5"/>
    <w:rsid w:val="00D33CE6"/>
    <w:rsid w:val="00D34172"/>
    <w:rsid w:val="00D342FB"/>
    <w:rsid w:val="00D3482D"/>
    <w:rsid w:val="00D34BA4"/>
    <w:rsid w:val="00D3523A"/>
    <w:rsid w:val="00D35337"/>
    <w:rsid w:val="00D362A6"/>
    <w:rsid w:val="00D36421"/>
    <w:rsid w:val="00D36555"/>
    <w:rsid w:val="00D36B90"/>
    <w:rsid w:val="00D372FF"/>
    <w:rsid w:val="00D37850"/>
    <w:rsid w:val="00D37B0C"/>
    <w:rsid w:val="00D40267"/>
    <w:rsid w:val="00D40C9A"/>
    <w:rsid w:val="00D413B9"/>
    <w:rsid w:val="00D41CB0"/>
    <w:rsid w:val="00D447DB"/>
    <w:rsid w:val="00D4629E"/>
    <w:rsid w:val="00D462CE"/>
    <w:rsid w:val="00D468B5"/>
    <w:rsid w:val="00D46BD2"/>
    <w:rsid w:val="00D46C15"/>
    <w:rsid w:val="00D471CB"/>
    <w:rsid w:val="00D4723F"/>
    <w:rsid w:val="00D47AC8"/>
    <w:rsid w:val="00D47D09"/>
    <w:rsid w:val="00D47E03"/>
    <w:rsid w:val="00D502BF"/>
    <w:rsid w:val="00D50AF9"/>
    <w:rsid w:val="00D515B7"/>
    <w:rsid w:val="00D51A3E"/>
    <w:rsid w:val="00D51C98"/>
    <w:rsid w:val="00D5226B"/>
    <w:rsid w:val="00D52475"/>
    <w:rsid w:val="00D524A5"/>
    <w:rsid w:val="00D526BD"/>
    <w:rsid w:val="00D5395B"/>
    <w:rsid w:val="00D5424E"/>
    <w:rsid w:val="00D54660"/>
    <w:rsid w:val="00D54CD7"/>
    <w:rsid w:val="00D54D9A"/>
    <w:rsid w:val="00D553CA"/>
    <w:rsid w:val="00D554E9"/>
    <w:rsid w:val="00D5578E"/>
    <w:rsid w:val="00D56529"/>
    <w:rsid w:val="00D56651"/>
    <w:rsid w:val="00D56929"/>
    <w:rsid w:val="00D57B8C"/>
    <w:rsid w:val="00D57EDA"/>
    <w:rsid w:val="00D600A5"/>
    <w:rsid w:val="00D6030F"/>
    <w:rsid w:val="00D60382"/>
    <w:rsid w:val="00D604D5"/>
    <w:rsid w:val="00D6082E"/>
    <w:rsid w:val="00D60835"/>
    <w:rsid w:val="00D60DDA"/>
    <w:rsid w:val="00D61076"/>
    <w:rsid w:val="00D613DD"/>
    <w:rsid w:val="00D625AA"/>
    <w:rsid w:val="00D62B20"/>
    <w:rsid w:val="00D63837"/>
    <w:rsid w:val="00D63A63"/>
    <w:rsid w:val="00D6404D"/>
    <w:rsid w:val="00D64176"/>
    <w:rsid w:val="00D64264"/>
    <w:rsid w:val="00D64A77"/>
    <w:rsid w:val="00D67ABA"/>
    <w:rsid w:val="00D67EE5"/>
    <w:rsid w:val="00D67FB3"/>
    <w:rsid w:val="00D7174A"/>
    <w:rsid w:val="00D71874"/>
    <w:rsid w:val="00D71F4B"/>
    <w:rsid w:val="00D72267"/>
    <w:rsid w:val="00D72517"/>
    <w:rsid w:val="00D7333C"/>
    <w:rsid w:val="00D73912"/>
    <w:rsid w:val="00D73D94"/>
    <w:rsid w:val="00D748EA"/>
    <w:rsid w:val="00D74EBD"/>
    <w:rsid w:val="00D751F9"/>
    <w:rsid w:val="00D7551A"/>
    <w:rsid w:val="00D75778"/>
    <w:rsid w:val="00D75A65"/>
    <w:rsid w:val="00D764E1"/>
    <w:rsid w:val="00D776DB"/>
    <w:rsid w:val="00D77B08"/>
    <w:rsid w:val="00D801E9"/>
    <w:rsid w:val="00D80472"/>
    <w:rsid w:val="00D80F4F"/>
    <w:rsid w:val="00D8102D"/>
    <w:rsid w:val="00D811C2"/>
    <w:rsid w:val="00D812E3"/>
    <w:rsid w:val="00D81CD6"/>
    <w:rsid w:val="00D82998"/>
    <w:rsid w:val="00D83016"/>
    <w:rsid w:val="00D839C0"/>
    <w:rsid w:val="00D8415B"/>
    <w:rsid w:val="00D846E6"/>
    <w:rsid w:val="00D84711"/>
    <w:rsid w:val="00D852B7"/>
    <w:rsid w:val="00D85A3E"/>
    <w:rsid w:val="00D85C15"/>
    <w:rsid w:val="00D86200"/>
    <w:rsid w:val="00D86607"/>
    <w:rsid w:val="00D876EC"/>
    <w:rsid w:val="00D9080A"/>
    <w:rsid w:val="00D91655"/>
    <w:rsid w:val="00D91C61"/>
    <w:rsid w:val="00D921B0"/>
    <w:rsid w:val="00D92F64"/>
    <w:rsid w:val="00D93569"/>
    <w:rsid w:val="00D9361F"/>
    <w:rsid w:val="00D93BFB"/>
    <w:rsid w:val="00D93C41"/>
    <w:rsid w:val="00D947F0"/>
    <w:rsid w:val="00D94DC4"/>
    <w:rsid w:val="00D96A1E"/>
    <w:rsid w:val="00D96EC4"/>
    <w:rsid w:val="00D97040"/>
    <w:rsid w:val="00D97485"/>
    <w:rsid w:val="00D9799D"/>
    <w:rsid w:val="00D97AE2"/>
    <w:rsid w:val="00DA0995"/>
    <w:rsid w:val="00DA17DC"/>
    <w:rsid w:val="00DA28CD"/>
    <w:rsid w:val="00DA344C"/>
    <w:rsid w:val="00DA393F"/>
    <w:rsid w:val="00DA3A50"/>
    <w:rsid w:val="00DA4248"/>
    <w:rsid w:val="00DA4550"/>
    <w:rsid w:val="00DA5188"/>
    <w:rsid w:val="00DA5274"/>
    <w:rsid w:val="00DA56FE"/>
    <w:rsid w:val="00DA7B26"/>
    <w:rsid w:val="00DB0467"/>
    <w:rsid w:val="00DB13C1"/>
    <w:rsid w:val="00DB22BB"/>
    <w:rsid w:val="00DB425B"/>
    <w:rsid w:val="00DB4620"/>
    <w:rsid w:val="00DB4998"/>
    <w:rsid w:val="00DB667C"/>
    <w:rsid w:val="00DB6FDF"/>
    <w:rsid w:val="00DB71B2"/>
    <w:rsid w:val="00DC072C"/>
    <w:rsid w:val="00DC1059"/>
    <w:rsid w:val="00DC30E5"/>
    <w:rsid w:val="00DC3244"/>
    <w:rsid w:val="00DC35EB"/>
    <w:rsid w:val="00DC3A3E"/>
    <w:rsid w:val="00DC46C4"/>
    <w:rsid w:val="00DC4A47"/>
    <w:rsid w:val="00DC5DE0"/>
    <w:rsid w:val="00DC6201"/>
    <w:rsid w:val="00DC6A56"/>
    <w:rsid w:val="00DD0C20"/>
    <w:rsid w:val="00DD1446"/>
    <w:rsid w:val="00DD1778"/>
    <w:rsid w:val="00DD2927"/>
    <w:rsid w:val="00DD2F4F"/>
    <w:rsid w:val="00DD3060"/>
    <w:rsid w:val="00DD3088"/>
    <w:rsid w:val="00DD3162"/>
    <w:rsid w:val="00DD3B0C"/>
    <w:rsid w:val="00DD4D82"/>
    <w:rsid w:val="00DD4DDA"/>
    <w:rsid w:val="00DD5638"/>
    <w:rsid w:val="00DD569D"/>
    <w:rsid w:val="00DD6650"/>
    <w:rsid w:val="00DD6739"/>
    <w:rsid w:val="00DE0861"/>
    <w:rsid w:val="00DE0D01"/>
    <w:rsid w:val="00DE1410"/>
    <w:rsid w:val="00DE163B"/>
    <w:rsid w:val="00DE1858"/>
    <w:rsid w:val="00DE1ABE"/>
    <w:rsid w:val="00DE2764"/>
    <w:rsid w:val="00DE2931"/>
    <w:rsid w:val="00DE2E63"/>
    <w:rsid w:val="00DE3312"/>
    <w:rsid w:val="00DE5B95"/>
    <w:rsid w:val="00DE5E7F"/>
    <w:rsid w:val="00DE6305"/>
    <w:rsid w:val="00DE710A"/>
    <w:rsid w:val="00DF0611"/>
    <w:rsid w:val="00DF2420"/>
    <w:rsid w:val="00DF3934"/>
    <w:rsid w:val="00DF3BC9"/>
    <w:rsid w:val="00DF4E9C"/>
    <w:rsid w:val="00DF6584"/>
    <w:rsid w:val="00DF6FBF"/>
    <w:rsid w:val="00DF78CA"/>
    <w:rsid w:val="00E008C8"/>
    <w:rsid w:val="00E02BE2"/>
    <w:rsid w:val="00E02EAE"/>
    <w:rsid w:val="00E039FD"/>
    <w:rsid w:val="00E053BA"/>
    <w:rsid w:val="00E05821"/>
    <w:rsid w:val="00E05C0E"/>
    <w:rsid w:val="00E062FC"/>
    <w:rsid w:val="00E06EEC"/>
    <w:rsid w:val="00E07854"/>
    <w:rsid w:val="00E07981"/>
    <w:rsid w:val="00E07EB5"/>
    <w:rsid w:val="00E100AB"/>
    <w:rsid w:val="00E100FA"/>
    <w:rsid w:val="00E10A68"/>
    <w:rsid w:val="00E10C43"/>
    <w:rsid w:val="00E11182"/>
    <w:rsid w:val="00E11307"/>
    <w:rsid w:val="00E12450"/>
    <w:rsid w:val="00E12E8C"/>
    <w:rsid w:val="00E1317A"/>
    <w:rsid w:val="00E1468B"/>
    <w:rsid w:val="00E16320"/>
    <w:rsid w:val="00E166AF"/>
    <w:rsid w:val="00E16EC5"/>
    <w:rsid w:val="00E20A0C"/>
    <w:rsid w:val="00E217D0"/>
    <w:rsid w:val="00E21A5B"/>
    <w:rsid w:val="00E21E9D"/>
    <w:rsid w:val="00E220FF"/>
    <w:rsid w:val="00E2265C"/>
    <w:rsid w:val="00E22D59"/>
    <w:rsid w:val="00E22DFB"/>
    <w:rsid w:val="00E23980"/>
    <w:rsid w:val="00E239D3"/>
    <w:rsid w:val="00E244B8"/>
    <w:rsid w:val="00E25A33"/>
    <w:rsid w:val="00E2727A"/>
    <w:rsid w:val="00E27908"/>
    <w:rsid w:val="00E300DF"/>
    <w:rsid w:val="00E30D9D"/>
    <w:rsid w:val="00E31946"/>
    <w:rsid w:val="00E327B3"/>
    <w:rsid w:val="00E32D75"/>
    <w:rsid w:val="00E32DA9"/>
    <w:rsid w:val="00E33851"/>
    <w:rsid w:val="00E338FF"/>
    <w:rsid w:val="00E33DEE"/>
    <w:rsid w:val="00E3437D"/>
    <w:rsid w:val="00E34567"/>
    <w:rsid w:val="00E34722"/>
    <w:rsid w:val="00E35171"/>
    <w:rsid w:val="00E3575B"/>
    <w:rsid w:val="00E35BE4"/>
    <w:rsid w:val="00E35CD9"/>
    <w:rsid w:val="00E36443"/>
    <w:rsid w:val="00E3653D"/>
    <w:rsid w:val="00E36795"/>
    <w:rsid w:val="00E37EAD"/>
    <w:rsid w:val="00E37FAD"/>
    <w:rsid w:val="00E402DB"/>
    <w:rsid w:val="00E4097B"/>
    <w:rsid w:val="00E41206"/>
    <w:rsid w:val="00E41503"/>
    <w:rsid w:val="00E41D59"/>
    <w:rsid w:val="00E42C5B"/>
    <w:rsid w:val="00E43686"/>
    <w:rsid w:val="00E439A9"/>
    <w:rsid w:val="00E43F93"/>
    <w:rsid w:val="00E43FF2"/>
    <w:rsid w:val="00E44009"/>
    <w:rsid w:val="00E44582"/>
    <w:rsid w:val="00E45130"/>
    <w:rsid w:val="00E45667"/>
    <w:rsid w:val="00E456E3"/>
    <w:rsid w:val="00E45F76"/>
    <w:rsid w:val="00E468AF"/>
    <w:rsid w:val="00E46960"/>
    <w:rsid w:val="00E46A67"/>
    <w:rsid w:val="00E473CF"/>
    <w:rsid w:val="00E5058A"/>
    <w:rsid w:val="00E50A67"/>
    <w:rsid w:val="00E50F12"/>
    <w:rsid w:val="00E51322"/>
    <w:rsid w:val="00E51864"/>
    <w:rsid w:val="00E51DFE"/>
    <w:rsid w:val="00E522C0"/>
    <w:rsid w:val="00E5274D"/>
    <w:rsid w:val="00E534AF"/>
    <w:rsid w:val="00E54602"/>
    <w:rsid w:val="00E55826"/>
    <w:rsid w:val="00E56CBC"/>
    <w:rsid w:val="00E57319"/>
    <w:rsid w:val="00E6265F"/>
    <w:rsid w:val="00E626FF"/>
    <w:rsid w:val="00E62ABD"/>
    <w:rsid w:val="00E62AD3"/>
    <w:rsid w:val="00E63194"/>
    <w:rsid w:val="00E632B4"/>
    <w:rsid w:val="00E6375D"/>
    <w:rsid w:val="00E63B1F"/>
    <w:rsid w:val="00E646B1"/>
    <w:rsid w:val="00E66128"/>
    <w:rsid w:val="00E6641C"/>
    <w:rsid w:val="00E66CF0"/>
    <w:rsid w:val="00E66DFE"/>
    <w:rsid w:val="00E67242"/>
    <w:rsid w:val="00E7099D"/>
    <w:rsid w:val="00E714F9"/>
    <w:rsid w:val="00E72B02"/>
    <w:rsid w:val="00E72F7D"/>
    <w:rsid w:val="00E734C5"/>
    <w:rsid w:val="00E73B61"/>
    <w:rsid w:val="00E74189"/>
    <w:rsid w:val="00E7419E"/>
    <w:rsid w:val="00E75388"/>
    <w:rsid w:val="00E75887"/>
    <w:rsid w:val="00E779AC"/>
    <w:rsid w:val="00E81505"/>
    <w:rsid w:val="00E815BF"/>
    <w:rsid w:val="00E82083"/>
    <w:rsid w:val="00E83580"/>
    <w:rsid w:val="00E84480"/>
    <w:rsid w:val="00E8461C"/>
    <w:rsid w:val="00E8515D"/>
    <w:rsid w:val="00E857B1"/>
    <w:rsid w:val="00E85A11"/>
    <w:rsid w:val="00E85DEA"/>
    <w:rsid w:val="00E85FCF"/>
    <w:rsid w:val="00E8611D"/>
    <w:rsid w:val="00E8615B"/>
    <w:rsid w:val="00E8647D"/>
    <w:rsid w:val="00E86941"/>
    <w:rsid w:val="00E86EF3"/>
    <w:rsid w:val="00E873C4"/>
    <w:rsid w:val="00E876AC"/>
    <w:rsid w:val="00E87839"/>
    <w:rsid w:val="00E90396"/>
    <w:rsid w:val="00E9079E"/>
    <w:rsid w:val="00E9131C"/>
    <w:rsid w:val="00E922EA"/>
    <w:rsid w:val="00E929CB"/>
    <w:rsid w:val="00E92DDF"/>
    <w:rsid w:val="00E934FA"/>
    <w:rsid w:val="00E93652"/>
    <w:rsid w:val="00E94AAA"/>
    <w:rsid w:val="00E94E40"/>
    <w:rsid w:val="00E955D9"/>
    <w:rsid w:val="00E95F4B"/>
    <w:rsid w:val="00E97295"/>
    <w:rsid w:val="00E97CDE"/>
    <w:rsid w:val="00EA01AD"/>
    <w:rsid w:val="00EA024E"/>
    <w:rsid w:val="00EA0946"/>
    <w:rsid w:val="00EA0AF4"/>
    <w:rsid w:val="00EA0E63"/>
    <w:rsid w:val="00EA176B"/>
    <w:rsid w:val="00EA18DA"/>
    <w:rsid w:val="00EA1AE9"/>
    <w:rsid w:val="00EA2205"/>
    <w:rsid w:val="00EA299C"/>
    <w:rsid w:val="00EA3099"/>
    <w:rsid w:val="00EA3D68"/>
    <w:rsid w:val="00EA4289"/>
    <w:rsid w:val="00EA46EB"/>
    <w:rsid w:val="00EA4B2D"/>
    <w:rsid w:val="00EA4EFC"/>
    <w:rsid w:val="00EA5EB4"/>
    <w:rsid w:val="00EA604D"/>
    <w:rsid w:val="00EA6974"/>
    <w:rsid w:val="00EA6983"/>
    <w:rsid w:val="00EA7FA3"/>
    <w:rsid w:val="00EB0F83"/>
    <w:rsid w:val="00EB1AB8"/>
    <w:rsid w:val="00EB30C7"/>
    <w:rsid w:val="00EB4860"/>
    <w:rsid w:val="00EB6829"/>
    <w:rsid w:val="00EB6F33"/>
    <w:rsid w:val="00EB7A9D"/>
    <w:rsid w:val="00EC1C99"/>
    <w:rsid w:val="00EC1E0D"/>
    <w:rsid w:val="00EC1FDB"/>
    <w:rsid w:val="00EC2C3E"/>
    <w:rsid w:val="00EC32A5"/>
    <w:rsid w:val="00EC38DA"/>
    <w:rsid w:val="00EC3998"/>
    <w:rsid w:val="00EC4E3A"/>
    <w:rsid w:val="00EC536A"/>
    <w:rsid w:val="00EC54E6"/>
    <w:rsid w:val="00EC5F54"/>
    <w:rsid w:val="00EC651B"/>
    <w:rsid w:val="00ED1509"/>
    <w:rsid w:val="00ED2B47"/>
    <w:rsid w:val="00ED3218"/>
    <w:rsid w:val="00ED3448"/>
    <w:rsid w:val="00ED3987"/>
    <w:rsid w:val="00ED3B0A"/>
    <w:rsid w:val="00ED4432"/>
    <w:rsid w:val="00ED46D8"/>
    <w:rsid w:val="00ED471A"/>
    <w:rsid w:val="00ED4C72"/>
    <w:rsid w:val="00ED4C82"/>
    <w:rsid w:val="00ED531D"/>
    <w:rsid w:val="00ED57BC"/>
    <w:rsid w:val="00ED61D8"/>
    <w:rsid w:val="00ED64E0"/>
    <w:rsid w:val="00ED787B"/>
    <w:rsid w:val="00EE00A0"/>
    <w:rsid w:val="00EE0CD3"/>
    <w:rsid w:val="00EE0FA4"/>
    <w:rsid w:val="00EE1F2C"/>
    <w:rsid w:val="00EE2155"/>
    <w:rsid w:val="00EE4408"/>
    <w:rsid w:val="00EE4F13"/>
    <w:rsid w:val="00EE53B5"/>
    <w:rsid w:val="00EE57E9"/>
    <w:rsid w:val="00EE644F"/>
    <w:rsid w:val="00EE68CF"/>
    <w:rsid w:val="00EE7126"/>
    <w:rsid w:val="00EE756D"/>
    <w:rsid w:val="00EE7701"/>
    <w:rsid w:val="00EF087F"/>
    <w:rsid w:val="00EF16AF"/>
    <w:rsid w:val="00EF1712"/>
    <w:rsid w:val="00EF1770"/>
    <w:rsid w:val="00EF1AC6"/>
    <w:rsid w:val="00EF1EAF"/>
    <w:rsid w:val="00EF20E1"/>
    <w:rsid w:val="00EF2EF1"/>
    <w:rsid w:val="00EF3105"/>
    <w:rsid w:val="00EF38E5"/>
    <w:rsid w:val="00EF4782"/>
    <w:rsid w:val="00EF48C2"/>
    <w:rsid w:val="00EF5BFD"/>
    <w:rsid w:val="00EF5DC0"/>
    <w:rsid w:val="00EF5F1A"/>
    <w:rsid w:val="00EF5F3A"/>
    <w:rsid w:val="00EF738B"/>
    <w:rsid w:val="00EF7880"/>
    <w:rsid w:val="00F004D1"/>
    <w:rsid w:val="00F0079B"/>
    <w:rsid w:val="00F011FE"/>
    <w:rsid w:val="00F01293"/>
    <w:rsid w:val="00F028ED"/>
    <w:rsid w:val="00F035AF"/>
    <w:rsid w:val="00F03C2B"/>
    <w:rsid w:val="00F04685"/>
    <w:rsid w:val="00F047AE"/>
    <w:rsid w:val="00F05880"/>
    <w:rsid w:val="00F0608F"/>
    <w:rsid w:val="00F07502"/>
    <w:rsid w:val="00F107EE"/>
    <w:rsid w:val="00F10D52"/>
    <w:rsid w:val="00F110BB"/>
    <w:rsid w:val="00F11F4C"/>
    <w:rsid w:val="00F126A1"/>
    <w:rsid w:val="00F126B9"/>
    <w:rsid w:val="00F143CC"/>
    <w:rsid w:val="00F15951"/>
    <w:rsid w:val="00F1646E"/>
    <w:rsid w:val="00F20071"/>
    <w:rsid w:val="00F20A51"/>
    <w:rsid w:val="00F21F9F"/>
    <w:rsid w:val="00F22A2F"/>
    <w:rsid w:val="00F22B25"/>
    <w:rsid w:val="00F239C0"/>
    <w:rsid w:val="00F23DC5"/>
    <w:rsid w:val="00F25117"/>
    <w:rsid w:val="00F25205"/>
    <w:rsid w:val="00F26369"/>
    <w:rsid w:val="00F26527"/>
    <w:rsid w:val="00F2665C"/>
    <w:rsid w:val="00F26B25"/>
    <w:rsid w:val="00F27338"/>
    <w:rsid w:val="00F27C64"/>
    <w:rsid w:val="00F30C77"/>
    <w:rsid w:val="00F315E6"/>
    <w:rsid w:val="00F31A3D"/>
    <w:rsid w:val="00F321A7"/>
    <w:rsid w:val="00F32990"/>
    <w:rsid w:val="00F330D7"/>
    <w:rsid w:val="00F340CB"/>
    <w:rsid w:val="00F342B9"/>
    <w:rsid w:val="00F346A6"/>
    <w:rsid w:val="00F37714"/>
    <w:rsid w:val="00F37A67"/>
    <w:rsid w:val="00F40E11"/>
    <w:rsid w:val="00F410B4"/>
    <w:rsid w:val="00F42EA5"/>
    <w:rsid w:val="00F4309D"/>
    <w:rsid w:val="00F43B3D"/>
    <w:rsid w:val="00F43B8E"/>
    <w:rsid w:val="00F46C86"/>
    <w:rsid w:val="00F46CB4"/>
    <w:rsid w:val="00F47424"/>
    <w:rsid w:val="00F5149A"/>
    <w:rsid w:val="00F51752"/>
    <w:rsid w:val="00F52119"/>
    <w:rsid w:val="00F522E5"/>
    <w:rsid w:val="00F5290B"/>
    <w:rsid w:val="00F52D16"/>
    <w:rsid w:val="00F53848"/>
    <w:rsid w:val="00F563A2"/>
    <w:rsid w:val="00F564A8"/>
    <w:rsid w:val="00F56F94"/>
    <w:rsid w:val="00F571EF"/>
    <w:rsid w:val="00F57F8B"/>
    <w:rsid w:val="00F605A0"/>
    <w:rsid w:val="00F61FCA"/>
    <w:rsid w:val="00F623E1"/>
    <w:rsid w:val="00F634C6"/>
    <w:rsid w:val="00F63681"/>
    <w:rsid w:val="00F63F3E"/>
    <w:rsid w:val="00F641AC"/>
    <w:rsid w:val="00F64863"/>
    <w:rsid w:val="00F64C7F"/>
    <w:rsid w:val="00F64F2B"/>
    <w:rsid w:val="00F65077"/>
    <w:rsid w:val="00F65B1E"/>
    <w:rsid w:val="00F66186"/>
    <w:rsid w:val="00F66476"/>
    <w:rsid w:val="00F66574"/>
    <w:rsid w:val="00F66683"/>
    <w:rsid w:val="00F66F6E"/>
    <w:rsid w:val="00F67368"/>
    <w:rsid w:val="00F673C0"/>
    <w:rsid w:val="00F67EB1"/>
    <w:rsid w:val="00F70528"/>
    <w:rsid w:val="00F70AEF"/>
    <w:rsid w:val="00F714D3"/>
    <w:rsid w:val="00F71F02"/>
    <w:rsid w:val="00F73385"/>
    <w:rsid w:val="00F73472"/>
    <w:rsid w:val="00F73547"/>
    <w:rsid w:val="00F73D18"/>
    <w:rsid w:val="00F74C78"/>
    <w:rsid w:val="00F750FE"/>
    <w:rsid w:val="00F77765"/>
    <w:rsid w:val="00F77C05"/>
    <w:rsid w:val="00F77C2F"/>
    <w:rsid w:val="00F800CB"/>
    <w:rsid w:val="00F8072E"/>
    <w:rsid w:val="00F80AF2"/>
    <w:rsid w:val="00F80BB1"/>
    <w:rsid w:val="00F824E6"/>
    <w:rsid w:val="00F827CB"/>
    <w:rsid w:val="00F82AB2"/>
    <w:rsid w:val="00F8342A"/>
    <w:rsid w:val="00F8443D"/>
    <w:rsid w:val="00F848CF"/>
    <w:rsid w:val="00F8547B"/>
    <w:rsid w:val="00F85C60"/>
    <w:rsid w:val="00F86616"/>
    <w:rsid w:val="00F874A5"/>
    <w:rsid w:val="00F878AE"/>
    <w:rsid w:val="00F9036A"/>
    <w:rsid w:val="00F906B2"/>
    <w:rsid w:val="00F91C48"/>
    <w:rsid w:val="00F91DDD"/>
    <w:rsid w:val="00F924D3"/>
    <w:rsid w:val="00F93D30"/>
    <w:rsid w:val="00F94B10"/>
    <w:rsid w:val="00F95271"/>
    <w:rsid w:val="00F969C2"/>
    <w:rsid w:val="00F96DF8"/>
    <w:rsid w:val="00F96DFA"/>
    <w:rsid w:val="00F9738C"/>
    <w:rsid w:val="00F97596"/>
    <w:rsid w:val="00F9789F"/>
    <w:rsid w:val="00F978C5"/>
    <w:rsid w:val="00F97F45"/>
    <w:rsid w:val="00FA06A8"/>
    <w:rsid w:val="00FA0CD0"/>
    <w:rsid w:val="00FA0F2B"/>
    <w:rsid w:val="00FA1115"/>
    <w:rsid w:val="00FA1734"/>
    <w:rsid w:val="00FA19E0"/>
    <w:rsid w:val="00FA1BB1"/>
    <w:rsid w:val="00FA4491"/>
    <w:rsid w:val="00FA491E"/>
    <w:rsid w:val="00FA49DA"/>
    <w:rsid w:val="00FA639A"/>
    <w:rsid w:val="00FA6CE7"/>
    <w:rsid w:val="00FA6D09"/>
    <w:rsid w:val="00FA6F27"/>
    <w:rsid w:val="00FA7E96"/>
    <w:rsid w:val="00FB0608"/>
    <w:rsid w:val="00FB0BA6"/>
    <w:rsid w:val="00FB13F0"/>
    <w:rsid w:val="00FB14A8"/>
    <w:rsid w:val="00FB14B5"/>
    <w:rsid w:val="00FB2DFA"/>
    <w:rsid w:val="00FB3BA2"/>
    <w:rsid w:val="00FB43BE"/>
    <w:rsid w:val="00FB48F2"/>
    <w:rsid w:val="00FB4C88"/>
    <w:rsid w:val="00FB4CB0"/>
    <w:rsid w:val="00FB5EC4"/>
    <w:rsid w:val="00FB64AC"/>
    <w:rsid w:val="00FB72A6"/>
    <w:rsid w:val="00FC0173"/>
    <w:rsid w:val="00FC08A5"/>
    <w:rsid w:val="00FC249E"/>
    <w:rsid w:val="00FC2662"/>
    <w:rsid w:val="00FC4386"/>
    <w:rsid w:val="00FC4D53"/>
    <w:rsid w:val="00FC542F"/>
    <w:rsid w:val="00FC5DF3"/>
    <w:rsid w:val="00FC6E19"/>
    <w:rsid w:val="00FD075D"/>
    <w:rsid w:val="00FD1BB5"/>
    <w:rsid w:val="00FD2285"/>
    <w:rsid w:val="00FD25F7"/>
    <w:rsid w:val="00FD2EF4"/>
    <w:rsid w:val="00FD45C9"/>
    <w:rsid w:val="00FD4E72"/>
    <w:rsid w:val="00FD5C22"/>
    <w:rsid w:val="00FD6299"/>
    <w:rsid w:val="00FD6CA5"/>
    <w:rsid w:val="00FD6D17"/>
    <w:rsid w:val="00FE0245"/>
    <w:rsid w:val="00FE08D6"/>
    <w:rsid w:val="00FE0E52"/>
    <w:rsid w:val="00FE1039"/>
    <w:rsid w:val="00FE1046"/>
    <w:rsid w:val="00FE1345"/>
    <w:rsid w:val="00FE1CEB"/>
    <w:rsid w:val="00FE2457"/>
    <w:rsid w:val="00FE33C4"/>
    <w:rsid w:val="00FE37D7"/>
    <w:rsid w:val="00FE452D"/>
    <w:rsid w:val="00FE4A26"/>
    <w:rsid w:val="00FE4B23"/>
    <w:rsid w:val="00FE4DBD"/>
    <w:rsid w:val="00FE628A"/>
    <w:rsid w:val="00FE629F"/>
    <w:rsid w:val="00FE681D"/>
    <w:rsid w:val="00FE6A25"/>
    <w:rsid w:val="00FE6A2E"/>
    <w:rsid w:val="00FE7CED"/>
    <w:rsid w:val="00FE7DE7"/>
    <w:rsid w:val="00FF1200"/>
    <w:rsid w:val="00FF2E0A"/>
    <w:rsid w:val="00FF355E"/>
    <w:rsid w:val="00FF3F2E"/>
    <w:rsid w:val="00FF4412"/>
    <w:rsid w:val="00FF4506"/>
    <w:rsid w:val="00FF47D3"/>
    <w:rsid w:val="00FF5BFC"/>
    <w:rsid w:val="00FF6DFF"/>
    <w:rsid w:val="00FF73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Classic 4" w:uiPriority="0"/>
    <w:lsdException w:name="Table 3D effects 1" w:uiPriority="0"/>
    <w:lsdException w:name="Table 3D effects 2" w:uiPriority="0"/>
    <w:lsdException w:name="Table 3D effects 3" w:uiPriority="0"/>
    <w:lsdException w:name="Table Elegant" w:uiPriority="0"/>
    <w:lsdException w:name="Table Subtle 1"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mój"/>
    <w:qFormat/>
    <w:rsid w:val="0005410E"/>
    <w:pPr>
      <w:spacing w:after="200" w:line="276" w:lineRule="auto"/>
    </w:pPr>
    <w:rPr>
      <w:rFonts w:ascii="Times New Roman" w:eastAsia="Times New Roman" w:hAnsi="Times New Roman"/>
      <w:sz w:val="24"/>
      <w:szCs w:val="22"/>
    </w:rPr>
  </w:style>
  <w:style w:type="paragraph" w:styleId="Nagwek1">
    <w:name w:val="heading 1"/>
    <w:basedOn w:val="Normalny"/>
    <w:next w:val="Normalny"/>
    <w:link w:val="Nagwek1Znak"/>
    <w:qFormat/>
    <w:rsid w:val="004A2760"/>
    <w:pPr>
      <w:keepNext/>
      <w:keepLines/>
      <w:numPr>
        <w:numId w:val="28"/>
      </w:numPr>
      <w:spacing w:before="480" w:after="0"/>
      <w:outlineLvl w:val="0"/>
    </w:pPr>
    <w:rPr>
      <w:b/>
      <w:bCs/>
      <w:szCs w:val="28"/>
    </w:rPr>
  </w:style>
  <w:style w:type="paragraph" w:styleId="Nagwek2">
    <w:name w:val="heading 2"/>
    <w:basedOn w:val="Normalny"/>
    <w:link w:val="Nagwek2Znak"/>
    <w:uiPriority w:val="9"/>
    <w:qFormat/>
    <w:rsid w:val="0005410E"/>
    <w:pPr>
      <w:numPr>
        <w:ilvl w:val="1"/>
        <w:numId w:val="28"/>
      </w:numPr>
      <w:spacing w:before="100" w:beforeAutospacing="1" w:after="100" w:afterAutospacing="1" w:line="240" w:lineRule="auto"/>
      <w:outlineLvl w:val="1"/>
    </w:pPr>
    <w:rPr>
      <w:b/>
      <w:bCs/>
      <w:sz w:val="36"/>
      <w:szCs w:val="36"/>
    </w:rPr>
  </w:style>
  <w:style w:type="paragraph" w:styleId="Nagwek3">
    <w:name w:val="heading 3"/>
    <w:basedOn w:val="Normalny"/>
    <w:next w:val="Normalny"/>
    <w:link w:val="Nagwek3Znak"/>
    <w:uiPriority w:val="9"/>
    <w:semiHidden/>
    <w:unhideWhenUsed/>
    <w:qFormat/>
    <w:rsid w:val="005562B5"/>
    <w:pPr>
      <w:keepNext/>
      <w:keepLines/>
      <w:numPr>
        <w:ilvl w:val="2"/>
        <w:numId w:val="28"/>
      </w:numPr>
      <w:spacing w:before="200" w:after="0"/>
      <w:outlineLvl w:val="2"/>
    </w:pPr>
    <w:rPr>
      <w:rFonts w:asciiTheme="majorHAnsi" w:eastAsiaTheme="majorEastAsia" w:hAnsiTheme="majorHAnsi" w:cstheme="majorBidi"/>
      <w:b/>
      <w:bCs/>
      <w:color w:val="D34817" w:themeColor="accent1"/>
    </w:rPr>
  </w:style>
  <w:style w:type="paragraph" w:styleId="Nagwek4">
    <w:name w:val="heading 4"/>
    <w:basedOn w:val="Normalny"/>
    <w:next w:val="Normalny"/>
    <w:link w:val="Nagwek4Znak"/>
    <w:uiPriority w:val="9"/>
    <w:semiHidden/>
    <w:unhideWhenUsed/>
    <w:qFormat/>
    <w:rsid w:val="005562B5"/>
    <w:pPr>
      <w:keepNext/>
      <w:keepLines/>
      <w:numPr>
        <w:ilvl w:val="3"/>
        <w:numId w:val="28"/>
      </w:numPr>
      <w:spacing w:before="200" w:after="0"/>
      <w:outlineLvl w:val="3"/>
    </w:pPr>
    <w:rPr>
      <w:rFonts w:asciiTheme="majorHAnsi" w:eastAsiaTheme="majorEastAsia" w:hAnsiTheme="majorHAnsi" w:cstheme="majorBidi"/>
      <w:b/>
      <w:bCs/>
      <w:i/>
      <w:iCs/>
      <w:color w:val="D34817" w:themeColor="accent1"/>
    </w:rPr>
  </w:style>
  <w:style w:type="paragraph" w:styleId="Nagwek5">
    <w:name w:val="heading 5"/>
    <w:basedOn w:val="Normalny"/>
    <w:next w:val="Normalny"/>
    <w:link w:val="Nagwek5Znak"/>
    <w:qFormat/>
    <w:rsid w:val="0005410E"/>
    <w:pPr>
      <w:keepNext/>
      <w:numPr>
        <w:ilvl w:val="4"/>
        <w:numId w:val="28"/>
      </w:numPr>
      <w:spacing w:after="0" w:line="240" w:lineRule="auto"/>
      <w:outlineLvl w:val="4"/>
    </w:pPr>
    <w:rPr>
      <w:noProof/>
      <w:szCs w:val="20"/>
    </w:rPr>
  </w:style>
  <w:style w:type="paragraph" w:styleId="Nagwek6">
    <w:name w:val="heading 6"/>
    <w:basedOn w:val="Normalny"/>
    <w:next w:val="Normalny"/>
    <w:link w:val="Nagwek6Znak"/>
    <w:uiPriority w:val="9"/>
    <w:semiHidden/>
    <w:unhideWhenUsed/>
    <w:qFormat/>
    <w:rsid w:val="005562B5"/>
    <w:pPr>
      <w:keepNext/>
      <w:keepLines/>
      <w:numPr>
        <w:ilvl w:val="5"/>
        <w:numId w:val="28"/>
      </w:numPr>
      <w:spacing w:before="200" w:after="0"/>
      <w:outlineLvl w:val="5"/>
    </w:pPr>
    <w:rPr>
      <w:rFonts w:asciiTheme="majorHAnsi" w:eastAsiaTheme="majorEastAsia" w:hAnsiTheme="majorHAnsi" w:cstheme="majorBidi"/>
      <w:i/>
      <w:iCs/>
      <w:color w:val="68230B" w:themeColor="accent1" w:themeShade="7F"/>
    </w:rPr>
  </w:style>
  <w:style w:type="paragraph" w:styleId="Nagwek7">
    <w:name w:val="heading 7"/>
    <w:basedOn w:val="Normalny"/>
    <w:next w:val="Normalny"/>
    <w:link w:val="Nagwek7Znak"/>
    <w:qFormat/>
    <w:rsid w:val="0005410E"/>
    <w:pPr>
      <w:numPr>
        <w:ilvl w:val="6"/>
        <w:numId w:val="28"/>
      </w:numPr>
      <w:spacing w:before="240" w:after="60" w:line="240" w:lineRule="auto"/>
      <w:outlineLvl w:val="6"/>
    </w:pPr>
    <w:rPr>
      <w:szCs w:val="24"/>
    </w:rPr>
  </w:style>
  <w:style w:type="paragraph" w:styleId="Nagwek8">
    <w:name w:val="heading 8"/>
    <w:basedOn w:val="Normalny"/>
    <w:next w:val="Normalny"/>
    <w:link w:val="Nagwek8Znak"/>
    <w:uiPriority w:val="9"/>
    <w:semiHidden/>
    <w:unhideWhenUsed/>
    <w:qFormat/>
    <w:rsid w:val="005562B5"/>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562B5"/>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A2760"/>
    <w:rPr>
      <w:rFonts w:ascii="Times New Roman" w:eastAsia="Times New Roman" w:hAnsi="Times New Roman"/>
      <w:b/>
      <w:bCs/>
      <w:sz w:val="24"/>
      <w:szCs w:val="28"/>
    </w:rPr>
  </w:style>
  <w:style w:type="character" w:customStyle="1" w:styleId="Nagwek2Znak">
    <w:name w:val="Nagłówek 2 Znak"/>
    <w:basedOn w:val="Domylnaczcionkaakapitu"/>
    <w:link w:val="Nagwek2"/>
    <w:uiPriority w:val="9"/>
    <w:rsid w:val="0005410E"/>
    <w:rPr>
      <w:rFonts w:ascii="Times New Roman" w:eastAsia="Times New Roman" w:hAnsi="Times New Roman"/>
      <w:b/>
      <w:bCs/>
      <w:sz w:val="36"/>
      <w:szCs w:val="36"/>
    </w:rPr>
  </w:style>
  <w:style w:type="character" w:customStyle="1" w:styleId="Nagwek5Znak">
    <w:name w:val="Nagłówek 5 Znak"/>
    <w:basedOn w:val="Domylnaczcionkaakapitu"/>
    <w:link w:val="Nagwek5"/>
    <w:rsid w:val="0005410E"/>
    <w:rPr>
      <w:rFonts w:ascii="Times New Roman" w:eastAsia="Times New Roman" w:hAnsi="Times New Roman"/>
      <w:noProof/>
      <w:sz w:val="24"/>
    </w:rPr>
  </w:style>
  <w:style w:type="character" w:customStyle="1" w:styleId="Nagwek7Znak">
    <w:name w:val="Nagłówek 7 Znak"/>
    <w:basedOn w:val="Domylnaczcionkaakapitu"/>
    <w:link w:val="Nagwek7"/>
    <w:rsid w:val="0005410E"/>
    <w:rPr>
      <w:rFonts w:ascii="Times New Roman" w:eastAsia="Times New Roman" w:hAnsi="Times New Roman"/>
      <w:sz w:val="24"/>
      <w:szCs w:val="24"/>
    </w:rPr>
  </w:style>
  <w:style w:type="paragraph" w:styleId="Nagwek">
    <w:name w:val="header"/>
    <w:basedOn w:val="Normalny"/>
    <w:link w:val="NagwekZnak"/>
    <w:uiPriority w:val="99"/>
    <w:unhideWhenUsed/>
    <w:rsid w:val="0005410E"/>
    <w:pPr>
      <w:tabs>
        <w:tab w:val="center" w:pos="4536"/>
        <w:tab w:val="right" w:pos="9072"/>
      </w:tabs>
    </w:pPr>
  </w:style>
  <w:style w:type="character" w:customStyle="1" w:styleId="NagwekZnak">
    <w:name w:val="Nagłówek Znak"/>
    <w:basedOn w:val="Domylnaczcionkaakapitu"/>
    <w:link w:val="Nagwek"/>
    <w:uiPriority w:val="99"/>
    <w:rsid w:val="0005410E"/>
    <w:rPr>
      <w:rFonts w:ascii="Times New Roman" w:eastAsia="Times New Roman" w:hAnsi="Times New Roman" w:cs="Times New Roman"/>
      <w:sz w:val="24"/>
      <w:lang w:eastAsia="pl-PL"/>
    </w:rPr>
  </w:style>
  <w:style w:type="paragraph" w:styleId="Stopka">
    <w:name w:val="footer"/>
    <w:basedOn w:val="Normalny"/>
    <w:link w:val="StopkaZnak"/>
    <w:uiPriority w:val="99"/>
    <w:unhideWhenUsed/>
    <w:rsid w:val="0005410E"/>
    <w:pPr>
      <w:tabs>
        <w:tab w:val="center" w:pos="4536"/>
        <w:tab w:val="right" w:pos="9072"/>
      </w:tabs>
    </w:pPr>
  </w:style>
  <w:style w:type="character" w:customStyle="1" w:styleId="StopkaZnak">
    <w:name w:val="Stopka Znak"/>
    <w:basedOn w:val="Domylnaczcionkaakapitu"/>
    <w:link w:val="Stopka"/>
    <w:uiPriority w:val="99"/>
    <w:rsid w:val="0005410E"/>
    <w:rPr>
      <w:rFonts w:ascii="Times New Roman" w:eastAsia="Times New Roman" w:hAnsi="Times New Roman" w:cs="Times New Roman"/>
      <w:sz w:val="24"/>
      <w:lang w:eastAsia="pl-PL"/>
    </w:rPr>
  </w:style>
  <w:style w:type="paragraph" w:styleId="Tekstdymka">
    <w:name w:val="Balloon Text"/>
    <w:basedOn w:val="Normalny"/>
    <w:link w:val="TekstdymkaZnak"/>
    <w:semiHidden/>
    <w:unhideWhenUsed/>
    <w:rsid w:val="0005410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05410E"/>
    <w:rPr>
      <w:rFonts w:ascii="Tahoma" w:eastAsia="Times New Roman" w:hAnsi="Tahoma" w:cs="Tahoma"/>
      <w:sz w:val="16"/>
      <w:szCs w:val="16"/>
      <w:lang w:eastAsia="pl-PL"/>
    </w:rPr>
  </w:style>
  <w:style w:type="table" w:styleId="Tabela-Siatka">
    <w:name w:val="Table Grid"/>
    <w:basedOn w:val="Standardowy"/>
    <w:rsid w:val="0005410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nhideWhenUsed/>
    <w:rsid w:val="0005410E"/>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rsid w:val="0005410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reference number,note TESI,SUPERS,EN Footnote Reference,Odwołanie przypisu"/>
    <w:basedOn w:val="Domylnaczcionkaakapitu"/>
    <w:semiHidden/>
    <w:unhideWhenUsed/>
    <w:rsid w:val="0005410E"/>
    <w:rPr>
      <w:vertAlign w:val="superscript"/>
    </w:rPr>
  </w:style>
  <w:style w:type="paragraph" w:styleId="Tekstkomentarza">
    <w:name w:val="annotation text"/>
    <w:basedOn w:val="Normalny"/>
    <w:link w:val="TekstkomentarzaZnak"/>
    <w:semiHidden/>
    <w:rsid w:val="0005410E"/>
    <w:pPr>
      <w:spacing w:after="0" w:line="240" w:lineRule="auto"/>
    </w:pPr>
    <w:rPr>
      <w:sz w:val="20"/>
      <w:szCs w:val="20"/>
    </w:rPr>
  </w:style>
  <w:style w:type="character" w:customStyle="1" w:styleId="TekstkomentarzaZnak">
    <w:name w:val="Tekst komentarza Znak"/>
    <w:basedOn w:val="Domylnaczcionkaakapitu"/>
    <w:link w:val="Tekstkomentarza"/>
    <w:semiHidden/>
    <w:rsid w:val="0005410E"/>
    <w:rPr>
      <w:rFonts w:ascii="Times New Roman" w:eastAsia="Times New Roman" w:hAnsi="Times New Roman" w:cs="Times New Roman"/>
      <w:sz w:val="20"/>
      <w:szCs w:val="20"/>
      <w:lang w:eastAsia="pl-PL"/>
    </w:rPr>
  </w:style>
  <w:style w:type="paragraph" w:styleId="NormalnyWeb">
    <w:name w:val="Normal (Web)"/>
    <w:basedOn w:val="Normalny"/>
    <w:uiPriority w:val="99"/>
    <w:unhideWhenUsed/>
    <w:rsid w:val="0005410E"/>
    <w:rPr>
      <w:szCs w:val="24"/>
    </w:rPr>
  </w:style>
  <w:style w:type="paragraph" w:customStyle="1" w:styleId="ZnakZnakZnak1">
    <w:name w:val="Znak Znak Znak1"/>
    <w:basedOn w:val="Normalny"/>
    <w:rsid w:val="0005410E"/>
    <w:pPr>
      <w:spacing w:after="0" w:line="240" w:lineRule="auto"/>
    </w:pPr>
    <w:rPr>
      <w:szCs w:val="24"/>
    </w:rPr>
  </w:style>
  <w:style w:type="paragraph" w:styleId="Tekstprzypisukocowego">
    <w:name w:val="endnote text"/>
    <w:basedOn w:val="Normalny"/>
    <w:link w:val="TekstprzypisukocowegoZnak"/>
    <w:rsid w:val="0005410E"/>
    <w:rPr>
      <w:sz w:val="20"/>
      <w:szCs w:val="20"/>
    </w:rPr>
  </w:style>
  <w:style w:type="character" w:customStyle="1" w:styleId="TekstprzypisukocowegoZnak">
    <w:name w:val="Tekst przypisu końcowego Znak"/>
    <w:basedOn w:val="Domylnaczcionkaakapitu"/>
    <w:link w:val="Tekstprzypisukocowego"/>
    <w:rsid w:val="0005410E"/>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05410E"/>
    <w:rPr>
      <w:vertAlign w:val="superscript"/>
    </w:rPr>
  </w:style>
  <w:style w:type="character" w:styleId="Odwoaniedokomentarza">
    <w:name w:val="annotation reference"/>
    <w:basedOn w:val="Domylnaczcionkaakapitu"/>
    <w:uiPriority w:val="99"/>
    <w:semiHidden/>
    <w:rsid w:val="0005410E"/>
    <w:rPr>
      <w:sz w:val="16"/>
      <w:szCs w:val="16"/>
    </w:rPr>
  </w:style>
  <w:style w:type="paragraph" w:styleId="Tematkomentarza">
    <w:name w:val="annotation subject"/>
    <w:basedOn w:val="Tekstkomentarza"/>
    <w:next w:val="Tekstkomentarza"/>
    <w:link w:val="TematkomentarzaZnak"/>
    <w:semiHidden/>
    <w:rsid w:val="0005410E"/>
    <w:pPr>
      <w:spacing w:after="200" w:line="276" w:lineRule="auto"/>
    </w:pPr>
    <w:rPr>
      <w:rFonts w:ascii="Calibri" w:hAnsi="Calibri"/>
      <w:b/>
      <w:bCs/>
    </w:rPr>
  </w:style>
  <w:style w:type="character" w:customStyle="1" w:styleId="TematkomentarzaZnak">
    <w:name w:val="Temat komentarza Znak"/>
    <w:basedOn w:val="TekstkomentarzaZnak"/>
    <w:link w:val="Tematkomentarza"/>
    <w:semiHidden/>
    <w:rsid w:val="0005410E"/>
    <w:rPr>
      <w:rFonts w:ascii="Calibri" w:eastAsia="Times New Roman" w:hAnsi="Calibri" w:cs="Times New Roman"/>
      <w:b/>
      <w:bCs/>
      <w:sz w:val="20"/>
      <w:szCs w:val="20"/>
      <w:lang w:eastAsia="pl-PL"/>
    </w:rPr>
  </w:style>
  <w:style w:type="paragraph" w:customStyle="1" w:styleId="zajawka">
    <w:name w:val="zajawka"/>
    <w:basedOn w:val="Normalny"/>
    <w:rsid w:val="0005410E"/>
    <w:pPr>
      <w:spacing w:before="100" w:beforeAutospacing="1" w:after="100" w:afterAutospacing="1" w:line="240" w:lineRule="auto"/>
    </w:pPr>
    <w:rPr>
      <w:szCs w:val="24"/>
    </w:rPr>
  </w:style>
  <w:style w:type="numbering" w:styleId="111111">
    <w:name w:val="Outline List 2"/>
    <w:basedOn w:val="Bezlisty"/>
    <w:rsid w:val="0005410E"/>
    <w:pPr>
      <w:numPr>
        <w:numId w:val="1"/>
      </w:numPr>
    </w:pPr>
  </w:style>
  <w:style w:type="paragraph" w:customStyle="1" w:styleId="tresc">
    <w:name w:val="tresc"/>
    <w:basedOn w:val="Normalny"/>
    <w:rsid w:val="0005410E"/>
    <w:pPr>
      <w:spacing w:before="100" w:beforeAutospacing="1" w:after="100" w:afterAutospacing="1" w:line="240" w:lineRule="auto"/>
    </w:pPr>
    <w:rPr>
      <w:szCs w:val="24"/>
    </w:rPr>
  </w:style>
  <w:style w:type="paragraph" w:styleId="Bezodstpw">
    <w:name w:val="No Spacing"/>
    <w:link w:val="BezodstpwZnak"/>
    <w:qFormat/>
    <w:rsid w:val="0005410E"/>
    <w:rPr>
      <w:sz w:val="22"/>
      <w:szCs w:val="22"/>
      <w:lang w:eastAsia="en-US"/>
    </w:rPr>
  </w:style>
  <w:style w:type="paragraph" w:styleId="Listapunktowana">
    <w:name w:val="List Bullet"/>
    <w:basedOn w:val="Normalny"/>
    <w:link w:val="ListapunktowanaZnak"/>
    <w:rsid w:val="0005410E"/>
    <w:pPr>
      <w:numPr>
        <w:ilvl w:val="1"/>
        <w:numId w:val="2"/>
      </w:numPr>
    </w:pPr>
  </w:style>
  <w:style w:type="character" w:styleId="Numerstrony">
    <w:name w:val="page number"/>
    <w:basedOn w:val="Domylnaczcionkaakapitu"/>
    <w:rsid w:val="0005410E"/>
  </w:style>
  <w:style w:type="paragraph" w:customStyle="1" w:styleId="Nagwek11">
    <w:name w:val="Nagłówek 11"/>
    <w:next w:val="Normalny"/>
    <w:rsid w:val="0005410E"/>
    <w:pPr>
      <w:widowControl w:val="0"/>
      <w:suppressAutoHyphens/>
      <w:autoSpaceDE w:val="0"/>
    </w:pPr>
    <w:rPr>
      <w:rFonts w:ascii="Times New Roman" w:eastAsia="Lucida Sans Unicode" w:hAnsi="Times New Roman"/>
      <w:sz w:val="24"/>
      <w:szCs w:val="24"/>
    </w:rPr>
  </w:style>
  <w:style w:type="character" w:customStyle="1" w:styleId="Znakiprzypiswdolnych">
    <w:name w:val="Znaki przypisów dolnych"/>
    <w:rsid w:val="0005410E"/>
    <w:rPr>
      <w:vertAlign w:val="superscript"/>
    </w:rPr>
  </w:style>
  <w:style w:type="character" w:styleId="Pogrubienie">
    <w:name w:val="Strong"/>
    <w:uiPriority w:val="22"/>
    <w:qFormat/>
    <w:rsid w:val="0005410E"/>
    <w:rPr>
      <w:b/>
      <w:bCs/>
    </w:rPr>
  </w:style>
  <w:style w:type="paragraph" w:styleId="Tekstpodstawowy2">
    <w:name w:val="Body Text 2"/>
    <w:basedOn w:val="Normalny"/>
    <w:link w:val="Tekstpodstawowy2Znak"/>
    <w:rsid w:val="0005410E"/>
    <w:pPr>
      <w:spacing w:after="0" w:line="240" w:lineRule="auto"/>
    </w:pPr>
    <w:rPr>
      <w:noProof/>
      <w:szCs w:val="20"/>
    </w:rPr>
  </w:style>
  <w:style w:type="character" w:customStyle="1" w:styleId="Tekstpodstawowy2Znak">
    <w:name w:val="Tekst podstawowy 2 Znak"/>
    <w:basedOn w:val="Domylnaczcionkaakapitu"/>
    <w:link w:val="Tekstpodstawowy2"/>
    <w:rsid w:val="0005410E"/>
    <w:rPr>
      <w:rFonts w:ascii="Times New Roman" w:eastAsia="Times New Roman" w:hAnsi="Times New Roman" w:cs="Times New Roman"/>
      <w:noProof/>
      <w:sz w:val="24"/>
      <w:szCs w:val="20"/>
      <w:lang w:eastAsia="pl-PL"/>
    </w:rPr>
  </w:style>
  <w:style w:type="paragraph" w:customStyle="1" w:styleId="Default">
    <w:name w:val="Default"/>
    <w:rsid w:val="0005410E"/>
    <w:pPr>
      <w:autoSpaceDE w:val="0"/>
      <w:autoSpaceDN w:val="0"/>
      <w:adjustRightInd w:val="0"/>
    </w:pPr>
    <w:rPr>
      <w:rFonts w:ascii="Times New Roman" w:eastAsia="Times New Roman" w:hAnsi="Times New Roman"/>
      <w:color w:val="000000"/>
      <w:sz w:val="24"/>
      <w:szCs w:val="24"/>
    </w:rPr>
  </w:style>
  <w:style w:type="paragraph" w:customStyle="1" w:styleId="tekstZPORR">
    <w:name w:val="tekst ZPORR"/>
    <w:basedOn w:val="Normalny"/>
    <w:rsid w:val="0005410E"/>
    <w:pPr>
      <w:suppressAutoHyphens/>
      <w:spacing w:after="120" w:line="240" w:lineRule="auto"/>
      <w:ind w:firstLine="567"/>
      <w:jc w:val="both"/>
    </w:pPr>
    <w:rPr>
      <w:szCs w:val="20"/>
      <w:lang w:eastAsia="ar-SA"/>
    </w:rPr>
  </w:style>
  <w:style w:type="paragraph" w:customStyle="1" w:styleId="ZnakZnakZnak18">
    <w:name w:val="Znak Znak Znak18"/>
    <w:basedOn w:val="Normalny"/>
    <w:rsid w:val="0005410E"/>
    <w:pPr>
      <w:spacing w:after="0" w:line="240" w:lineRule="auto"/>
    </w:pPr>
    <w:rPr>
      <w:szCs w:val="24"/>
    </w:rPr>
  </w:style>
  <w:style w:type="paragraph" w:styleId="Akapitzlist">
    <w:name w:val="List Paragraph"/>
    <w:basedOn w:val="Normalny"/>
    <w:uiPriority w:val="34"/>
    <w:qFormat/>
    <w:rsid w:val="0005410E"/>
    <w:pPr>
      <w:ind w:left="720"/>
      <w:contextualSpacing/>
    </w:pPr>
  </w:style>
  <w:style w:type="paragraph" w:customStyle="1" w:styleId="Tekstpodstawowy21">
    <w:name w:val="Tekst podstawowy 21"/>
    <w:basedOn w:val="Normalny"/>
    <w:rsid w:val="0005410E"/>
    <w:pPr>
      <w:spacing w:after="0" w:line="240" w:lineRule="auto"/>
    </w:pPr>
    <w:rPr>
      <w:sz w:val="28"/>
      <w:szCs w:val="20"/>
    </w:rPr>
  </w:style>
  <w:style w:type="paragraph" w:customStyle="1" w:styleId="ZnakZnakZnak17">
    <w:name w:val="Znak Znak Znak17"/>
    <w:basedOn w:val="Normalny"/>
    <w:rsid w:val="0005410E"/>
    <w:pPr>
      <w:spacing w:after="0" w:line="240" w:lineRule="auto"/>
    </w:pPr>
    <w:rPr>
      <w:szCs w:val="24"/>
    </w:rPr>
  </w:style>
  <w:style w:type="paragraph" w:customStyle="1" w:styleId="ListNumberLevel2">
    <w:name w:val="List Number (Level 2)"/>
    <w:basedOn w:val="Normalny"/>
    <w:rsid w:val="0005410E"/>
    <w:pPr>
      <w:spacing w:after="240" w:line="240" w:lineRule="auto"/>
      <w:jc w:val="both"/>
    </w:pPr>
    <w:rPr>
      <w:szCs w:val="20"/>
      <w:lang w:val="en-GB" w:eastAsia="en-US"/>
    </w:rPr>
  </w:style>
  <w:style w:type="paragraph" w:styleId="Tekstpodstawowy">
    <w:name w:val="Body Text"/>
    <w:basedOn w:val="Normalny"/>
    <w:link w:val="TekstpodstawowyZnak"/>
    <w:rsid w:val="0005410E"/>
    <w:pPr>
      <w:spacing w:after="120" w:line="240" w:lineRule="auto"/>
    </w:pPr>
    <w:rPr>
      <w:sz w:val="20"/>
      <w:szCs w:val="20"/>
    </w:rPr>
  </w:style>
  <w:style w:type="character" w:customStyle="1" w:styleId="TekstpodstawowyZnak">
    <w:name w:val="Tekst podstawowy Znak"/>
    <w:basedOn w:val="Domylnaczcionkaakapitu"/>
    <w:link w:val="Tekstpodstawowy"/>
    <w:rsid w:val="0005410E"/>
    <w:rPr>
      <w:rFonts w:ascii="Times New Roman" w:eastAsia="Times New Roman" w:hAnsi="Times New Roman" w:cs="Times New Roman"/>
      <w:sz w:val="20"/>
      <w:szCs w:val="20"/>
      <w:lang w:eastAsia="pl-PL"/>
    </w:rPr>
  </w:style>
  <w:style w:type="paragraph" w:customStyle="1" w:styleId="ZnakZnakZnak16">
    <w:name w:val="Znak Znak Znak16"/>
    <w:basedOn w:val="Normalny"/>
    <w:rsid w:val="0005410E"/>
    <w:pPr>
      <w:spacing w:after="0" w:line="240" w:lineRule="auto"/>
    </w:pPr>
    <w:rPr>
      <w:szCs w:val="24"/>
    </w:rPr>
  </w:style>
  <w:style w:type="paragraph" w:styleId="Listapunktowana2">
    <w:name w:val="List Bullet 2"/>
    <w:basedOn w:val="Normalny"/>
    <w:autoRedefine/>
    <w:rsid w:val="0005410E"/>
    <w:pPr>
      <w:numPr>
        <w:ilvl w:val="1"/>
        <w:numId w:val="3"/>
      </w:numPr>
      <w:spacing w:before="240" w:after="120" w:line="240" w:lineRule="auto"/>
      <w:ind w:left="283" w:hanging="357"/>
    </w:pPr>
    <w:rPr>
      <w:b/>
      <w:szCs w:val="24"/>
      <w:lang w:eastAsia="ko-KR"/>
    </w:rPr>
  </w:style>
  <w:style w:type="paragraph" w:styleId="Podtytu">
    <w:name w:val="Subtitle"/>
    <w:basedOn w:val="Normalny"/>
    <w:link w:val="PodtytuZnak"/>
    <w:qFormat/>
    <w:rsid w:val="0005410E"/>
    <w:pPr>
      <w:spacing w:after="0" w:line="240" w:lineRule="auto"/>
      <w:jc w:val="center"/>
    </w:pPr>
    <w:rPr>
      <w:b/>
      <w:bCs/>
      <w:sz w:val="28"/>
      <w:szCs w:val="24"/>
    </w:rPr>
  </w:style>
  <w:style w:type="character" w:customStyle="1" w:styleId="PodtytuZnak">
    <w:name w:val="Podtytuł Znak"/>
    <w:basedOn w:val="Domylnaczcionkaakapitu"/>
    <w:link w:val="Podtytu"/>
    <w:rsid w:val="0005410E"/>
    <w:rPr>
      <w:rFonts w:ascii="Times New Roman" w:eastAsia="Times New Roman" w:hAnsi="Times New Roman" w:cs="Times New Roman"/>
      <w:b/>
      <w:bCs/>
      <w:sz w:val="28"/>
      <w:szCs w:val="24"/>
      <w:lang w:eastAsia="pl-PL"/>
    </w:rPr>
  </w:style>
  <w:style w:type="paragraph" w:styleId="Zwykytekst">
    <w:name w:val="Plain Text"/>
    <w:basedOn w:val="Normalny"/>
    <w:link w:val="ZwykytekstZnak"/>
    <w:uiPriority w:val="99"/>
    <w:rsid w:val="0005410E"/>
    <w:pPr>
      <w:spacing w:after="0" w:line="240" w:lineRule="auto"/>
    </w:pPr>
    <w:rPr>
      <w:rFonts w:ascii="Courier New" w:hAnsi="Courier New"/>
      <w:sz w:val="20"/>
      <w:szCs w:val="20"/>
    </w:rPr>
  </w:style>
  <w:style w:type="character" w:customStyle="1" w:styleId="ZwykytekstZnak">
    <w:name w:val="Zwykły tekst Znak"/>
    <w:basedOn w:val="Domylnaczcionkaakapitu"/>
    <w:link w:val="Zwykytekst"/>
    <w:uiPriority w:val="99"/>
    <w:rsid w:val="0005410E"/>
    <w:rPr>
      <w:rFonts w:ascii="Courier New" w:eastAsia="Times New Roman" w:hAnsi="Courier New" w:cs="Times New Roman"/>
      <w:sz w:val="20"/>
      <w:szCs w:val="20"/>
      <w:lang w:eastAsia="pl-PL"/>
    </w:rPr>
  </w:style>
  <w:style w:type="character" w:customStyle="1" w:styleId="ListapunktowanaZnak">
    <w:name w:val="Lista punktowana Znak"/>
    <w:basedOn w:val="Domylnaczcionkaakapitu"/>
    <w:link w:val="Listapunktowana"/>
    <w:rsid w:val="0005410E"/>
    <w:rPr>
      <w:rFonts w:ascii="Times New Roman" w:eastAsia="Times New Roman" w:hAnsi="Times New Roman"/>
      <w:sz w:val="24"/>
      <w:szCs w:val="22"/>
    </w:rPr>
  </w:style>
  <w:style w:type="paragraph" w:customStyle="1" w:styleId="ZnakZnakZnak15">
    <w:name w:val="Znak Znak Znak15"/>
    <w:basedOn w:val="Normalny"/>
    <w:rsid w:val="0005410E"/>
    <w:pPr>
      <w:spacing w:after="0" w:line="240" w:lineRule="auto"/>
    </w:pPr>
    <w:rPr>
      <w:szCs w:val="24"/>
    </w:rPr>
  </w:style>
  <w:style w:type="paragraph" w:customStyle="1" w:styleId="ZnakZnakZnak14">
    <w:name w:val="Znak Znak Znak14"/>
    <w:basedOn w:val="Normalny"/>
    <w:rsid w:val="0005410E"/>
    <w:pPr>
      <w:spacing w:after="0" w:line="240" w:lineRule="auto"/>
    </w:pPr>
    <w:rPr>
      <w:szCs w:val="24"/>
    </w:rPr>
  </w:style>
  <w:style w:type="paragraph" w:styleId="Nagwekspisutreci">
    <w:name w:val="TOC Heading"/>
    <w:basedOn w:val="Nagwek1"/>
    <w:next w:val="Normalny"/>
    <w:uiPriority w:val="39"/>
    <w:semiHidden/>
    <w:unhideWhenUsed/>
    <w:qFormat/>
    <w:rsid w:val="0005410E"/>
    <w:pPr>
      <w:outlineLvl w:val="9"/>
    </w:pPr>
    <w:rPr>
      <w:lang w:eastAsia="en-US"/>
    </w:rPr>
  </w:style>
  <w:style w:type="paragraph" w:styleId="Spistreci1">
    <w:name w:val="toc 1"/>
    <w:basedOn w:val="Normalny"/>
    <w:next w:val="Normalny"/>
    <w:autoRedefine/>
    <w:uiPriority w:val="39"/>
    <w:qFormat/>
    <w:rsid w:val="00DA56FE"/>
    <w:pPr>
      <w:tabs>
        <w:tab w:val="right" w:leader="underscore" w:pos="9062"/>
      </w:tabs>
      <w:spacing w:before="120" w:after="0"/>
      <w:jc w:val="both"/>
    </w:pPr>
    <w:rPr>
      <w:rFonts w:asciiTheme="minorHAnsi" w:hAnsiTheme="minorHAnsi"/>
      <w:b/>
      <w:bCs/>
      <w:i/>
      <w:iCs/>
      <w:szCs w:val="24"/>
    </w:rPr>
  </w:style>
  <w:style w:type="character" w:styleId="Hipercze">
    <w:name w:val="Hyperlink"/>
    <w:basedOn w:val="Domylnaczcionkaakapitu"/>
    <w:uiPriority w:val="99"/>
    <w:unhideWhenUsed/>
    <w:rsid w:val="0005410E"/>
    <w:rPr>
      <w:color w:val="0000FF"/>
      <w:u w:val="single"/>
    </w:rPr>
  </w:style>
  <w:style w:type="paragraph" w:styleId="Spistreci2">
    <w:name w:val="toc 2"/>
    <w:basedOn w:val="Normalny"/>
    <w:next w:val="Normalny"/>
    <w:autoRedefine/>
    <w:uiPriority w:val="39"/>
    <w:qFormat/>
    <w:rsid w:val="0005410E"/>
    <w:pPr>
      <w:spacing w:before="120" w:after="0"/>
      <w:ind w:left="240"/>
    </w:pPr>
    <w:rPr>
      <w:rFonts w:asciiTheme="minorHAnsi" w:hAnsiTheme="minorHAnsi"/>
      <w:b/>
      <w:bCs/>
      <w:sz w:val="22"/>
    </w:rPr>
  </w:style>
  <w:style w:type="paragraph" w:styleId="Spistreci3">
    <w:name w:val="toc 3"/>
    <w:basedOn w:val="Normalny"/>
    <w:next w:val="Normalny"/>
    <w:autoRedefine/>
    <w:uiPriority w:val="39"/>
    <w:qFormat/>
    <w:rsid w:val="0005410E"/>
    <w:pPr>
      <w:spacing w:after="0"/>
      <w:ind w:left="480"/>
    </w:pPr>
    <w:rPr>
      <w:rFonts w:asciiTheme="minorHAnsi" w:hAnsiTheme="minorHAnsi"/>
      <w:sz w:val="20"/>
      <w:szCs w:val="20"/>
    </w:rPr>
  </w:style>
  <w:style w:type="paragraph" w:styleId="Spistreci4">
    <w:name w:val="toc 4"/>
    <w:basedOn w:val="Normalny"/>
    <w:next w:val="Normalny"/>
    <w:autoRedefine/>
    <w:uiPriority w:val="39"/>
    <w:rsid w:val="0005410E"/>
    <w:pPr>
      <w:spacing w:after="0"/>
      <w:ind w:left="720"/>
    </w:pPr>
    <w:rPr>
      <w:rFonts w:asciiTheme="minorHAnsi" w:hAnsiTheme="minorHAnsi"/>
      <w:sz w:val="20"/>
      <w:szCs w:val="20"/>
    </w:rPr>
  </w:style>
  <w:style w:type="paragraph" w:styleId="Spistreci5">
    <w:name w:val="toc 5"/>
    <w:basedOn w:val="Normalny"/>
    <w:next w:val="Normalny"/>
    <w:autoRedefine/>
    <w:uiPriority w:val="39"/>
    <w:rsid w:val="0005410E"/>
    <w:pPr>
      <w:spacing w:after="0"/>
      <w:ind w:left="960"/>
    </w:pPr>
    <w:rPr>
      <w:rFonts w:asciiTheme="minorHAnsi" w:hAnsiTheme="minorHAnsi"/>
      <w:sz w:val="20"/>
      <w:szCs w:val="20"/>
    </w:rPr>
  </w:style>
  <w:style w:type="paragraph" w:styleId="Spistreci6">
    <w:name w:val="toc 6"/>
    <w:basedOn w:val="Normalny"/>
    <w:next w:val="Normalny"/>
    <w:autoRedefine/>
    <w:uiPriority w:val="39"/>
    <w:rsid w:val="0005410E"/>
    <w:pPr>
      <w:spacing w:after="0"/>
      <w:ind w:left="1200"/>
    </w:pPr>
    <w:rPr>
      <w:rFonts w:asciiTheme="minorHAnsi" w:hAnsiTheme="minorHAnsi"/>
      <w:sz w:val="20"/>
      <w:szCs w:val="20"/>
    </w:rPr>
  </w:style>
  <w:style w:type="paragraph" w:styleId="Spistreci7">
    <w:name w:val="toc 7"/>
    <w:basedOn w:val="Normalny"/>
    <w:next w:val="Normalny"/>
    <w:autoRedefine/>
    <w:uiPriority w:val="39"/>
    <w:rsid w:val="0005410E"/>
    <w:pPr>
      <w:spacing w:after="0"/>
      <w:ind w:left="1440"/>
    </w:pPr>
    <w:rPr>
      <w:rFonts w:asciiTheme="minorHAnsi" w:hAnsiTheme="minorHAnsi"/>
      <w:sz w:val="20"/>
      <w:szCs w:val="20"/>
    </w:rPr>
  </w:style>
  <w:style w:type="paragraph" w:styleId="Spistreci8">
    <w:name w:val="toc 8"/>
    <w:basedOn w:val="Normalny"/>
    <w:next w:val="Normalny"/>
    <w:autoRedefine/>
    <w:uiPriority w:val="39"/>
    <w:rsid w:val="0005410E"/>
    <w:pPr>
      <w:spacing w:after="0"/>
      <w:ind w:left="1680"/>
    </w:pPr>
    <w:rPr>
      <w:rFonts w:asciiTheme="minorHAnsi" w:hAnsiTheme="minorHAnsi"/>
      <w:sz w:val="20"/>
      <w:szCs w:val="20"/>
    </w:rPr>
  </w:style>
  <w:style w:type="paragraph" w:styleId="Spistreci9">
    <w:name w:val="toc 9"/>
    <w:basedOn w:val="Normalny"/>
    <w:next w:val="Normalny"/>
    <w:autoRedefine/>
    <w:uiPriority w:val="39"/>
    <w:rsid w:val="0005410E"/>
    <w:pPr>
      <w:spacing w:after="0"/>
      <w:ind w:left="1920"/>
    </w:pPr>
    <w:rPr>
      <w:rFonts w:asciiTheme="minorHAnsi" w:hAnsiTheme="minorHAnsi"/>
      <w:sz w:val="20"/>
      <w:szCs w:val="20"/>
    </w:rPr>
  </w:style>
  <w:style w:type="paragraph" w:customStyle="1" w:styleId="ZnakZnakZnak13">
    <w:name w:val="Znak Znak Znak13"/>
    <w:basedOn w:val="Normalny"/>
    <w:rsid w:val="0005410E"/>
    <w:pPr>
      <w:spacing w:after="0" w:line="240" w:lineRule="auto"/>
    </w:pPr>
    <w:rPr>
      <w:szCs w:val="24"/>
    </w:rPr>
  </w:style>
  <w:style w:type="paragraph" w:styleId="Legenda">
    <w:name w:val="caption"/>
    <w:basedOn w:val="Normalny"/>
    <w:next w:val="Normalny"/>
    <w:unhideWhenUsed/>
    <w:qFormat/>
    <w:rsid w:val="0005410E"/>
    <w:pPr>
      <w:spacing w:line="240" w:lineRule="auto"/>
    </w:pPr>
    <w:rPr>
      <w:b/>
      <w:bCs/>
      <w:color w:val="4F81BD"/>
      <w:sz w:val="18"/>
      <w:szCs w:val="18"/>
    </w:rPr>
  </w:style>
  <w:style w:type="paragraph" w:styleId="Spisilustracji">
    <w:name w:val="table of figures"/>
    <w:basedOn w:val="Normalny"/>
    <w:next w:val="Normalny"/>
    <w:uiPriority w:val="99"/>
    <w:rsid w:val="0005410E"/>
    <w:pPr>
      <w:spacing w:after="0"/>
    </w:pPr>
    <w:rPr>
      <w:rFonts w:asciiTheme="minorHAnsi" w:hAnsiTheme="minorHAnsi"/>
      <w:i/>
      <w:iCs/>
      <w:sz w:val="20"/>
      <w:szCs w:val="20"/>
    </w:rPr>
  </w:style>
  <w:style w:type="character" w:customStyle="1" w:styleId="tekst">
    <w:name w:val="tekst"/>
    <w:basedOn w:val="Domylnaczcionkaakapitu"/>
    <w:rsid w:val="0005410E"/>
  </w:style>
  <w:style w:type="table" w:styleId="Tabela-Elegancki">
    <w:name w:val="Table Elegant"/>
    <w:basedOn w:val="Standardowy"/>
    <w:rsid w:val="0005410E"/>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Efekty3W3">
    <w:name w:val="Table 3D effects 3"/>
    <w:basedOn w:val="Standardowy"/>
    <w:rsid w:val="0005410E"/>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05410E"/>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05410E"/>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Delikatny2">
    <w:name w:val="Table Subtle 2"/>
    <w:basedOn w:val="Standardowy"/>
    <w:rsid w:val="0005410E"/>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05410E"/>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4">
    <w:name w:val="Table Classic 4"/>
    <w:basedOn w:val="Standardowy"/>
    <w:rsid w:val="0005410E"/>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olorowasiatkaakcent3">
    <w:name w:val="Colorful Grid Accent 3"/>
    <w:basedOn w:val="Standardowy"/>
    <w:uiPriority w:val="73"/>
    <w:rsid w:val="0005410E"/>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lorowecieniowanieakcent3">
    <w:name w:val="Colorful Shading Accent 3"/>
    <w:basedOn w:val="Standardowy"/>
    <w:uiPriority w:val="71"/>
    <w:rsid w:val="0005410E"/>
    <w:rPr>
      <w:rFonts w:ascii="Times New Roman" w:eastAsia="Times New Roman" w:hAnsi="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dniasiatka3akcent3">
    <w:name w:val="Medium Grid 3 Accent 3"/>
    <w:basedOn w:val="Standardowy"/>
    <w:uiPriority w:val="69"/>
    <w:rsid w:val="0005410E"/>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Jasnasiatkaakcent3">
    <w:name w:val="Light Grid Accent 3"/>
    <w:basedOn w:val="Standardowy"/>
    <w:uiPriority w:val="62"/>
    <w:rsid w:val="0005410E"/>
    <w:rPr>
      <w:rFonts w:ascii="Times New Roman" w:eastAsia="Times New Roman" w:hAnsi="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ZnakZnakZnak12">
    <w:name w:val="Znak Znak Znak12"/>
    <w:basedOn w:val="Normalny"/>
    <w:rsid w:val="0005410E"/>
    <w:pPr>
      <w:spacing w:after="0" w:line="240" w:lineRule="auto"/>
    </w:pPr>
    <w:rPr>
      <w:szCs w:val="24"/>
    </w:rPr>
  </w:style>
  <w:style w:type="paragraph" w:customStyle="1" w:styleId="NSRO">
    <w:name w:val="NSRO"/>
    <w:basedOn w:val="Normalny"/>
    <w:rsid w:val="0005410E"/>
    <w:pPr>
      <w:spacing w:before="240" w:after="240" w:line="240" w:lineRule="auto"/>
      <w:jc w:val="both"/>
    </w:pPr>
    <w:rPr>
      <w:szCs w:val="20"/>
    </w:rPr>
  </w:style>
  <w:style w:type="paragraph" w:customStyle="1" w:styleId="ZnakZnak">
    <w:name w:val="Znak Znak"/>
    <w:basedOn w:val="Normalny"/>
    <w:rsid w:val="0005410E"/>
    <w:pPr>
      <w:spacing w:after="0" w:line="360" w:lineRule="auto"/>
      <w:jc w:val="both"/>
    </w:pPr>
    <w:rPr>
      <w:rFonts w:ascii="Verdana" w:hAnsi="Verdana"/>
      <w:sz w:val="20"/>
      <w:szCs w:val="20"/>
    </w:rPr>
  </w:style>
  <w:style w:type="paragraph" w:customStyle="1" w:styleId="Styl12ptWyjustowanyPrzed6ptPo6pt">
    <w:name w:val="Styl 12 pt Wyjustowany Przed:  6 pt Po:  6 pt"/>
    <w:basedOn w:val="Normalny"/>
    <w:rsid w:val="0005410E"/>
    <w:pPr>
      <w:spacing w:before="120" w:after="60" w:line="240" w:lineRule="auto"/>
      <w:jc w:val="both"/>
    </w:pPr>
    <w:rPr>
      <w:szCs w:val="20"/>
    </w:rPr>
  </w:style>
  <w:style w:type="paragraph" w:customStyle="1" w:styleId="Pa10">
    <w:name w:val="Pa10"/>
    <w:basedOn w:val="Normalny"/>
    <w:next w:val="Normalny"/>
    <w:rsid w:val="0005410E"/>
    <w:pPr>
      <w:autoSpaceDE w:val="0"/>
      <w:autoSpaceDN w:val="0"/>
      <w:adjustRightInd w:val="0"/>
      <w:spacing w:after="220" w:line="211" w:lineRule="atLeast"/>
    </w:pPr>
    <w:rPr>
      <w:szCs w:val="24"/>
    </w:rPr>
  </w:style>
  <w:style w:type="paragraph" w:customStyle="1" w:styleId="tekstPOKL">
    <w:name w:val="tekst_POKL"/>
    <w:basedOn w:val="Normalny"/>
    <w:link w:val="tekstPOKLZnak"/>
    <w:rsid w:val="0005410E"/>
    <w:pPr>
      <w:spacing w:after="120" w:line="240" w:lineRule="auto"/>
      <w:ind w:firstLine="709"/>
      <w:jc w:val="both"/>
    </w:pPr>
    <w:rPr>
      <w:iCs/>
      <w:spacing w:val="2"/>
      <w:sz w:val="22"/>
    </w:rPr>
  </w:style>
  <w:style w:type="character" w:customStyle="1" w:styleId="tekstPOKLZnak">
    <w:name w:val="tekst_POKL Znak"/>
    <w:basedOn w:val="Domylnaczcionkaakapitu"/>
    <w:link w:val="tekstPOKL"/>
    <w:rsid w:val="0005410E"/>
    <w:rPr>
      <w:rFonts w:ascii="Times New Roman" w:eastAsia="Times New Roman" w:hAnsi="Times New Roman" w:cs="Times New Roman"/>
      <w:iCs/>
      <w:spacing w:val="2"/>
      <w:lang w:eastAsia="pl-PL"/>
    </w:rPr>
  </w:style>
  <w:style w:type="character" w:styleId="UyteHipercze">
    <w:name w:val="FollowedHyperlink"/>
    <w:basedOn w:val="Domylnaczcionkaakapitu"/>
    <w:uiPriority w:val="99"/>
    <w:unhideWhenUsed/>
    <w:rsid w:val="0005410E"/>
    <w:rPr>
      <w:color w:val="800080"/>
      <w:u w:val="single"/>
    </w:rPr>
  </w:style>
  <w:style w:type="paragraph" w:customStyle="1" w:styleId="font5">
    <w:name w:val="font5"/>
    <w:basedOn w:val="Normalny"/>
    <w:rsid w:val="0005410E"/>
    <w:pPr>
      <w:spacing w:before="100" w:beforeAutospacing="1" w:after="100" w:afterAutospacing="1" w:line="240" w:lineRule="auto"/>
    </w:pPr>
    <w:rPr>
      <w:color w:val="000000"/>
      <w:sz w:val="20"/>
      <w:szCs w:val="20"/>
    </w:rPr>
  </w:style>
  <w:style w:type="paragraph" w:customStyle="1" w:styleId="font6">
    <w:name w:val="font6"/>
    <w:basedOn w:val="Normalny"/>
    <w:rsid w:val="0005410E"/>
    <w:pPr>
      <w:spacing w:before="100" w:beforeAutospacing="1" w:after="100" w:afterAutospacing="1" w:line="240" w:lineRule="auto"/>
    </w:pPr>
    <w:rPr>
      <w:color w:val="000000"/>
      <w:sz w:val="20"/>
      <w:szCs w:val="20"/>
    </w:rPr>
  </w:style>
  <w:style w:type="paragraph" w:customStyle="1" w:styleId="xl65">
    <w:name w:val="xl65"/>
    <w:basedOn w:val="Normalny"/>
    <w:rsid w:val="000541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b/>
      <w:bCs/>
      <w:color w:val="000000"/>
      <w:sz w:val="20"/>
      <w:szCs w:val="20"/>
    </w:rPr>
  </w:style>
  <w:style w:type="paragraph" w:customStyle="1" w:styleId="xl66">
    <w:name w:val="xl66"/>
    <w:basedOn w:val="Normalny"/>
    <w:rsid w:val="00054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0"/>
      <w:szCs w:val="20"/>
    </w:rPr>
  </w:style>
  <w:style w:type="paragraph" w:customStyle="1" w:styleId="xl67">
    <w:name w:val="xl67"/>
    <w:basedOn w:val="Normalny"/>
    <w:rsid w:val="00054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0000"/>
      <w:sz w:val="20"/>
      <w:szCs w:val="20"/>
    </w:rPr>
  </w:style>
  <w:style w:type="paragraph" w:customStyle="1" w:styleId="xl68">
    <w:name w:val="xl68"/>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0"/>
      <w:szCs w:val="20"/>
    </w:rPr>
  </w:style>
  <w:style w:type="paragraph" w:customStyle="1" w:styleId="xl69">
    <w:name w:val="xl69"/>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0">
    <w:name w:val="xl70"/>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rPr>
  </w:style>
  <w:style w:type="paragraph" w:customStyle="1" w:styleId="xl71">
    <w:name w:val="xl71"/>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2">
    <w:name w:val="xl72"/>
    <w:basedOn w:val="Normalny"/>
    <w:rsid w:val="000541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sz w:val="20"/>
      <w:szCs w:val="20"/>
    </w:rPr>
  </w:style>
  <w:style w:type="paragraph" w:customStyle="1" w:styleId="xl73">
    <w:name w:val="xl73"/>
    <w:basedOn w:val="Normalny"/>
    <w:rsid w:val="0005410E"/>
    <w:pPr>
      <w:pBdr>
        <w:top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4">
    <w:name w:val="xl74"/>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0"/>
      <w:szCs w:val="20"/>
    </w:rPr>
  </w:style>
  <w:style w:type="paragraph" w:customStyle="1" w:styleId="xl75">
    <w:name w:val="xl75"/>
    <w:basedOn w:val="Normalny"/>
    <w:rsid w:val="0005410E"/>
    <w:pPr>
      <w:pBdr>
        <w:top w:val="single" w:sz="4" w:space="0" w:color="auto"/>
        <w:left w:val="single" w:sz="4" w:space="0" w:color="auto"/>
        <w:bottom w:val="single" w:sz="4" w:space="0" w:color="auto"/>
        <w:right w:val="single" w:sz="4" w:space="0" w:color="auto"/>
      </w:pBdr>
      <w:shd w:val="clear" w:color="C0C0C0" w:fill="D7E4BC"/>
      <w:spacing w:before="100" w:beforeAutospacing="1" w:after="100" w:afterAutospacing="1" w:line="240" w:lineRule="auto"/>
      <w:jc w:val="center"/>
      <w:textAlignment w:val="center"/>
    </w:pPr>
    <w:rPr>
      <w:rFonts w:ascii="Arial" w:hAnsi="Arial" w:cs="Arial"/>
      <w:b/>
      <w:bCs/>
      <w:sz w:val="20"/>
      <w:szCs w:val="20"/>
    </w:rPr>
  </w:style>
  <w:style w:type="paragraph" w:customStyle="1" w:styleId="xl76">
    <w:name w:val="xl76"/>
    <w:basedOn w:val="Normalny"/>
    <w:rsid w:val="0005410E"/>
    <w:pPr>
      <w:pBdr>
        <w:top w:val="single" w:sz="4" w:space="0" w:color="auto"/>
        <w:left w:val="single" w:sz="4" w:space="0" w:color="auto"/>
        <w:bottom w:val="single" w:sz="4" w:space="0" w:color="auto"/>
        <w:right w:val="single" w:sz="4" w:space="0" w:color="auto"/>
      </w:pBdr>
      <w:shd w:val="clear" w:color="C0C0C0" w:fill="92D050"/>
      <w:spacing w:before="100" w:beforeAutospacing="1" w:after="100" w:afterAutospacing="1" w:line="240" w:lineRule="auto"/>
      <w:jc w:val="center"/>
      <w:textAlignment w:val="center"/>
    </w:pPr>
    <w:rPr>
      <w:rFonts w:ascii="Arial" w:hAnsi="Arial" w:cs="Arial"/>
      <w:b/>
      <w:bCs/>
      <w:sz w:val="20"/>
      <w:szCs w:val="20"/>
    </w:rPr>
  </w:style>
  <w:style w:type="paragraph" w:customStyle="1" w:styleId="xl77">
    <w:name w:val="xl77"/>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0"/>
      <w:szCs w:val="20"/>
    </w:rPr>
  </w:style>
  <w:style w:type="paragraph" w:customStyle="1" w:styleId="xl78">
    <w:name w:val="xl78"/>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rPr>
  </w:style>
  <w:style w:type="paragraph" w:customStyle="1" w:styleId="xl79">
    <w:name w:val="xl79"/>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0"/>
      <w:szCs w:val="20"/>
    </w:rPr>
  </w:style>
  <w:style w:type="paragraph" w:customStyle="1" w:styleId="xl80">
    <w:name w:val="xl80"/>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rPr>
  </w:style>
  <w:style w:type="paragraph" w:customStyle="1" w:styleId="xl81">
    <w:name w:val="xl81"/>
    <w:basedOn w:val="Normalny"/>
    <w:rsid w:val="00054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color w:val="000000"/>
      <w:sz w:val="20"/>
      <w:szCs w:val="20"/>
    </w:rPr>
  </w:style>
  <w:style w:type="paragraph" w:customStyle="1" w:styleId="font7">
    <w:name w:val="font7"/>
    <w:basedOn w:val="Normalny"/>
    <w:rsid w:val="0005410E"/>
    <w:pPr>
      <w:spacing w:before="100" w:beforeAutospacing="1" w:after="100" w:afterAutospacing="1" w:line="240" w:lineRule="auto"/>
    </w:pPr>
    <w:rPr>
      <w:sz w:val="20"/>
      <w:szCs w:val="20"/>
    </w:rPr>
  </w:style>
  <w:style w:type="paragraph" w:customStyle="1" w:styleId="font8">
    <w:name w:val="font8"/>
    <w:basedOn w:val="Normalny"/>
    <w:rsid w:val="0005410E"/>
    <w:pPr>
      <w:spacing w:before="100" w:beforeAutospacing="1" w:after="100" w:afterAutospacing="1" w:line="240" w:lineRule="auto"/>
    </w:pPr>
    <w:rPr>
      <w:sz w:val="18"/>
      <w:szCs w:val="18"/>
    </w:rPr>
  </w:style>
  <w:style w:type="paragraph" w:customStyle="1" w:styleId="xl63">
    <w:name w:val="xl63"/>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rPr>
  </w:style>
  <w:style w:type="paragraph" w:customStyle="1" w:styleId="xl64">
    <w:name w:val="xl64"/>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ZnakZnakZnak11">
    <w:name w:val="Znak Znak Znak11"/>
    <w:basedOn w:val="Normalny"/>
    <w:rsid w:val="0005410E"/>
    <w:pPr>
      <w:spacing w:after="0" w:line="240" w:lineRule="auto"/>
    </w:pPr>
    <w:rPr>
      <w:szCs w:val="24"/>
    </w:rPr>
  </w:style>
  <w:style w:type="character" w:styleId="Uwydatnienie">
    <w:name w:val="Emphasis"/>
    <w:basedOn w:val="Domylnaczcionkaakapitu"/>
    <w:uiPriority w:val="20"/>
    <w:qFormat/>
    <w:rsid w:val="0005410E"/>
    <w:rPr>
      <w:i/>
      <w:iCs/>
    </w:rPr>
  </w:style>
  <w:style w:type="paragraph" w:styleId="Tekstpodstawowywcity">
    <w:name w:val="Body Text Indent"/>
    <w:basedOn w:val="Normalny"/>
    <w:link w:val="TekstpodstawowywcityZnak"/>
    <w:rsid w:val="0005410E"/>
    <w:pPr>
      <w:spacing w:after="120"/>
      <w:ind w:left="283"/>
    </w:pPr>
  </w:style>
  <w:style w:type="character" w:customStyle="1" w:styleId="TekstpodstawowywcityZnak">
    <w:name w:val="Tekst podstawowy wcięty Znak"/>
    <w:basedOn w:val="Domylnaczcionkaakapitu"/>
    <w:link w:val="Tekstpodstawowywcity"/>
    <w:rsid w:val="0005410E"/>
    <w:rPr>
      <w:rFonts w:ascii="Times New Roman" w:eastAsia="Times New Roman" w:hAnsi="Times New Roman" w:cs="Times New Roman"/>
      <w:sz w:val="24"/>
      <w:lang w:eastAsia="pl-PL"/>
    </w:rPr>
  </w:style>
  <w:style w:type="paragraph" w:customStyle="1" w:styleId="ZnakZnakZnak111">
    <w:name w:val="Znak Znak Znak111"/>
    <w:basedOn w:val="Normalny"/>
    <w:rsid w:val="0005410E"/>
    <w:pPr>
      <w:spacing w:after="0" w:line="240" w:lineRule="auto"/>
    </w:pPr>
    <w:rPr>
      <w:szCs w:val="24"/>
    </w:rPr>
  </w:style>
  <w:style w:type="paragraph" w:customStyle="1" w:styleId="ZnakZnakZnak110">
    <w:name w:val="Znak Znak Znak110"/>
    <w:basedOn w:val="Normalny"/>
    <w:rsid w:val="0005410E"/>
    <w:pPr>
      <w:spacing w:after="0" w:line="240" w:lineRule="auto"/>
    </w:pPr>
    <w:rPr>
      <w:szCs w:val="24"/>
    </w:rPr>
  </w:style>
  <w:style w:type="paragraph" w:customStyle="1" w:styleId="ZnakZnakZnak19">
    <w:name w:val="Znak Znak Znak19"/>
    <w:basedOn w:val="Normalny"/>
    <w:rsid w:val="0005410E"/>
    <w:pPr>
      <w:spacing w:after="0" w:line="240" w:lineRule="auto"/>
    </w:pPr>
    <w:rPr>
      <w:szCs w:val="24"/>
    </w:rPr>
  </w:style>
  <w:style w:type="paragraph" w:customStyle="1" w:styleId="ZnakZnakZnak112">
    <w:name w:val="Znak Znak Znak112"/>
    <w:basedOn w:val="Normalny"/>
    <w:rsid w:val="0005410E"/>
    <w:pPr>
      <w:spacing w:after="0" w:line="240" w:lineRule="auto"/>
    </w:pPr>
    <w:rPr>
      <w:szCs w:val="24"/>
    </w:rPr>
  </w:style>
  <w:style w:type="character" w:customStyle="1" w:styleId="apple-style-span">
    <w:name w:val="apple-style-span"/>
    <w:basedOn w:val="Domylnaczcionkaakapitu"/>
    <w:rsid w:val="0005410E"/>
    <w:rPr>
      <w:rFonts w:cs="Times New Roman"/>
    </w:rPr>
  </w:style>
  <w:style w:type="character" w:customStyle="1" w:styleId="BezodstpwZnak">
    <w:name w:val="Bez odstępów Znak"/>
    <w:basedOn w:val="Domylnaczcionkaakapitu"/>
    <w:link w:val="Bezodstpw"/>
    <w:uiPriority w:val="1"/>
    <w:rsid w:val="0005410E"/>
    <w:rPr>
      <w:sz w:val="22"/>
      <w:szCs w:val="22"/>
      <w:lang w:val="pl-PL" w:eastAsia="en-US" w:bidi="ar-SA"/>
    </w:rPr>
  </w:style>
  <w:style w:type="paragraph" w:styleId="Tytu">
    <w:name w:val="Title"/>
    <w:basedOn w:val="Normalny"/>
    <w:next w:val="Podtytu"/>
    <w:link w:val="TytuZnak"/>
    <w:uiPriority w:val="99"/>
    <w:qFormat/>
    <w:rsid w:val="0005410E"/>
    <w:pPr>
      <w:spacing w:before="240" w:after="60" w:line="240" w:lineRule="auto"/>
      <w:jc w:val="center"/>
      <w:outlineLvl w:val="0"/>
    </w:pPr>
    <w:rPr>
      <w:rFonts w:ascii="Arial" w:hAnsi="Arial" w:cs="Arial"/>
      <w:b/>
      <w:bCs/>
      <w:kern w:val="28"/>
      <w:sz w:val="32"/>
      <w:szCs w:val="32"/>
      <w:lang w:val="en-GB" w:eastAsia="en-GB"/>
    </w:rPr>
  </w:style>
  <w:style w:type="character" w:customStyle="1" w:styleId="TytuZnak">
    <w:name w:val="Tytuł Znak"/>
    <w:basedOn w:val="Domylnaczcionkaakapitu"/>
    <w:link w:val="Tytu"/>
    <w:uiPriority w:val="99"/>
    <w:rsid w:val="0005410E"/>
    <w:rPr>
      <w:rFonts w:ascii="Arial" w:eastAsia="Times New Roman" w:hAnsi="Arial" w:cs="Arial"/>
      <w:b/>
      <w:bCs/>
      <w:kern w:val="28"/>
      <w:sz w:val="32"/>
      <w:szCs w:val="32"/>
      <w:lang w:val="en-GB" w:eastAsia="en-GB"/>
    </w:rPr>
  </w:style>
  <w:style w:type="paragraph" w:customStyle="1" w:styleId="Tytu2LTGliederung2">
    <w:name w:val="Tytu?2~LT~Gliederung 2"/>
    <w:basedOn w:val="Normalny"/>
    <w:rsid w:val="00F848CF"/>
    <w:pPr>
      <w:widowControl w:val="0"/>
      <w:tabs>
        <w:tab w:val="left" w:pos="270"/>
        <w:tab w:val="left" w:pos="900"/>
        <w:tab w:val="left" w:pos="1710"/>
        <w:tab w:val="left" w:pos="2340"/>
        <w:tab w:val="left" w:pos="3150"/>
        <w:tab w:val="left" w:pos="3780"/>
        <w:tab w:val="left" w:pos="4590"/>
        <w:tab w:val="left" w:pos="5220"/>
        <w:tab w:val="left" w:pos="6030"/>
        <w:tab w:val="left" w:pos="6660"/>
        <w:tab w:val="left" w:pos="7470"/>
        <w:tab w:val="left" w:pos="8100"/>
        <w:tab w:val="left" w:pos="8910"/>
        <w:tab w:val="left" w:pos="9540"/>
        <w:tab w:val="left" w:pos="10350"/>
        <w:tab w:val="left" w:pos="10980"/>
        <w:tab w:val="left" w:pos="11790"/>
        <w:tab w:val="left" w:pos="12420"/>
        <w:tab w:val="left" w:pos="13230"/>
        <w:tab w:val="left" w:pos="13860"/>
        <w:tab w:val="left" w:pos="14670"/>
        <w:tab w:val="left" w:pos="15300"/>
      </w:tabs>
      <w:suppressAutoHyphens/>
      <w:autoSpaceDE w:val="0"/>
      <w:spacing w:before="100" w:after="0" w:line="240" w:lineRule="auto"/>
    </w:pPr>
    <w:rPr>
      <w:rFonts w:ascii="Tahoma" w:eastAsia="Tahoma" w:hAnsi="Tahoma"/>
      <w:color w:val="000099"/>
      <w:kern w:val="1"/>
      <w:sz w:val="40"/>
      <w:szCs w:val="40"/>
      <w:lang w:eastAsia="ar-SA"/>
    </w:rPr>
  </w:style>
  <w:style w:type="paragraph" w:styleId="Poprawka">
    <w:name w:val="Revision"/>
    <w:hidden/>
    <w:uiPriority w:val="99"/>
    <w:semiHidden/>
    <w:rsid w:val="00FD6CA5"/>
    <w:rPr>
      <w:rFonts w:ascii="Times New Roman" w:eastAsia="Times New Roman" w:hAnsi="Times New Roman"/>
      <w:sz w:val="24"/>
      <w:szCs w:val="22"/>
    </w:rPr>
  </w:style>
  <w:style w:type="table" w:customStyle="1" w:styleId="Jasnasiatka1">
    <w:name w:val="Jasna siatka1"/>
    <w:basedOn w:val="Standardowy"/>
    <w:uiPriority w:val="62"/>
    <w:rsid w:val="00BF515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lista11">
    <w:name w:val="Średnia lista 11"/>
    <w:basedOn w:val="Standardowy"/>
    <w:uiPriority w:val="65"/>
    <w:rsid w:val="00BF5159"/>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ecieniowanie11">
    <w:name w:val="Średnie cieniowanie 11"/>
    <w:basedOn w:val="Standardowy"/>
    <w:uiPriority w:val="63"/>
    <w:rsid w:val="00F73D1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4">
    <w:name w:val="Light Grid Accent 4"/>
    <w:basedOn w:val="Standardowy"/>
    <w:uiPriority w:val="62"/>
    <w:rsid w:val="00596F67"/>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paragraph" w:customStyle="1" w:styleId="bodytext">
    <w:name w:val="bodytext"/>
    <w:basedOn w:val="Normalny"/>
    <w:rsid w:val="007F5022"/>
    <w:pPr>
      <w:spacing w:before="100" w:beforeAutospacing="1" w:after="100" w:afterAutospacing="1" w:line="240" w:lineRule="auto"/>
    </w:pPr>
    <w:rPr>
      <w:szCs w:val="24"/>
    </w:rPr>
  </w:style>
  <w:style w:type="paragraph" w:customStyle="1" w:styleId="PRZYPISIKI">
    <w:name w:val="PRZYPISIKI"/>
    <w:basedOn w:val="Tekstprzypisudolnego"/>
    <w:link w:val="PRZYPISIKIZnak"/>
    <w:autoRedefine/>
    <w:rsid w:val="001C165F"/>
    <w:pPr>
      <w:spacing w:after="0" w:line="240" w:lineRule="auto"/>
      <w:jc w:val="both"/>
    </w:pPr>
    <w:rPr>
      <w:sz w:val="18"/>
      <w:szCs w:val="18"/>
    </w:rPr>
  </w:style>
  <w:style w:type="character" w:customStyle="1" w:styleId="PRZYPISIKIZnak">
    <w:name w:val="PRZYPISIKI Znak"/>
    <w:basedOn w:val="Domylnaczcionkaakapitu"/>
    <w:link w:val="PRZYPISIKI"/>
    <w:rsid w:val="001C165F"/>
    <w:rPr>
      <w:rFonts w:ascii="Times New Roman" w:eastAsia="Times New Roman" w:hAnsi="Times New Roman"/>
      <w:sz w:val="18"/>
      <w:szCs w:val="18"/>
    </w:rPr>
  </w:style>
  <w:style w:type="paragraph" w:customStyle="1" w:styleId="TEKST0">
    <w:name w:val="TEKST"/>
    <w:basedOn w:val="Normalny"/>
    <w:next w:val="Normalny"/>
    <w:link w:val="TEKSTZnak"/>
    <w:rsid w:val="001C165F"/>
    <w:pPr>
      <w:spacing w:after="120" w:line="280" w:lineRule="exact"/>
      <w:jc w:val="both"/>
    </w:pPr>
    <w:rPr>
      <w:sz w:val="22"/>
    </w:rPr>
  </w:style>
  <w:style w:type="character" w:customStyle="1" w:styleId="TEKSTZnak">
    <w:name w:val="TEKST Znak"/>
    <w:basedOn w:val="Domylnaczcionkaakapitu"/>
    <w:link w:val="TEKST0"/>
    <w:rsid w:val="001C165F"/>
    <w:rPr>
      <w:rFonts w:ascii="Times New Roman" w:eastAsia="Times New Roman" w:hAnsi="Times New Roman"/>
      <w:sz w:val="22"/>
      <w:szCs w:val="22"/>
    </w:rPr>
  </w:style>
  <w:style w:type="character" w:customStyle="1" w:styleId="WW8Num3z3">
    <w:name w:val="WW8Num3z3"/>
    <w:rsid w:val="001C165F"/>
    <w:rPr>
      <w:rFonts w:ascii="Symbol" w:hAnsi="Symbol"/>
    </w:rPr>
  </w:style>
  <w:style w:type="table" w:styleId="Jasnecieniowanieakcent5">
    <w:name w:val="Light Shading Accent 5"/>
    <w:basedOn w:val="Standardowy"/>
    <w:uiPriority w:val="60"/>
    <w:rsid w:val="001C165F"/>
    <w:rPr>
      <w:rFonts w:ascii="Times New Roman" w:eastAsia="Times New Roman" w:hAnsi="Times New Roman"/>
      <w:color w:val="6D6262" w:themeColor="accent5" w:themeShade="BF"/>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styleId="Jasnasiatkaakcent5">
    <w:name w:val="Light Grid Accent 5"/>
    <w:basedOn w:val="Standardowy"/>
    <w:uiPriority w:val="62"/>
    <w:rsid w:val="001C165F"/>
    <w:rPr>
      <w:rFonts w:asciiTheme="minorHAnsi" w:eastAsia="Times New Roman" w:hAnsiTheme="minorHAnsi"/>
      <w:sz w:val="22"/>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val="0"/>
        <w:bCs/>
        <w:sz w:val="20"/>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paragraph" w:styleId="Mapadokumentu">
    <w:name w:val="Document Map"/>
    <w:basedOn w:val="Normalny"/>
    <w:link w:val="MapadokumentuZnak"/>
    <w:rsid w:val="001C165F"/>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rsid w:val="001C165F"/>
    <w:rPr>
      <w:rFonts w:ascii="Tahoma" w:eastAsia="Times New Roman" w:hAnsi="Tahoma" w:cs="Tahoma"/>
      <w:sz w:val="16"/>
      <w:szCs w:val="16"/>
    </w:rPr>
  </w:style>
  <w:style w:type="table" w:styleId="rednialista1akcent5">
    <w:name w:val="Medium List 1 Accent 5"/>
    <w:basedOn w:val="Standardowy"/>
    <w:uiPriority w:val="65"/>
    <w:rsid w:val="001C165F"/>
    <w:rPr>
      <w:rFonts w:ascii="Times New Roman" w:eastAsia="Times New Roman" w:hAnsi="Times New Roman"/>
      <w:color w:val="000000" w:themeColor="text1"/>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styleId="redniecieniowanie2akcent2">
    <w:name w:val="Medium Shading 2 Accent 2"/>
    <w:basedOn w:val="Standardowy"/>
    <w:uiPriority w:val="64"/>
    <w:rsid w:val="003F4D1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3F4D1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akcent2">
    <w:name w:val="Medium List 1 Accent 2"/>
    <w:basedOn w:val="Standardowy"/>
    <w:uiPriority w:val="65"/>
    <w:rsid w:val="003F4D1A"/>
    <w:rPr>
      <w:color w:val="000000" w:themeColor="text1"/>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redniecieniowanie2akcent3">
    <w:name w:val="Medium Shading 2 Accent 3"/>
    <w:basedOn w:val="Standardowy"/>
    <w:uiPriority w:val="64"/>
    <w:rsid w:val="003901D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3">
    <w:name w:val="Medium Shading 1 Accent 3"/>
    <w:basedOn w:val="Standardowy"/>
    <w:uiPriority w:val="63"/>
    <w:rsid w:val="003901D3"/>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redniecieniowanie2akcent11">
    <w:name w:val="Średnie cieniowanie 2 — akcent 11"/>
    <w:basedOn w:val="Standardowy"/>
    <w:uiPriority w:val="64"/>
    <w:rsid w:val="003901D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4">
    <w:name w:val="Light List Accent 4"/>
    <w:basedOn w:val="Standardowy"/>
    <w:uiPriority w:val="61"/>
    <w:rsid w:val="003901D3"/>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Jasnalistaakcent11">
    <w:name w:val="Jasna lista — akcent 11"/>
    <w:basedOn w:val="Standardowy"/>
    <w:uiPriority w:val="61"/>
    <w:rsid w:val="003901D3"/>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Jasnecieniowanieakcent3">
    <w:name w:val="Light Shading Accent 3"/>
    <w:basedOn w:val="Standardowy"/>
    <w:uiPriority w:val="60"/>
    <w:rsid w:val="00B2140D"/>
    <w:rPr>
      <w:color w:val="7B6A4D" w:themeColor="accent3" w:themeShade="BF"/>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styleId="Jasnecieniowanieakcent6">
    <w:name w:val="Light Shading Accent 6"/>
    <w:basedOn w:val="Standardowy"/>
    <w:uiPriority w:val="60"/>
    <w:rsid w:val="00B2140D"/>
    <w:rPr>
      <w:color w:val="634545" w:themeColor="accent6" w:themeShade="BF"/>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table" w:styleId="Kolorowecieniowanieakcent5">
    <w:name w:val="Colorful Shading Accent 5"/>
    <w:basedOn w:val="Standardowy"/>
    <w:uiPriority w:val="71"/>
    <w:rsid w:val="00E934FA"/>
    <w:rPr>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styleId="redniasiatka3akcent5">
    <w:name w:val="Medium Grid 3 Accent 5"/>
    <w:basedOn w:val="Standardowy"/>
    <w:uiPriority w:val="69"/>
    <w:rsid w:val="00E934F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styleId="redniasiatka2akcent4">
    <w:name w:val="Medium Grid 2 Accent 4"/>
    <w:basedOn w:val="Standardowy"/>
    <w:uiPriority w:val="68"/>
    <w:rsid w:val="00E934FA"/>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styleId="redniasiatka1akcent4">
    <w:name w:val="Medium Grid 1 Accent 4"/>
    <w:basedOn w:val="Standardowy"/>
    <w:uiPriority w:val="67"/>
    <w:rsid w:val="004D1E89"/>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redniasiatka1akcent5">
    <w:name w:val="Medium Grid 1 Accent 5"/>
    <w:basedOn w:val="Standardowy"/>
    <w:uiPriority w:val="67"/>
    <w:rsid w:val="004D1E89"/>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CellMar>
        <w:top w:w="0" w:type="dxa"/>
        <w:left w:w="108" w:type="dxa"/>
        <w:bottom w:w="0" w:type="dxa"/>
        <w:right w:w="108" w:type="dxa"/>
      </w:tblCellMar>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Kolorowasiatkaakcent5">
    <w:name w:val="Colorful Grid Accent 5"/>
    <w:basedOn w:val="Standardowy"/>
    <w:uiPriority w:val="73"/>
    <w:rsid w:val="0082166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rednialista2akcent3">
    <w:name w:val="Medium List 2 Accent 3"/>
    <w:basedOn w:val="Standardowy"/>
    <w:uiPriority w:val="66"/>
    <w:rsid w:val="0082166A"/>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Jasnalistaakcent6">
    <w:name w:val="Light List Accent 6"/>
    <w:basedOn w:val="Standardowy"/>
    <w:uiPriority w:val="61"/>
    <w:rsid w:val="0082166A"/>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Kolorowalistaakcent1">
    <w:name w:val="Colorful List Accent 1"/>
    <w:basedOn w:val="Standardowy"/>
    <w:uiPriority w:val="72"/>
    <w:rsid w:val="0082166A"/>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styleId="redniasiatka2akcent3">
    <w:name w:val="Medium Grid 2 Accent 3"/>
    <w:basedOn w:val="Standardowy"/>
    <w:uiPriority w:val="68"/>
    <w:rsid w:val="0082166A"/>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redniasiatka31">
    <w:name w:val="Średnia siatka 31"/>
    <w:basedOn w:val="Standardowy"/>
    <w:uiPriority w:val="69"/>
    <w:rsid w:val="0082166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Jasnasiatkaakcent6">
    <w:name w:val="Light Grid Accent 6"/>
    <w:basedOn w:val="Standardowy"/>
    <w:uiPriority w:val="62"/>
    <w:rsid w:val="0082166A"/>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customStyle="1" w:styleId="Jasnasiatkaakcent11">
    <w:name w:val="Jasna siatka — akcent 11"/>
    <w:basedOn w:val="Standardowy"/>
    <w:uiPriority w:val="62"/>
    <w:rsid w:val="00685199"/>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redniecieniowanie1akcent6">
    <w:name w:val="Medium Shading 1 Accent 6"/>
    <w:basedOn w:val="Standardowy"/>
    <w:uiPriority w:val="63"/>
    <w:rsid w:val="00E22D5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dniasiatka3akcent6">
    <w:name w:val="Medium Grid 3 Accent 6"/>
    <w:basedOn w:val="Standardowy"/>
    <w:uiPriority w:val="69"/>
    <w:rsid w:val="00E22D5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Jasnalistaakcent12">
    <w:name w:val="Jasna lista — akcent 12"/>
    <w:basedOn w:val="Standardowy"/>
    <w:uiPriority w:val="61"/>
    <w:rsid w:val="00AF4AAC"/>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Jasnasiatkaakcent12">
    <w:name w:val="Jasna siatka — akcent 12"/>
    <w:basedOn w:val="Standardowy"/>
    <w:uiPriority w:val="62"/>
    <w:rsid w:val="00C718AE"/>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Jasnasiatkaakcent2">
    <w:name w:val="Light Grid Accent 2"/>
    <w:basedOn w:val="Standardowy"/>
    <w:uiPriority w:val="62"/>
    <w:rsid w:val="00C718AE"/>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Kolorowalistaakcent2">
    <w:name w:val="Colorful List Accent 2"/>
    <w:basedOn w:val="Standardowy"/>
    <w:uiPriority w:val="72"/>
    <w:rsid w:val="00C718A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Lista">
    <w:name w:val="List"/>
    <w:basedOn w:val="Normalny"/>
    <w:rsid w:val="00BD16A0"/>
    <w:pPr>
      <w:numPr>
        <w:numId w:val="13"/>
      </w:numPr>
      <w:spacing w:before="120" w:after="0" w:line="260" w:lineRule="exact"/>
      <w:jc w:val="both"/>
    </w:pPr>
    <w:rPr>
      <w:sz w:val="22"/>
      <w:szCs w:val="24"/>
    </w:rPr>
  </w:style>
  <w:style w:type="table" w:customStyle="1" w:styleId="Jasnalistaakcent13">
    <w:name w:val="Jasna lista — akcent 13"/>
    <w:basedOn w:val="Standardowy"/>
    <w:uiPriority w:val="61"/>
    <w:rsid w:val="00DE0861"/>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Jasnasiatkaakcent13">
    <w:name w:val="Jasna siatka — akcent 13"/>
    <w:basedOn w:val="Standardowy"/>
    <w:uiPriority w:val="62"/>
    <w:rsid w:val="00DE0861"/>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paragraph" w:customStyle="1" w:styleId="ATytutabeli">
    <w:name w:val="A Tytuł tabeli"/>
    <w:basedOn w:val="Normalny"/>
    <w:rsid w:val="004C7923"/>
    <w:pPr>
      <w:numPr>
        <w:numId w:val="17"/>
      </w:numPr>
      <w:spacing w:after="0" w:line="240" w:lineRule="auto"/>
    </w:pPr>
    <w:rPr>
      <w:szCs w:val="24"/>
    </w:rPr>
  </w:style>
  <w:style w:type="numbering" w:customStyle="1" w:styleId="Styl1">
    <w:name w:val="Styl1"/>
    <w:uiPriority w:val="99"/>
    <w:rsid w:val="0040531D"/>
    <w:pPr>
      <w:numPr>
        <w:numId w:val="18"/>
      </w:numPr>
    </w:pPr>
  </w:style>
  <w:style w:type="numbering" w:customStyle="1" w:styleId="Styl2">
    <w:name w:val="Styl2"/>
    <w:uiPriority w:val="99"/>
    <w:rsid w:val="0040531D"/>
    <w:pPr>
      <w:numPr>
        <w:numId w:val="19"/>
      </w:numPr>
    </w:pPr>
  </w:style>
  <w:style w:type="numbering" w:customStyle="1" w:styleId="Styl3">
    <w:name w:val="Styl3"/>
    <w:uiPriority w:val="99"/>
    <w:rsid w:val="0040531D"/>
    <w:pPr>
      <w:numPr>
        <w:numId w:val="20"/>
      </w:numPr>
    </w:pPr>
  </w:style>
  <w:style w:type="numbering" w:customStyle="1" w:styleId="Styl4">
    <w:name w:val="Styl4"/>
    <w:uiPriority w:val="99"/>
    <w:rsid w:val="00275C5E"/>
    <w:pPr>
      <w:numPr>
        <w:numId w:val="21"/>
      </w:numPr>
    </w:pPr>
  </w:style>
  <w:style w:type="numbering" w:customStyle="1" w:styleId="Styl5">
    <w:name w:val="Styl5"/>
    <w:uiPriority w:val="99"/>
    <w:rsid w:val="00275C5E"/>
    <w:pPr>
      <w:numPr>
        <w:numId w:val="22"/>
      </w:numPr>
    </w:pPr>
  </w:style>
  <w:style w:type="numbering" w:customStyle="1" w:styleId="Styl6">
    <w:name w:val="Styl6"/>
    <w:uiPriority w:val="99"/>
    <w:rsid w:val="00593736"/>
    <w:pPr>
      <w:numPr>
        <w:numId w:val="23"/>
      </w:numPr>
    </w:pPr>
  </w:style>
  <w:style w:type="numbering" w:customStyle="1" w:styleId="Styl7">
    <w:name w:val="Styl7"/>
    <w:uiPriority w:val="99"/>
    <w:rsid w:val="00593736"/>
    <w:pPr>
      <w:numPr>
        <w:numId w:val="24"/>
      </w:numPr>
    </w:pPr>
  </w:style>
  <w:style w:type="numbering" w:customStyle="1" w:styleId="Styl8">
    <w:name w:val="Styl8"/>
    <w:uiPriority w:val="99"/>
    <w:rsid w:val="00A4184E"/>
    <w:pPr>
      <w:numPr>
        <w:numId w:val="26"/>
      </w:numPr>
    </w:pPr>
  </w:style>
  <w:style w:type="character" w:customStyle="1" w:styleId="Nagwek3Znak">
    <w:name w:val="Nagłówek 3 Znak"/>
    <w:basedOn w:val="Domylnaczcionkaakapitu"/>
    <w:link w:val="Nagwek3"/>
    <w:uiPriority w:val="9"/>
    <w:semiHidden/>
    <w:rsid w:val="005562B5"/>
    <w:rPr>
      <w:rFonts w:asciiTheme="majorHAnsi" w:eastAsiaTheme="majorEastAsia" w:hAnsiTheme="majorHAnsi" w:cstheme="majorBidi"/>
      <w:b/>
      <w:bCs/>
      <w:color w:val="D34817" w:themeColor="accent1"/>
      <w:sz w:val="24"/>
      <w:szCs w:val="22"/>
    </w:rPr>
  </w:style>
  <w:style w:type="character" w:customStyle="1" w:styleId="Nagwek4Znak">
    <w:name w:val="Nagłówek 4 Znak"/>
    <w:basedOn w:val="Domylnaczcionkaakapitu"/>
    <w:link w:val="Nagwek4"/>
    <w:uiPriority w:val="9"/>
    <w:semiHidden/>
    <w:rsid w:val="005562B5"/>
    <w:rPr>
      <w:rFonts w:asciiTheme="majorHAnsi" w:eastAsiaTheme="majorEastAsia" w:hAnsiTheme="majorHAnsi" w:cstheme="majorBidi"/>
      <w:b/>
      <w:bCs/>
      <w:i/>
      <w:iCs/>
      <w:color w:val="D34817" w:themeColor="accent1"/>
      <w:sz w:val="24"/>
      <w:szCs w:val="22"/>
    </w:rPr>
  </w:style>
  <w:style w:type="character" w:customStyle="1" w:styleId="Nagwek6Znak">
    <w:name w:val="Nagłówek 6 Znak"/>
    <w:basedOn w:val="Domylnaczcionkaakapitu"/>
    <w:link w:val="Nagwek6"/>
    <w:uiPriority w:val="9"/>
    <w:semiHidden/>
    <w:rsid w:val="005562B5"/>
    <w:rPr>
      <w:rFonts w:asciiTheme="majorHAnsi" w:eastAsiaTheme="majorEastAsia" w:hAnsiTheme="majorHAnsi" w:cstheme="majorBidi"/>
      <w:i/>
      <w:iCs/>
      <w:color w:val="68230B" w:themeColor="accent1" w:themeShade="7F"/>
      <w:sz w:val="24"/>
      <w:szCs w:val="22"/>
    </w:rPr>
  </w:style>
  <w:style w:type="character" w:customStyle="1" w:styleId="Nagwek8Znak">
    <w:name w:val="Nagłówek 8 Znak"/>
    <w:basedOn w:val="Domylnaczcionkaakapitu"/>
    <w:link w:val="Nagwek8"/>
    <w:uiPriority w:val="9"/>
    <w:semiHidden/>
    <w:rsid w:val="005562B5"/>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5562B5"/>
    <w:rPr>
      <w:rFonts w:asciiTheme="majorHAnsi" w:eastAsiaTheme="majorEastAsia" w:hAnsiTheme="majorHAnsi" w:cstheme="majorBidi"/>
      <w:i/>
      <w:iCs/>
      <w:color w:val="404040" w:themeColor="text1" w:themeTint="BF"/>
    </w:rPr>
  </w:style>
  <w:style w:type="paragraph" w:customStyle="1" w:styleId="Styl9">
    <w:name w:val="Styl9"/>
    <w:basedOn w:val="Nagwek1"/>
    <w:link w:val="Styl9Znak"/>
    <w:qFormat/>
    <w:rsid w:val="0086470F"/>
    <w:pPr>
      <w:numPr>
        <w:ilvl w:val="1"/>
        <w:numId w:val="27"/>
      </w:numPr>
      <w:tabs>
        <w:tab w:val="left" w:pos="426"/>
      </w:tabs>
      <w:spacing w:before="240" w:after="120"/>
      <w:jc w:val="both"/>
    </w:pPr>
    <w:rPr>
      <w:sz w:val="22"/>
      <w:szCs w:val="22"/>
    </w:rPr>
  </w:style>
  <w:style w:type="numbering" w:customStyle="1" w:styleId="Styl10">
    <w:name w:val="Styl10"/>
    <w:uiPriority w:val="99"/>
    <w:rsid w:val="0039534D"/>
    <w:pPr>
      <w:numPr>
        <w:numId w:val="29"/>
      </w:numPr>
    </w:pPr>
  </w:style>
  <w:style w:type="character" w:customStyle="1" w:styleId="Styl9Znak">
    <w:name w:val="Styl9 Znak"/>
    <w:basedOn w:val="Nagwek1Znak"/>
    <w:link w:val="Styl9"/>
    <w:rsid w:val="0086470F"/>
    <w:rPr>
      <w:rFonts w:ascii="Times New Roman" w:eastAsia="Times New Roman" w:hAnsi="Times New Roman"/>
      <w:b/>
      <w:bCs/>
      <w:sz w:val="22"/>
      <w:szCs w:val="22"/>
    </w:rPr>
  </w:style>
  <w:style w:type="numbering" w:customStyle="1" w:styleId="Styl11">
    <w:name w:val="Styl11"/>
    <w:uiPriority w:val="99"/>
    <w:rsid w:val="005B0882"/>
    <w:pPr>
      <w:numPr>
        <w:numId w:val="31"/>
      </w:numPr>
    </w:pPr>
  </w:style>
  <w:style w:type="numbering" w:customStyle="1" w:styleId="Styl12">
    <w:name w:val="Styl12"/>
    <w:uiPriority w:val="99"/>
    <w:rsid w:val="00EA0E63"/>
    <w:pPr>
      <w:numPr>
        <w:numId w:val="32"/>
      </w:numPr>
    </w:pPr>
  </w:style>
  <w:style w:type="numbering" w:customStyle="1" w:styleId="Styl13">
    <w:name w:val="Styl13"/>
    <w:uiPriority w:val="99"/>
    <w:rsid w:val="00AF2932"/>
    <w:pPr>
      <w:numPr>
        <w:numId w:val="33"/>
      </w:numPr>
    </w:pPr>
  </w:style>
  <w:style w:type="numbering" w:customStyle="1" w:styleId="Styl14">
    <w:name w:val="Styl14"/>
    <w:uiPriority w:val="99"/>
    <w:rsid w:val="0074681F"/>
    <w:pPr>
      <w:numPr>
        <w:numId w:val="37"/>
      </w:numPr>
    </w:pPr>
  </w:style>
  <w:style w:type="table" w:styleId="Jasnecieniowanieakcent2">
    <w:name w:val="Light Shading Accent 2"/>
    <w:basedOn w:val="Standardowy"/>
    <w:uiPriority w:val="60"/>
    <w:rsid w:val="00302693"/>
    <w:rPr>
      <w:color w:val="732117" w:themeColor="accent2" w:themeShade="BF"/>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redniecieniowanie2akcent12">
    <w:name w:val="Średnie cieniowanie 2 — akcent 12"/>
    <w:basedOn w:val="Standardowy"/>
    <w:uiPriority w:val="64"/>
    <w:rsid w:val="0030269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1">
    <w:name w:val="Średnie cieniowanie 21"/>
    <w:basedOn w:val="Standardowy"/>
    <w:uiPriority w:val="64"/>
    <w:rsid w:val="0030269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lorowecieniowanieakcent1">
    <w:name w:val="Colorful Shading Accent 1"/>
    <w:basedOn w:val="Standardowy"/>
    <w:uiPriority w:val="71"/>
    <w:rsid w:val="00302693"/>
    <w:rPr>
      <w:color w:val="000000" w:themeColor="text1"/>
    </w:rPr>
    <w:tblPr>
      <w:tblStyleRowBandSize w:val="1"/>
      <w:tblStyleColBandSize w:val="1"/>
      <w:tblInd w:w="0" w:type="dxa"/>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styleId="Kolorowalistaakcent3">
    <w:name w:val="Colorful List Accent 3"/>
    <w:basedOn w:val="Standardowy"/>
    <w:uiPriority w:val="72"/>
    <w:rsid w:val="0030269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styleId="Kolorowalistaakcent4">
    <w:name w:val="Colorful List Accent 4"/>
    <w:basedOn w:val="Standardowy"/>
    <w:uiPriority w:val="72"/>
    <w:rsid w:val="0030269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styleId="Kolorowalistaakcent5">
    <w:name w:val="Colorful List Accent 5"/>
    <w:basedOn w:val="Standardowy"/>
    <w:uiPriority w:val="72"/>
    <w:rsid w:val="0030269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styleId="Kolorowalistaakcent6">
    <w:name w:val="Colorful List Accent 6"/>
    <w:basedOn w:val="Standardowy"/>
    <w:uiPriority w:val="72"/>
    <w:rsid w:val="0030269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Kolorowecieniowanieakcent2">
    <w:name w:val="Colorful Shading Accent 2"/>
    <w:basedOn w:val="Standardowy"/>
    <w:uiPriority w:val="71"/>
    <w:rsid w:val="00302693"/>
    <w:rPr>
      <w:color w:val="000000" w:themeColor="text1"/>
    </w:rPr>
    <w:tblPr>
      <w:tblStyleRowBandSize w:val="1"/>
      <w:tblStyleColBandSize w:val="1"/>
      <w:tblInd w:w="0" w:type="dxa"/>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302693"/>
    <w:rPr>
      <w:color w:val="000000" w:themeColor="text1"/>
    </w:rPr>
    <w:tblPr>
      <w:tblStyleRowBandSize w:val="1"/>
      <w:tblStyleColBandSize w:val="1"/>
      <w:tblInd w:w="0" w:type="dxa"/>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table" w:styleId="redniasiatka3akcent4">
    <w:name w:val="Medium Grid 3 Accent 4"/>
    <w:basedOn w:val="Standardowy"/>
    <w:uiPriority w:val="69"/>
    <w:rsid w:val="00B6485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styleId="redniecieniowanie2akcent6">
    <w:name w:val="Medium Shading 2 Accent 6"/>
    <w:basedOn w:val="Standardowy"/>
    <w:uiPriority w:val="64"/>
    <w:rsid w:val="00B648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B648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3">
    <w:name w:val="Średnie cieniowanie 2 — akcent 13"/>
    <w:basedOn w:val="Standardowy"/>
    <w:uiPriority w:val="64"/>
    <w:rsid w:val="00B648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2">
    <w:name w:val="Średnie cieniowanie 22"/>
    <w:basedOn w:val="Standardowy"/>
    <w:uiPriority w:val="64"/>
    <w:rsid w:val="00B648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listaakcent14">
    <w:name w:val="Jasna lista — akcent 14"/>
    <w:basedOn w:val="Standardowy"/>
    <w:uiPriority w:val="61"/>
    <w:rsid w:val="00580D93"/>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redniasiatka3akcent1">
    <w:name w:val="Medium Grid 3 Accent 1"/>
    <w:basedOn w:val="Standardowy"/>
    <w:uiPriority w:val="69"/>
    <w:rsid w:val="00580D9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styleId="redniasiatka3akcent2">
    <w:name w:val="Medium Grid 3 Accent 2"/>
    <w:basedOn w:val="Standardowy"/>
    <w:uiPriority w:val="69"/>
    <w:rsid w:val="00580D9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styleId="redniasiatka2akcent2">
    <w:name w:val="Medium Grid 2 Accent 2"/>
    <w:basedOn w:val="Standardowy"/>
    <w:uiPriority w:val="68"/>
    <w:rsid w:val="00580D93"/>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580D93"/>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styleId="redniasiatka1akcent3">
    <w:name w:val="Medium Grid 1 Accent 3"/>
    <w:basedOn w:val="Standardowy"/>
    <w:uiPriority w:val="67"/>
    <w:rsid w:val="00672B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CellMar>
        <w:top w:w="0" w:type="dxa"/>
        <w:left w:w="108" w:type="dxa"/>
        <w:bottom w:w="0" w:type="dxa"/>
        <w:right w:w="108" w:type="dxa"/>
      </w:tblCellMar>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paragraph" w:customStyle="1" w:styleId="default0">
    <w:name w:val="default"/>
    <w:basedOn w:val="Normalny"/>
    <w:rsid w:val="005D2D53"/>
    <w:pPr>
      <w:spacing w:before="100" w:beforeAutospacing="1" w:after="100" w:afterAutospacing="1" w:line="240" w:lineRule="auto"/>
    </w:pPr>
    <w:rPr>
      <w:rFonts w:eastAsiaTheme="minorHAns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Classic 4" w:uiPriority="0"/>
    <w:lsdException w:name="Table 3D effects 1" w:uiPriority="0"/>
    <w:lsdException w:name="Table 3D effects 2" w:uiPriority="0"/>
    <w:lsdException w:name="Table 3D effects 3" w:uiPriority="0"/>
    <w:lsdException w:name="Table Elegant" w:uiPriority="0"/>
    <w:lsdException w:name="Table Subtle 1"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mój"/>
    <w:qFormat/>
    <w:rsid w:val="0005410E"/>
    <w:pPr>
      <w:spacing w:after="200" w:line="276" w:lineRule="auto"/>
    </w:pPr>
    <w:rPr>
      <w:rFonts w:ascii="Times New Roman" w:eastAsia="Times New Roman" w:hAnsi="Times New Roman"/>
      <w:sz w:val="24"/>
      <w:szCs w:val="22"/>
    </w:rPr>
  </w:style>
  <w:style w:type="paragraph" w:styleId="Nagwek1">
    <w:name w:val="heading 1"/>
    <w:basedOn w:val="Normalny"/>
    <w:next w:val="Normalny"/>
    <w:link w:val="Nagwek1Znak"/>
    <w:qFormat/>
    <w:rsid w:val="004A2760"/>
    <w:pPr>
      <w:keepNext/>
      <w:keepLines/>
      <w:numPr>
        <w:numId w:val="28"/>
      </w:numPr>
      <w:spacing w:before="480" w:after="0"/>
      <w:outlineLvl w:val="0"/>
    </w:pPr>
    <w:rPr>
      <w:b/>
      <w:bCs/>
      <w:szCs w:val="28"/>
    </w:rPr>
  </w:style>
  <w:style w:type="paragraph" w:styleId="Nagwek2">
    <w:name w:val="heading 2"/>
    <w:basedOn w:val="Normalny"/>
    <w:link w:val="Nagwek2Znak"/>
    <w:uiPriority w:val="9"/>
    <w:qFormat/>
    <w:rsid w:val="0005410E"/>
    <w:pPr>
      <w:numPr>
        <w:ilvl w:val="1"/>
        <w:numId w:val="28"/>
      </w:numPr>
      <w:spacing w:before="100" w:beforeAutospacing="1" w:after="100" w:afterAutospacing="1" w:line="240" w:lineRule="auto"/>
      <w:outlineLvl w:val="1"/>
    </w:pPr>
    <w:rPr>
      <w:b/>
      <w:bCs/>
      <w:sz w:val="36"/>
      <w:szCs w:val="36"/>
    </w:rPr>
  </w:style>
  <w:style w:type="paragraph" w:styleId="Nagwek3">
    <w:name w:val="heading 3"/>
    <w:basedOn w:val="Normalny"/>
    <w:next w:val="Normalny"/>
    <w:link w:val="Nagwek3Znak"/>
    <w:uiPriority w:val="9"/>
    <w:semiHidden/>
    <w:unhideWhenUsed/>
    <w:qFormat/>
    <w:rsid w:val="005562B5"/>
    <w:pPr>
      <w:keepNext/>
      <w:keepLines/>
      <w:numPr>
        <w:ilvl w:val="2"/>
        <w:numId w:val="28"/>
      </w:numPr>
      <w:spacing w:before="200" w:after="0"/>
      <w:outlineLvl w:val="2"/>
    </w:pPr>
    <w:rPr>
      <w:rFonts w:asciiTheme="majorHAnsi" w:eastAsiaTheme="majorEastAsia" w:hAnsiTheme="majorHAnsi" w:cstheme="majorBidi"/>
      <w:b/>
      <w:bCs/>
      <w:color w:val="D34817" w:themeColor="accent1"/>
    </w:rPr>
  </w:style>
  <w:style w:type="paragraph" w:styleId="Nagwek4">
    <w:name w:val="heading 4"/>
    <w:basedOn w:val="Normalny"/>
    <w:next w:val="Normalny"/>
    <w:link w:val="Nagwek4Znak"/>
    <w:uiPriority w:val="9"/>
    <w:semiHidden/>
    <w:unhideWhenUsed/>
    <w:qFormat/>
    <w:rsid w:val="005562B5"/>
    <w:pPr>
      <w:keepNext/>
      <w:keepLines/>
      <w:numPr>
        <w:ilvl w:val="3"/>
        <w:numId w:val="28"/>
      </w:numPr>
      <w:spacing w:before="200" w:after="0"/>
      <w:outlineLvl w:val="3"/>
    </w:pPr>
    <w:rPr>
      <w:rFonts w:asciiTheme="majorHAnsi" w:eastAsiaTheme="majorEastAsia" w:hAnsiTheme="majorHAnsi" w:cstheme="majorBidi"/>
      <w:b/>
      <w:bCs/>
      <w:i/>
      <w:iCs/>
      <w:color w:val="D34817" w:themeColor="accent1"/>
    </w:rPr>
  </w:style>
  <w:style w:type="paragraph" w:styleId="Nagwek5">
    <w:name w:val="heading 5"/>
    <w:basedOn w:val="Normalny"/>
    <w:next w:val="Normalny"/>
    <w:link w:val="Nagwek5Znak"/>
    <w:qFormat/>
    <w:rsid w:val="0005410E"/>
    <w:pPr>
      <w:keepNext/>
      <w:numPr>
        <w:ilvl w:val="4"/>
        <w:numId w:val="28"/>
      </w:numPr>
      <w:spacing w:after="0" w:line="240" w:lineRule="auto"/>
      <w:outlineLvl w:val="4"/>
    </w:pPr>
    <w:rPr>
      <w:noProof/>
      <w:szCs w:val="20"/>
    </w:rPr>
  </w:style>
  <w:style w:type="paragraph" w:styleId="Nagwek6">
    <w:name w:val="heading 6"/>
    <w:basedOn w:val="Normalny"/>
    <w:next w:val="Normalny"/>
    <w:link w:val="Nagwek6Znak"/>
    <w:uiPriority w:val="9"/>
    <w:semiHidden/>
    <w:unhideWhenUsed/>
    <w:qFormat/>
    <w:rsid w:val="005562B5"/>
    <w:pPr>
      <w:keepNext/>
      <w:keepLines/>
      <w:numPr>
        <w:ilvl w:val="5"/>
        <w:numId w:val="28"/>
      </w:numPr>
      <w:spacing w:before="200" w:after="0"/>
      <w:outlineLvl w:val="5"/>
    </w:pPr>
    <w:rPr>
      <w:rFonts w:asciiTheme="majorHAnsi" w:eastAsiaTheme="majorEastAsia" w:hAnsiTheme="majorHAnsi" w:cstheme="majorBidi"/>
      <w:i/>
      <w:iCs/>
      <w:color w:val="68230B" w:themeColor="accent1" w:themeShade="7F"/>
    </w:rPr>
  </w:style>
  <w:style w:type="paragraph" w:styleId="Nagwek7">
    <w:name w:val="heading 7"/>
    <w:basedOn w:val="Normalny"/>
    <w:next w:val="Normalny"/>
    <w:link w:val="Nagwek7Znak"/>
    <w:qFormat/>
    <w:rsid w:val="0005410E"/>
    <w:pPr>
      <w:numPr>
        <w:ilvl w:val="6"/>
        <w:numId w:val="28"/>
      </w:numPr>
      <w:spacing w:before="240" w:after="60" w:line="240" w:lineRule="auto"/>
      <w:outlineLvl w:val="6"/>
    </w:pPr>
    <w:rPr>
      <w:szCs w:val="24"/>
    </w:rPr>
  </w:style>
  <w:style w:type="paragraph" w:styleId="Nagwek8">
    <w:name w:val="heading 8"/>
    <w:basedOn w:val="Normalny"/>
    <w:next w:val="Normalny"/>
    <w:link w:val="Nagwek8Znak"/>
    <w:uiPriority w:val="9"/>
    <w:semiHidden/>
    <w:unhideWhenUsed/>
    <w:qFormat/>
    <w:rsid w:val="005562B5"/>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562B5"/>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A2760"/>
    <w:rPr>
      <w:rFonts w:ascii="Times New Roman" w:eastAsia="Times New Roman" w:hAnsi="Times New Roman"/>
      <w:b/>
      <w:bCs/>
      <w:sz w:val="24"/>
      <w:szCs w:val="28"/>
    </w:rPr>
  </w:style>
  <w:style w:type="character" w:customStyle="1" w:styleId="Nagwek2Znak">
    <w:name w:val="Nagłówek 2 Znak"/>
    <w:basedOn w:val="Domylnaczcionkaakapitu"/>
    <w:link w:val="Nagwek2"/>
    <w:uiPriority w:val="9"/>
    <w:rsid w:val="0005410E"/>
    <w:rPr>
      <w:rFonts w:ascii="Times New Roman" w:eastAsia="Times New Roman" w:hAnsi="Times New Roman"/>
      <w:b/>
      <w:bCs/>
      <w:sz w:val="36"/>
      <w:szCs w:val="36"/>
    </w:rPr>
  </w:style>
  <w:style w:type="character" w:customStyle="1" w:styleId="Nagwek5Znak">
    <w:name w:val="Nagłówek 5 Znak"/>
    <w:basedOn w:val="Domylnaczcionkaakapitu"/>
    <w:link w:val="Nagwek5"/>
    <w:rsid w:val="0005410E"/>
    <w:rPr>
      <w:rFonts w:ascii="Times New Roman" w:eastAsia="Times New Roman" w:hAnsi="Times New Roman"/>
      <w:noProof/>
      <w:sz w:val="24"/>
    </w:rPr>
  </w:style>
  <w:style w:type="character" w:customStyle="1" w:styleId="Nagwek7Znak">
    <w:name w:val="Nagłówek 7 Znak"/>
    <w:basedOn w:val="Domylnaczcionkaakapitu"/>
    <w:link w:val="Nagwek7"/>
    <w:rsid w:val="0005410E"/>
    <w:rPr>
      <w:rFonts w:ascii="Times New Roman" w:eastAsia="Times New Roman" w:hAnsi="Times New Roman"/>
      <w:sz w:val="24"/>
      <w:szCs w:val="24"/>
    </w:rPr>
  </w:style>
  <w:style w:type="paragraph" w:styleId="Nagwek">
    <w:name w:val="header"/>
    <w:basedOn w:val="Normalny"/>
    <w:link w:val="NagwekZnak"/>
    <w:uiPriority w:val="99"/>
    <w:unhideWhenUsed/>
    <w:rsid w:val="0005410E"/>
    <w:pPr>
      <w:tabs>
        <w:tab w:val="center" w:pos="4536"/>
        <w:tab w:val="right" w:pos="9072"/>
      </w:tabs>
    </w:pPr>
  </w:style>
  <w:style w:type="character" w:customStyle="1" w:styleId="NagwekZnak">
    <w:name w:val="Nagłówek Znak"/>
    <w:basedOn w:val="Domylnaczcionkaakapitu"/>
    <w:link w:val="Nagwek"/>
    <w:uiPriority w:val="99"/>
    <w:rsid w:val="0005410E"/>
    <w:rPr>
      <w:rFonts w:ascii="Times New Roman" w:eastAsia="Times New Roman" w:hAnsi="Times New Roman" w:cs="Times New Roman"/>
      <w:sz w:val="24"/>
      <w:lang w:eastAsia="pl-PL"/>
    </w:rPr>
  </w:style>
  <w:style w:type="paragraph" w:styleId="Stopka">
    <w:name w:val="footer"/>
    <w:basedOn w:val="Normalny"/>
    <w:link w:val="StopkaZnak"/>
    <w:uiPriority w:val="99"/>
    <w:unhideWhenUsed/>
    <w:rsid w:val="0005410E"/>
    <w:pPr>
      <w:tabs>
        <w:tab w:val="center" w:pos="4536"/>
        <w:tab w:val="right" w:pos="9072"/>
      </w:tabs>
    </w:pPr>
  </w:style>
  <w:style w:type="character" w:customStyle="1" w:styleId="StopkaZnak">
    <w:name w:val="Stopka Znak"/>
    <w:basedOn w:val="Domylnaczcionkaakapitu"/>
    <w:link w:val="Stopka"/>
    <w:uiPriority w:val="99"/>
    <w:rsid w:val="0005410E"/>
    <w:rPr>
      <w:rFonts w:ascii="Times New Roman" w:eastAsia="Times New Roman" w:hAnsi="Times New Roman" w:cs="Times New Roman"/>
      <w:sz w:val="24"/>
      <w:lang w:eastAsia="pl-PL"/>
    </w:rPr>
  </w:style>
  <w:style w:type="paragraph" w:styleId="Tekstdymka">
    <w:name w:val="Balloon Text"/>
    <w:basedOn w:val="Normalny"/>
    <w:link w:val="TekstdymkaZnak"/>
    <w:semiHidden/>
    <w:unhideWhenUsed/>
    <w:rsid w:val="0005410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05410E"/>
    <w:rPr>
      <w:rFonts w:ascii="Tahoma" w:eastAsia="Times New Roman" w:hAnsi="Tahoma" w:cs="Tahoma"/>
      <w:sz w:val="16"/>
      <w:szCs w:val="16"/>
      <w:lang w:eastAsia="pl-PL"/>
    </w:rPr>
  </w:style>
  <w:style w:type="table" w:styleId="Tabela-Siatka">
    <w:name w:val="Table Grid"/>
    <w:basedOn w:val="Standardowy"/>
    <w:rsid w:val="0005410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nhideWhenUsed/>
    <w:rsid w:val="0005410E"/>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rsid w:val="0005410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reference number,note TESI,SUPERS,EN Footnote Reference,Odwołanie przypisu"/>
    <w:basedOn w:val="Domylnaczcionkaakapitu"/>
    <w:semiHidden/>
    <w:unhideWhenUsed/>
    <w:rsid w:val="0005410E"/>
    <w:rPr>
      <w:vertAlign w:val="superscript"/>
    </w:rPr>
  </w:style>
  <w:style w:type="paragraph" w:styleId="Tekstkomentarza">
    <w:name w:val="annotation text"/>
    <w:basedOn w:val="Normalny"/>
    <w:link w:val="TekstkomentarzaZnak"/>
    <w:semiHidden/>
    <w:rsid w:val="0005410E"/>
    <w:pPr>
      <w:spacing w:after="0" w:line="240" w:lineRule="auto"/>
    </w:pPr>
    <w:rPr>
      <w:sz w:val="20"/>
      <w:szCs w:val="20"/>
    </w:rPr>
  </w:style>
  <w:style w:type="character" w:customStyle="1" w:styleId="TekstkomentarzaZnak">
    <w:name w:val="Tekst komentarza Znak"/>
    <w:basedOn w:val="Domylnaczcionkaakapitu"/>
    <w:link w:val="Tekstkomentarza"/>
    <w:semiHidden/>
    <w:rsid w:val="0005410E"/>
    <w:rPr>
      <w:rFonts w:ascii="Times New Roman" w:eastAsia="Times New Roman" w:hAnsi="Times New Roman" w:cs="Times New Roman"/>
      <w:sz w:val="20"/>
      <w:szCs w:val="20"/>
      <w:lang w:eastAsia="pl-PL"/>
    </w:rPr>
  </w:style>
  <w:style w:type="paragraph" w:styleId="NormalnyWeb">
    <w:name w:val="Normal (Web)"/>
    <w:basedOn w:val="Normalny"/>
    <w:uiPriority w:val="99"/>
    <w:unhideWhenUsed/>
    <w:rsid w:val="0005410E"/>
    <w:rPr>
      <w:szCs w:val="24"/>
    </w:rPr>
  </w:style>
  <w:style w:type="paragraph" w:customStyle="1" w:styleId="ZnakZnakZnak1">
    <w:name w:val="Znak Znak Znak1"/>
    <w:basedOn w:val="Normalny"/>
    <w:rsid w:val="0005410E"/>
    <w:pPr>
      <w:spacing w:after="0" w:line="240" w:lineRule="auto"/>
    </w:pPr>
    <w:rPr>
      <w:szCs w:val="24"/>
    </w:rPr>
  </w:style>
  <w:style w:type="paragraph" w:styleId="Tekstprzypisukocowego">
    <w:name w:val="endnote text"/>
    <w:basedOn w:val="Normalny"/>
    <w:link w:val="TekstprzypisukocowegoZnak"/>
    <w:rsid w:val="0005410E"/>
    <w:rPr>
      <w:sz w:val="20"/>
      <w:szCs w:val="20"/>
    </w:rPr>
  </w:style>
  <w:style w:type="character" w:customStyle="1" w:styleId="TekstprzypisukocowegoZnak">
    <w:name w:val="Tekst przypisu końcowego Znak"/>
    <w:basedOn w:val="Domylnaczcionkaakapitu"/>
    <w:link w:val="Tekstprzypisukocowego"/>
    <w:rsid w:val="0005410E"/>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05410E"/>
    <w:rPr>
      <w:vertAlign w:val="superscript"/>
    </w:rPr>
  </w:style>
  <w:style w:type="character" w:styleId="Odwoaniedokomentarza">
    <w:name w:val="annotation reference"/>
    <w:basedOn w:val="Domylnaczcionkaakapitu"/>
    <w:uiPriority w:val="99"/>
    <w:semiHidden/>
    <w:rsid w:val="0005410E"/>
    <w:rPr>
      <w:sz w:val="16"/>
      <w:szCs w:val="16"/>
    </w:rPr>
  </w:style>
  <w:style w:type="paragraph" w:styleId="Tematkomentarza">
    <w:name w:val="annotation subject"/>
    <w:basedOn w:val="Tekstkomentarza"/>
    <w:next w:val="Tekstkomentarza"/>
    <w:link w:val="TematkomentarzaZnak"/>
    <w:semiHidden/>
    <w:rsid w:val="0005410E"/>
    <w:pPr>
      <w:spacing w:after="200" w:line="276" w:lineRule="auto"/>
    </w:pPr>
    <w:rPr>
      <w:rFonts w:ascii="Calibri" w:hAnsi="Calibri"/>
      <w:b/>
      <w:bCs/>
    </w:rPr>
  </w:style>
  <w:style w:type="character" w:customStyle="1" w:styleId="TematkomentarzaZnak">
    <w:name w:val="Temat komentarza Znak"/>
    <w:basedOn w:val="TekstkomentarzaZnak"/>
    <w:link w:val="Tematkomentarza"/>
    <w:semiHidden/>
    <w:rsid w:val="0005410E"/>
    <w:rPr>
      <w:rFonts w:ascii="Calibri" w:eastAsia="Times New Roman" w:hAnsi="Calibri" w:cs="Times New Roman"/>
      <w:b/>
      <w:bCs/>
      <w:sz w:val="20"/>
      <w:szCs w:val="20"/>
      <w:lang w:eastAsia="pl-PL"/>
    </w:rPr>
  </w:style>
  <w:style w:type="paragraph" w:customStyle="1" w:styleId="zajawka">
    <w:name w:val="zajawka"/>
    <w:basedOn w:val="Normalny"/>
    <w:rsid w:val="0005410E"/>
    <w:pPr>
      <w:spacing w:before="100" w:beforeAutospacing="1" w:after="100" w:afterAutospacing="1" w:line="240" w:lineRule="auto"/>
    </w:pPr>
    <w:rPr>
      <w:szCs w:val="24"/>
    </w:rPr>
  </w:style>
  <w:style w:type="numbering" w:styleId="111111">
    <w:name w:val="Outline List 2"/>
    <w:basedOn w:val="Bezlisty"/>
    <w:rsid w:val="0005410E"/>
    <w:pPr>
      <w:numPr>
        <w:numId w:val="1"/>
      </w:numPr>
    </w:pPr>
  </w:style>
  <w:style w:type="paragraph" w:customStyle="1" w:styleId="tresc">
    <w:name w:val="tresc"/>
    <w:basedOn w:val="Normalny"/>
    <w:rsid w:val="0005410E"/>
    <w:pPr>
      <w:spacing w:before="100" w:beforeAutospacing="1" w:after="100" w:afterAutospacing="1" w:line="240" w:lineRule="auto"/>
    </w:pPr>
    <w:rPr>
      <w:szCs w:val="24"/>
    </w:rPr>
  </w:style>
  <w:style w:type="paragraph" w:styleId="Bezodstpw">
    <w:name w:val="No Spacing"/>
    <w:link w:val="BezodstpwZnak"/>
    <w:qFormat/>
    <w:rsid w:val="0005410E"/>
    <w:rPr>
      <w:sz w:val="22"/>
      <w:szCs w:val="22"/>
      <w:lang w:eastAsia="en-US"/>
    </w:rPr>
  </w:style>
  <w:style w:type="paragraph" w:styleId="Listapunktowana">
    <w:name w:val="List Bullet"/>
    <w:basedOn w:val="Normalny"/>
    <w:link w:val="ListapunktowanaZnak"/>
    <w:rsid w:val="0005410E"/>
    <w:pPr>
      <w:numPr>
        <w:ilvl w:val="1"/>
        <w:numId w:val="2"/>
      </w:numPr>
    </w:pPr>
  </w:style>
  <w:style w:type="character" w:styleId="Numerstrony">
    <w:name w:val="page number"/>
    <w:basedOn w:val="Domylnaczcionkaakapitu"/>
    <w:rsid w:val="0005410E"/>
  </w:style>
  <w:style w:type="paragraph" w:customStyle="1" w:styleId="Nagwek11">
    <w:name w:val="Nagłówek 11"/>
    <w:next w:val="Normalny"/>
    <w:rsid w:val="0005410E"/>
    <w:pPr>
      <w:widowControl w:val="0"/>
      <w:suppressAutoHyphens/>
      <w:autoSpaceDE w:val="0"/>
    </w:pPr>
    <w:rPr>
      <w:rFonts w:ascii="Times New Roman" w:eastAsia="Lucida Sans Unicode" w:hAnsi="Times New Roman"/>
      <w:sz w:val="24"/>
      <w:szCs w:val="24"/>
    </w:rPr>
  </w:style>
  <w:style w:type="character" w:customStyle="1" w:styleId="Znakiprzypiswdolnych">
    <w:name w:val="Znaki przypisów dolnych"/>
    <w:rsid w:val="0005410E"/>
    <w:rPr>
      <w:vertAlign w:val="superscript"/>
    </w:rPr>
  </w:style>
  <w:style w:type="character" w:styleId="Pogrubienie">
    <w:name w:val="Strong"/>
    <w:uiPriority w:val="22"/>
    <w:qFormat/>
    <w:rsid w:val="0005410E"/>
    <w:rPr>
      <w:b/>
      <w:bCs/>
    </w:rPr>
  </w:style>
  <w:style w:type="paragraph" w:styleId="Tekstpodstawowy2">
    <w:name w:val="Body Text 2"/>
    <w:basedOn w:val="Normalny"/>
    <w:link w:val="Tekstpodstawowy2Znak"/>
    <w:rsid w:val="0005410E"/>
    <w:pPr>
      <w:spacing w:after="0" w:line="240" w:lineRule="auto"/>
    </w:pPr>
    <w:rPr>
      <w:noProof/>
      <w:szCs w:val="20"/>
    </w:rPr>
  </w:style>
  <w:style w:type="character" w:customStyle="1" w:styleId="Tekstpodstawowy2Znak">
    <w:name w:val="Tekst podstawowy 2 Znak"/>
    <w:basedOn w:val="Domylnaczcionkaakapitu"/>
    <w:link w:val="Tekstpodstawowy2"/>
    <w:rsid w:val="0005410E"/>
    <w:rPr>
      <w:rFonts w:ascii="Times New Roman" w:eastAsia="Times New Roman" w:hAnsi="Times New Roman" w:cs="Times New Roman"/>
      <w:noProof/>
      <w:sz w:val="24"/>
      <w:szCs w:val="20"/>
      <w:lang w:eastAsia="pl-PL"/>
    </w:rPr>
  </w:style>
  <w:style w:type="paragraph" w:customStyle="1" w:styleId="Default">
    <w:name w:val="Default"/>
    <w:rsid w:val="0005410E"/>
    <w:pPr>
      <w:autoSpaceDE w:val="0"/>
      <w:autoSpaceDN w:val="0"/>
      <w:adjustRightInd w:val="0"/>
    </w:pPr>
    <w:rPr>
      <w:rFonts w:ascii="Times New Roman" w:eastAsia="Times New Roman" w:hAnsi="Times New Roman"/>
      <w:color w:val="000000"/>
      <w:sz w:val="24"/>
      <w:szCs w:val="24"/>
    </w:rPr>
  </w:style>
  <w:style w:type="paragraph" w:customStyle="1" w:styleId="tekstZPORR">
    <w:name w:val="tekst ZPORR"/>
    <w:basedOn w:val="Normalny"/>
    <w:rsid w:val="0005410E"/>
    <w:pPr>
      <w:suppressAutoHyphens/>
      <w:spacing w:after="120" w:line="240" w:lineRule="auto"/>
      <w:ind w:firstLine="567"/>
      <w:jc w:val="both"/>
    </w:pPr>
    <w:rPr>
      <w:szCs w:val="20"/>
      <w:lang w:eastAsia="ar-SA"/>
    </w:rPr>
  </w:style>
  <w:style w:type="paragraph" w:customStyle="1" w:styleId="ZnakZnakZnak18">
    <w:name w:val="Znak Znak Znak18"/>
    <w:basedOn w:val="Normalny"/>
    <w:rsid w:val="0005410E"/>
    <w:pPr>
      <w:spacing w:after="0" w:line="240" w:lineRule="auto"/>
    </w:pPr>
    <w:rPr>
      <w:szCs w:val="24"/>
    </w:rPr>
  </w:style>
  <w:style w:type="paragraph" w:styleId="Akapitzlist">
    <w:name w:val="List Paragraph"/>
    <w:basedOn w:val="Normalny"/>
    <w:uiPriority w:val="34"/>
    <w:qFormat/>
    <w:rsid w:val="0005410E"/>
    <w:pPr>
      <w:ind w:left="720"/>
      <w:contextualSpacing/>
    </w:pPr>
  </w:style>
  <w:style w:type="paragraph" w:customStyle="1" w:styleId="Tekstpodstawowy21">
    <w:name w:val="Tekst podstawowy 21"/>
    <w:basedOn w:val="Normalny"/>
    <w:rsid w:val="0005410E"/>
    <w:pPr>
      <w:spacing w:after="0" w:line="240" w:lineRule="auto"/>
    </w:pPr>
    <w:rPr>
      <w:sz w:val="28"/>
      <w:szCs w:val="20"/>
    </w:rPr>
  </w:style>
  <w:style w:type="paragraph" w:customStyle="1" w:styleId="ZnakZnakZnak17">
    <w:name w:val="Znak Znak Znak17"/>
    <w:basedOn w:val="Normalny"/>
    <w:rsid w:val="0005410E"/>
    <w:pPr>
      <w:spacing w:after="0" w:line="240" w:lineRule="auto"/>
    </w:pPr>
    <w:rPr>
      <w:szCs w:val="24"/>
    </w:rPr>
  </w:style>
  <w:style w:type="paragraph" w:customStyle="1" w:styleId="ListNumberLevel2">
    <w:name w:val="List Number (Level 2)"/>
    <w:basedOn w:val="Normalny"/>
    <w:rsid w:val="0005410E"/>
    <w:pPr>
      <w:spacing w:after="240" w:line="240" w:lineRule="auto"/>
      <w:jc w:val="both"/>
    </w:pPr>
    <w:rPr>
      <w:szCs w:val="20"/>
      <w:lang w:val="en-GB" w:eastAsia="en-US"/>
    </w:rPr>
  </w:style>
  <w:style w:type="paragraph" w:styleId="Tekstpodstawowy">
    <w:name w:val="Body Text"/>
    <w:basedOn w:val="Normalny"/>
    <w:link w:val="TekstpodstawowyZnak"/>
    <w:rsid w:val="0005410E"/>
    <w:pPr>
      <w:spacing w:after="120" w:line="240" w:lineRule="auto"/>
    </w:pPr>
    <w:rPr>
      <w:sz w:val="20"/>
      <w:szCs w:val="20"/>
    </w:rPr>
  </w:style>
  <w:style w:type="character" w:customStyle="1" w:styleId="TekstpodstawowyZnak">
    <w:name w:val="Tekst podstawowy Znak"/>
    <w:basedOn w:val="Domylnaczcionkaakapitu"/>
    <w:link w:val="Tekstpodstawowy"/>
    <w:rsid w:val="0005410E"/>
    <w:rPr>
      <w:rFonts w:ascii="Times New Roman" w:eastAsia="Times New Roman" w:hAnsi="Times New Roman" w:cs="Times New Roman"/>
      <w:sz w:val="20"/>
      <w:szCs w:val="20"/>
      <w:lang w:eastAsia="pl-PL"/>
    </w:rPr>
  </w:style>
  <w:style w:type="paragraph" w:customStyle="1" w:styleId="ZnakZnakZnak16">
    <w:name w:val="Znak Znak Znak16"/>
    <w:basedOn w:val="Normalny"/>
    <w:rsid w:val="0005410E"/>
    <w:pPr>
      <w:spacing w:after="0" w:line="240" w:lineRule="auto"/>
    </w:pPr>
    <w:rPr>
      <w:szCs w:val="24"/>
    </w:rPr>
  </w:style>
  <w:style w:type="paragraph" w:styleId="Listapunktowana2">
    <w:name w:val="List Bullet 2"/>
    <w:basedOn w:val="Normalny"/>
    <w:autoRedefine/>
    <w:rsid w:val="0005410E"/>
    <w:pPr>
      <w:numPr>
        <w:ilvl w:val="1"/>
        <w:numId w:val="3"/>
      </w:numPr>
      <w:spacing w:before="240" w:after="120" w:line="240" w:lineRule="auto"/>
      <w:ind w:left="283" w:hanging="357"/>
    </w:pPr>
    <w:rPr>
      <w:b/>
      <w:szCs w:val="24"/>
      <w:lang w:eastAsia="ko-KR"/>
    </w:rPr>
  </w:style>
  <w:style w:type="paragraph" w:styleId="Podtytu">
    <w:name w:val="Subtitle"/>
    <w:basedOn w:val="Normalny"/>
    <w:link w:val="PodtytuZnak"/>
    <w:qFormat/>
    <w:rsid w:val="0005410E"/>
    <w:pPr>
      <w:spacing w:after="0" w:line="240" w:lineRule="auto"/>
      <w:jc w:val="center"/>
    </w:pPr>
    <w:rPr>
      <w:b/>
      <w:bCs/>
      <w:sz w:val="28"/>
      <w:szCs w:val="24"/>
    </w:rPr>
  </w:style>
  <w:style w:type="character" w:customStyle="1" w:styleId="PodtytuZnak">
    <w:name w:val="Podtytuł Znak"/>
    <w:basedOn w:val="Domylnaczcionkaakapitu"/>
    <w:link w:val="Podtytu"/>
    <w:rsid w:val="0005410E"/>
    <w:rPr>
      <w:rFonts w:ascii="Times New Roman" w:eastAsia="Times New Roman" w:hAnsi="Times New Roman" w:cs="Times New Roman"/>
      <w:b/>
      <w:bCs/>
      <w:sz w:val="28"/>
      <w:szCs w:val="24"/>
      <w:lang w:eastAsia="pl-PL"/>
    </w:rPr>
  </w:style>
  <w:style w:type="paragraph" w:styleId="Zwykytekst">
    <w:name w:val="Plain Text"/>
    <w:basedOn w:val="Normalny"/>
    <w:link w:val="ZwykytekstZnak"/>
    <w:uiPriority w:val="99"/>
    <w:rsid w:val="0005410E"/>
    <w:pPr>
      <w:spacing w:after="0" w:line="240" w:lineRule="auto"/>
    </w:pPr>
    <w:rPr>
      <w:rFonts w:ascii="Courier New" w:hAnsi="Courier New"/>
      <w:sz w:val="20"/>
      <w:szCs w:val="20"/>
    </w:rPr>
  </w:style>
  <w:style w:type="character" w:customStyle="1" w:styleId="ZwykytekstZnak">
    <w:name w:val="Zwykły tekst Znak"/>
    <w:basedOn w:val="Domylnaczcionkaakapitu"/>
    <w:link w:val="Zwykytekst"/>
    <w:uiPriority w:val="99"/>
    <w:rsid w:val="0005410E"/>
    <w:rPr>
      <w:rFonts w:ascii="Courier New" w:eastAsia="Times New Roman" w:hAnsi="Courier New" w:cs="Times New Roman"/>
      <w:sz w:val="20"/>
      <w:szCs w:val="20"/>
      <w:lang w:eastAsia="pl-PL"/>
    </w:rPr>
  </w:style>
  <w:style w:type="character" w:customStyle="1" w:styleId="ListapunktowanaZnak">
    <w:name w:val="Lista punktowana Znak"/>
    <w:basedOn w:val="Domylnaczcionkaakapitu"/>
    <w:link w:val="Listapunktowana"/>
    <w:rsid w:val="0005410E"/>
    <w:rPr>
      <w:rFonts w:ascii="Times New Roman" w:eastAsia="Times New Roman" w:hAnsi="Times New Roman"/>
      <w:sz w:val="24"/>
      <w:szCs w:val="22"/>
    </w:rPr>
  </w:style>
  <w:style w:type="paragraph" w:customStyle="1" w:styleId="ZnakZnakZnak15">
    <w:name w:val="Znak Znak Znak15"/>
    <w:basedOn w:val="Normalny"/>
    <w:rsid w:val="0005410E"/>
    <w:pPr>
      <w:spacing w:after="0" w:line="240" w:lineRule="auto"/>
    </w:pPr>
    <w:rPr>
      <w:szCs w:val="24"/>
    </w:rPr>
  </w:style>
  <w:style w:type="paragraph" w:customStyle="1" w:styleId="ZnakZnakZnak14">
    <w:name w:val="Znak Znak Znak14"/>
    <w:basedOn w:val="Normalny"/>
    <w:rsid w:val="0005410E"/>
    <w:pPr>
      <w:spacing w:after="0" w:line="240" w:lineRule="auto"/>
    </w:pPr>
    <w:rPr>
      <w:szCs w:val="24"/>
    </w:rPr>
  </w:style>
  <w:style w:type="paragraph" w:styleId="Nagwekspisutreci">
    <w:name w:val="TOC Heading"/>
    <w:basedOn w:val="Nagwek1"/>
    <w:next w:val="Normalny"/>
    <w:uiPriority w:val="39"/>
    <w:semiHidden/>
    <w:unhideWhenUsed/>
    <w:qFormat/>
    <w:rsid w:val="0005410E"/>
    <w:pPr>
      <w:outlineLvl w:val="9"/>
    </w:pPr>
    <w:rPr>
      <w:lang w:eastAsia="en-US"/>
    </w:rPr>
  </w:style>
  <w:style w:type="paragraph" w:styleId="Spistreci1">
    <w:name w:val="toc 1"/>
    <w:basedOn w:val="Normalny"/>
    <w:next w:val="Normalny"/>
    <w:autoRedefine/>
    <w:uiPriority w:val="39"/>
    <w:qFormat/>
    <w:rsid w:val="00DA56FE"/>
    <w:pPr>
      <w:tabs>
        <w:tab w:val="right" w:leader="underscore" w:pos="9062"/>
      </w:tabs>
      <w:spacing w:before="120" w:after="0"/>
      <w:jc w:val="both"/>
    </w:pPr>
    <w:rPr>
      <w:rFonts w:asciiTheme="minorHAnsi" w:hAnsiTheme="minorHAnsi"/>
      <w:b/>
      <w:bCs/>
      <w:i/>
      <w:iCs/>
      <w:szCs w:val="24"/>
    </w:rPr>
  </w:style>
  <w:style w:type="character" w:styleId="Hipercze">
    <w:name w:val="Hyperlink"/>
    <w:basedOn w:val="Domylnaczcionkaakapitu"/>
    <w:uiPriority w:val="99"/>
    <w:unhideWhenUsed/>
    <w:rsid w:val="0005410E"/>
    <w:rPr>
      <w:color w:val="0000FF"/>
      <w:u w:val="single"/>
    </w:rPr>
  </w:style>
  <w:style w:type="paragraph" w:styleId="Spistreci2">
    <w:name w:val="toc 2"/>
    <w:basedOn w:val="Normalny"/>
    <w:next w:val="Normalny"/>
    <w:autoRedefine/>
    <w:uiPriority w:val="39"/>
    <w:qFormat/>
    <w:rsid w:val="0005410E"/>
    <w:pPr>
      <w:spacing w:before="120" w:after="0"/>
      <w:ind w:left="240"/>
    </w:pPr>
    <w:rPr>
      <w:rFonts w:asciiTheme="minorHAnsi" w:hAnsiTheme="minorHAnsi"/>
      <w:b/>
      <w:bCs/>
      <w:sz w:val="22"/>
    </w:rPr>
  </w:style>
  <w:style w:type="paragraph" w:styleId="Spistreci3">
    <w:name w:val="toc 3"/>
    <w:basedOn w:val="Normalny"/>
    <w:next w:val="Normalny"/>
    <w:autoRedefine/>
    <w:uiPriority w:val="39"/>
    <w:qFormat/>
    <w:rsid w:val="0005410E"/>
    <w:pPr>
      <w:spacing w:after="0"/>
      <w:ind w:left="480"/>
    </w:pPr>
    <w:rPr>
      <w:rFonts w:asciiTheme="minorHAnsi" w:hAnsiTheme="minorHAnsi"/>
      <w:sz w:val="20"/>
      <w:szCs w:val="20"/>
    </w:rPr>
  </w:style>
  <w:style w:type="paragraph" w:styleId="Spistreci4">
    <w:name w:val="toc 4"/>
    <w:basedOn w:val="Normalny"/>
    <w:next w:val="Normalny"/>
    <w:autoRedefine/>
    <w:uiPriority w:val="39"/>
    <w:rsid w:val="0005410E"/>
    <w:pPr>
      <w:spacing w:after="0"/>
      <w:ind w:left="720"/>
    </w:pPr>
    <w:rPr>
      <w:rFonts w:asciiTheme="minorHAnsi" w:hAnsiTheme="minorHAnsi"/>
      <w:sz w:val="20"/>
      <w:szCs w:val="20"/>
    </w:rPr>
  </w:style>
  <w:style w:type="paragraph" w:styleId="Spistreci5">
    <w:name w:val="toc 5"/>
    <w:basedOn w:val="Normalny"/>
    <w:next w:val="Normalny"/>
    <w:autoRedefine/>
    <w:uiPriority w:val="39"/>
    <w:rsid w:val="0005410E"/>
    <w:pPr>
      <w:spacing w:after="0"/>
      <w:ind w:left="960"/>
    </w:pPr>
    <w:rPr>
      <w:rFonts w:asciiTheme="minorHAnsi" w:hAnsiTheme="minorHAnsi"/>
      <w:sz w:val="20"/>
      <w:szCs w:val="20"/>
    </w:rPr>
  </w:style>
  <w:style w:type="paragraph" w:styleId="Spistreci6">
    <w:name w:val="toc 6"/>
    <w:basedOn w:val="Normalny"/>
    <w:next w:val="Normalny"/>
    <w:autoRedefine/>
    <w:uiPriority w:val="39"/>
    <w:rsid w:val="0005410E"/>
    <w:pPr>
      <w:spacing w:after="0"/>
      <w:ind w:left="1200"/>
    </w:pPr>
    <w:rPr>
      <w:rFonts w:asciiTheme="minorHAnsi" w:hAnsiTheme="minorHAnsi"/>
      <w:sz w:val="20"/>
      <w:szCs w:val="20"/>
    </w:rPr>
  </w:style>
  <w:style w:type="paragraph" w:styleId="Spistreci7">
    <w:name w:val="toc 7"/>
    <w:basedOn w:val="Normalny"/>
    <w:next w:val="Normalny"/>
    <w:autoRedefine/>
    <w:uiPriority w:val="39"/>
    <w:rsid w:val="0005410E"/>
    <w:pPr>
      <w:spacing w:after="0"/>
      <w:ind w:left="1440"/>
    </w:pPr>
    <w:rPr>
      <w:rFonts w:asciiTheme="minorHAnsi" w:hAnsiTheme="minorHAnsi"/>
      <w:sz w:val="20"/>
      <w:szCs w:val="20"/>
    </w:rPr>
  </w:style>
  <w:style w:type="paragraph" w:styleId="Spistreci8">
    <w:name w:val="toc 8"/>
    <w:basedOn w:val="Normalny"/>
    <w:next w:val="Normalny"/>
    <w:autoRedefine/>
    <w:uiPriority w:val="39"/>
    <w:rsid w:val="0005410E"/>
    <w:pPr>
      <w:spacing w:after="0"/>
      <w:ind w:left="1680"/>
    </w:pPr>
    <w:rPr>
      <w:rFonts w:asciiTheme="minorHAnsi" w:hAnsiTheme="minorHAnsi"/>
      <w:sz w:val="20"/>
      <w:szCs w:val="20"/>
    </w:rPr>
  </w:style>
  <w:style w:type="paragraph" w:styleId="Spistreci9">
    <w:name w:val="toc 9"/>
    <w:basedOn w:val="Normalny"/>
    <w:next w:val="Normalny"/>
    <w:autoRedefine/>
    <w:uiPriority w:val="39"/>
    <w:rsid w:val="0005410E"/>
    <w:pPr>
      <w:spacing w:after="0"/>
      <w:ind w:left="1920"/>
    </w:pPr>
    <w:rPr>
      <w:rFonts w:asciiTheme="minorHAnsi" w:hAnsiTheme="minorHAnsi"/>
      <w:sz w:val="20"/>
      <w:szCs w:val="20"/>
    </w:rPr>
  </w:style>
  <w:style w:type="paragraph" w:customStyle="1" w:styleId="ZnakZnakZnak13">
    <w:name w:val="Znak Znak Znak13"/>
    <w:basedOn w:val="Normalny"/>
    <w:rsid w:val="0005410E"/>
    <w:pPr>
      <w:spacing w:after="0" w:line="240" w:lineRule="auto"/>
    </w:pPr>
    <w:rPr>
      <w:szCs w:val="24"/>
    </w:rPr>
  </w:style>
  <w:style w:type="paragraph" w:styleId="Legenda">
    <w:name w:val="caption"/>
    <w:basedOn w:val="Normalny"/>
    <w:next w:val="Normalny"/>
    <w:unhideWhenUsed/>
    <w:qFormat/>
    <w:rsid w:val="0005410E"/>
    <w:pPr>
      <w:spacing w:line="240" w:lineRule="auto"/>
    </w:pPr>
    <w:rPr>
      <w:b/>
      <w:bCs/>
      <w:color w:val="4F81BD"/>
      <w:sz w:val="18"/>
      <w:szCs w:val="18"/>
    </w:rPr>
  </w:style>
  <w:style w:type="paragraph" w:styleId="Spisilustracji">
    <w:name w:val="table of figures"/>
    <w:basedOn w:val="Normalny"/>
    <w:next w:val="Normalny"/>
    <w:uiPriority w:val="99"/>
    <w:rsid w:val="0005410E"/>
    <w:pPr>
      <w:spacing w:after="0"/>
    </w:pPr>
    <w:rPr>
      <w:rFonts w:asciiTheme="minorHAnsi" w:hAnsiTheme="minorHAnsi"/>
      <w:i/>
      <w:iCs/>
      <w:sz w:val="20"/>
      <w:szCs w:val="20"/>
    </w:rPr>
  </w:style>
  <w:style w:type="character" w:customStyle="1" w:styleId="tekst">
    <w:name w:val="tekst"/>
    <w:basedOn w:val="Domylnaczcionkaakapitu"/>
    <w:rsid w:val="0005410E"/>
  </w:style>
  <w:style w:type="table" w:styleId="Tabela-Elegancki">
    <w:name w:val="Table Elegant"/>
    <w:basedOn w:val="Standardowy"/>
    <w:rsid w:val="0005410E"/>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Efekty3W3">
    <w:name w:val="Table 3D effects 3"/>
    <w:basedOn w:val="Standardowy"/>
    <w:rsid w:val="0005410E"/>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05410E"/>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05410E"/>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Delikatny2">
    <w:name w:val="Table Subtle 2"/>
    <w:basedOn w:val="Standardowy"/>
    <w:rsid w:val="0005410E"/>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05410E"/>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4">
    <w:name w:val="Table Classic 4"/>
    <w:basedOn w:val="Standardowy"/>
    <w:rsid w:val="0005410E"/>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olorowasiatkaakcent3">
    <w:name w:val="Colorful Grid Accent 3"/>
    <w:basedOn w:val="Standardowy"/>
    <w:uiPriority w:val="73"/>
    <w:rsid w:val="0005410E"/>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lorowecieniowanieakcent3">
    <w:name w:val="Colorful Shading Accent 3"/>
    <w:basedOn w:val="Standardowy"/>
    <w:uiPriority w:val="71"/>
    <w:rsid w:val="0005410E"/>
    <w:rPr>
      <w:rFonts w:ascii="Times New Roman" w:eastAsia="Times New Roman" w:hAnsi="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dniasiatka3akcent3">
    <w:name w:val="Medium Grid 3 Accent 3"/>
    <w:basedOn w:val="Standardowy"/>
    <w:uiPriority w:val="69"/>
    <w:rsid w:val="0005410E"/>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Jasnasiatkaakcent3">
    <w:name w:val="Light Grid Accent 3"/>
    <w:basedOn w:val="Standardowy"/>
    <w:uiPriority w:val="62"/>
    <w:rsid w:val="0005410E"/>
    <w:rPr>
      <w:rFonts w:ascii="Times New Roman" w:eastAsia="Times New Roman" w:hAnsi="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ZnakZnakZnak12">
    <w:name w:val="Znak Znak Znak12"/>
    <w:basedOn w:val="Normalny"/>
    <w:rsid w:val="0005410E"/>
    <w:pPr>
      <w:spacing w:after="0" w:line="240" w:lineRule="auto"/>
    </w:pPr>
    <w:rPr>
      <w:szCs w:val="24"/>
    </w:rPr>
  </w:style>
  <w:style w:type="paragraph" w:customStyle="1" w:styleId="NSRO">
    <w:name w:val="NSRO"/>
    <w:basedOn w:val="Normalny"/>
    <w:rsid w:val="0005410E"/>
    <w:pPr>
      <w:spacing w:before="240" w:after="240" w:line="240" w:lineRule="auto"/>
      <w:jc w:val="both"/>
    </w:pPr>
    <w:rPr>
      <w:szCs w:val="20"/>
    </w:rPr>
  </w:style>
  <w:style w:type="paragraph" w:customStyle="1" w:styleId="ZnakZnak">
    <w:name w:val="Znak Znak"/>
    <w:basedOn w:val="Normalny"/>
    <w:rsid w:val="0005410E"/>
    <w:pPr>
      <w:spacing w:after="0" w:line="360" w:lineRule="auto"/>
      <w:jc w:val="both"/>
    </w:pPr>
    <w:rPr>
      <w:rFonts w:ascii="Verdana" w:hAnsi="Verdana"/>
      <w:sz w:val="20"/>
      <w:szCs w:val="20"/>
    </w:rPr>
  </w:style>
  <w:style w:type="paragraph" w:customStyle="1" w:styleId="Styl12ptWyjustowanyPrzed6ptPo6pt">
    <w:name w:val="Styl 12 pt Wyjustowany Przed:  6 pt Po:  6 pt"/>
    <w:basedOn w:val="Normalny"/>
    <w:rsid w:val="0005410E"/>
    <w:pPr>
      <w:spacing w:before="120" w:after="60" w:line="240" w:lineRule="auto"/>
      <w:jc w:val="both"/>
    </w:pPr>
    <w:rPr>
      <w:szCs w:val="20"/>
    </w:rPr>
  </w:style>
  <w:style w:type="paragraph" w:customStyle="1" w:styleId="Pa10">
    <w:name w:val="Pa10"/>
    <w:basedOn w:val="Normalny"/>
    <w:next w:val="Normalny"/>
    <w:rsid w:val="0005410E"/>
    <w:pPr>
      <w:autoSpaceDE w:val="0"/>
      <w:autoSpaceDN w:val="0"/>
      <w:adjustRightInd w:val="0"/>
      <w:spacing w:after="220" w:line="211" w:lineRule="atLeast"/>
    </w:pPr>
    <w:rPr>
      <w:szCs w:val="24"/>
    </w:rPr>
  </w:style>
  <w:style w:type="paragraph" w:customStyle="1" w:styleId="tekstPOKL">
    <w:name w:val="tekst_POKL"/>
    <w:basedOn w:val="Normalny"/>
    <w:link w:val="tekstPOKLZnak"/>
    <w:rsid w:val="0005410E"/>
    <w:pPr>
      <w:spacing w:after="120" w:line="240" w:lineRule="auto"/>
      <w:ind w:firstLine="709"/>
      <w:jc w:val="both"/>
    </w:pPr>
    <w:rPr>
      <w:iCs/>
      <w:spacing w:val="2"/>
      <w:sz w:val="22"/>
    </w:rPr>
  </w:style>
  <w:style w:type="character" w:customStyle="1" w:styleId="tekstPOKLZnak">
    <w:name w:val="tekst_POKL Znak"/>
    <w:basedOn w:val="Domylnaczcionkaakapitu"/>
    <w:link w:val="tekstPOKL"/>
    <w:rsid w:val="0005410E"/>
    <w:rPr>
      <w:rFonts w:ascii="Times New Roman" w:eastAsia="Times New Roman" w:hAnsi="Times New Roman" w:cs="Times New Roman"/>
      <w:iCs/>
      <w:spacing w:val="2"/>
      <w:lang w:eastAsia="pl-PL"/>
    </w:rPr>
  </w:style>
  <w:style w:type="character" w:styleId="UyteHipercze">
    <w:name w:val="FollowedHyperlink"/>
    <w:basedOn w:val="Domylnaczcionkaakapitu"/>
    <w:uiPriority w:val="99"/>
    <w:unhideWhenUsed/>
    <w:rsid w:val="0005410E"/>
    <w:rPr>
      <w:color w:val="800080"/>
      <w:u w:val="single"/>
    </w:rPr>
  </w:style>
  <w:style w:type="paragraph" w:customStyle="1" w:styleId="font5">
    <w:name w:val="font5"/>
    <w:basedOn w:val="Normalny"/>
    <w:rsid w:val="0005410E"/>
    <w:pPr>
      <w:spacing w:before="100" w:beforeAutospacing="1" w:after="100" w:afterAutospacing="1" w:line="240" w:lineRule="auto"/>
    </w:pPr>
    <w:rPr>
      <w:color w:val="000000"/>
      <w:sz w:val="20"/>
      <w:szCs w:val="20"/>
    </w:rPr>
  </w:style>
  <w:style w:type="paragraph" w:customStyle="1" w:styleId="font6">
    <w:name w:val="font6"/>
    <w:basedOn w:val="Normalny"/>
    <w:rsid w:val="0005410E"/>
    <w:pPr>
      <w:spacing w:before="100" w:beforeAutospacing="1" w:after="100" w:afterAutospacing="1" w:line="240" w:lineRule="auto"/>
    </w:pPr>
    <w:rPr>
      <w:color w:val="000000"/>
      <w:sz w:val="20"/>
      <w:szCs w:val="20"/>
    </w:rPr>
  </w:style>
  <w:style w:type="paragraph" w:customStyle="1" w:styleId="xl65">
    <w:name w:val="xl65"/>
    <w:basedOn w:val="Normalny"/>
    <w:rsid w:val="000541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b/>
      <w:bCs/>
      <w:color w:val="000000"/>
      <w:sz w:val="20"/>
      <w:szCs w:val="20"/>
    </w:rPr>
  </w:style>
  <w:style w:type="paragraph" w:customStyle="1" w:styleId="xl66">
    <w:name w:val="xl66"/>
    <w:basedOn w:val="Normalny"/>
    <w:rsid w:val="00054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0"/>
      <w:szCs w:val="20"/>
    </w:rPr>
  </w:style>
  <w:style w:type="paragraph" w:customStyle="1" w:styleId="xl67">
    <w:name w:val="xl67"/>
    <w:basedOn w:val="Normalny"/>
    <w:rsid w:val="00054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0000"/>
      <w:sz w:val="20"/>
      <w:szCs w:val="20"/>
    </w:rPr>
  </w:style>
  <w:style w:type="paragraph" w:customStyle="1" w:styleId="xl68">
    <w:name w:val="xl68"/>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0"/>
      <w:szCs w:val="20"/>
    </w:rPr>
  </w:style>
  <w:style w:type="paragraph" w:customStyle="1" w:styleId="xl69">
    <w:name w:val="xl69"/>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0">
    <w:name w:val="xl70"/>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rPr>
  </w:style>
  <w:style w:type="paragraph" w:customStyle="1" w:styleId="xl71">
    <w:name w:val="xl71"/>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2">
    <w:name w:val="xl72"/>
    <w:basedOn w:val="Normalny"/>
    <w:rsid w:val="000541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sz w:val="20"/>
      <w:szCs w:val="20"/>
    </w:rPr>
  </w:style>
  <w:style w:type="paragraph" w:customStyle="1" w:styleId="xl73">
    <w:name w:val="xl73"/>
    <w:basedOn w:val="Normalny"/>
    <w:rsid w:val="0005410E"/>
    <w:pPr>
      <w:pBdr>
        <w:top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4">
    <w:name w:val="xl74"/>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0"/>
      <w:szCs w:val="20"/>
    </w:rPr>
  </w:style>
  <w:style w:type="paragraph" w:customStyle="1" w:styleId="xl75">
    <w:name w:val="xl75"/>
    <w:basedOn w:val="Normalny"/>
    <w:rsid w:val="0005410E"/>
    <w:pPr>
      <w:pBdr>
        <w:top w:val="single" w:sz="4" w:space="0" w:color="auto"/>
        <w:left w:val="single" w:sz="4" w:space="0" w:color="auto"/>
        <w:bottom w:val="single" w:sz="4" w:space="0" w:color="auto"/>
        <w:right w:val="single" w:sz="4" w:space="0" w:color="auto"/>
      </w:pBdr>
      <w:shd w:val="clear" w:color="C0C0C0" w:fill="D7E4BC"/>
      <w:spacing w:before="100" w:beforeAutospacing="1" w:after="100" w:afterAutospacing="1" w:line="240" w:lineRule="auto"/>
      <w:jc w:val="center"/>
      <w:textAlignment w:val="center"/>
    </w:pPr>
    <w:rPr>
      <w:rFonts w:ascii="Arial" w:hAnsi="Arial" w:cs="Arial"/>
      <w:b/>
      <w:bCs/>
      <w:sz w:val="20"/>
      <w:szCs w:val="20"/>
    </w:rPr>
  </w:style>
  <w:style w:type="paragraph" w:customStyle="1" w:styleId="xl76">
    <w:name w:val="xl76"/>
    <w:basedOn w:val="Normalny"/>
    <w:rsid w:val="0005410E"/>
    <w:pPr>
      <w:pBdr>
        <w:top w:val="single" w:sz="4" w:space="0" w:color="auto"/>
        <w:left w:val="single" w:sz="4" w:space="0" w:color="auto"/>
        <w:bottom w:val="single" w:sz="4" w:space="0" w:color="auto"/>
        <w:right w:val="single" w:sz="4" w:space="0" w:color="auto"/>
      </w:pBdr>
      <w:shd w:val="clear" w:color="C0C0C0" w:fill="92D050"/>
      <w:spacing w:before="100" w:beforeAutospacing="1" w:after="100" w:afterAutospacing="1" w:line="240" w:lineRule="auto"/>
      <w:jc w:val="center"/>
      <w:textAlignment w:val="center"/>
    </w:pPr>
    <w:rPr>
      <w:rFonts w:ascii="Arial" w:hAnsi="Arial" w:cs="Arial"/>
      <w:b/>
      <w:bCs/>
      <w:sz w:val="20"/>
      <w:szCs w:val="20"/>
    </w:rPr>
  </w:style>
  <w:style w:type="paragraph" w:customStyle="1" w:styleId="xl77">
    <w:name w:val="xl77"/>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0"/>
      <w:szCs w:val="20"/>
    </w:rPr>
  </w:style>
  <w:style w:type="paragraph" w:customStyle="1" w:styleId="xl78">
    <w:name w:val="xl78"/>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rPr>
  </w:style>
  <w:style w:type="paragraph" w:customStyle="1" w:styleId="xl79">
    <w:name w:val="xl79"/>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0"/>
      <w:szCs w:val="20"/>
    </w:rPr>
  </w:style>
  <w:style w:type="paragraph" w:customStyle="1" w:styleId="xl80">
    <w:name w:val="xl80"/>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rPr>
  </w:style>
  <w:style w:type="paragraph" w:customStyle="1" w:styleId="xl81">
    <w:name w:val="xl81"/>
    <w:basedOn w:val="Normalny"/>
    <w:rsid w:val="00054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color w:val="000000"/>
      <w:sz w:val="20"/>
      <w:szCs w:val="20"/>
    </w:rPr>
  </w:style>
  <w:style w:type="paragraph" w:customStyle="1" w:styleId="font7">
    <w:name w:val="font7"/>
    <w:basedOn w:val="Normalny"/>
    <w:rsid w:val="0005410E"/>
    <w:pPr>
      <w:spacing w:before="100" w:beforeAutospacing="1" w:after="100" w:afterAutospacing="1" w:line="240" w:lineRule="auto"/>
    </w:pPr>
    <w:rPr>
      <w:sz w:val="20"/>
      <w:szCs w:val="20"/>
    </w:rPr>
  </w:style>
  <w:style w:type="paragraph" w:customStyle="1" w:styleId="font8">
    <w:name w:val="font8"/>
    <w:basedOn w:val="Normalny"/>
    <w:rsid w:val="0005410E"/>
    <w:pPr>
      <w:spacing w:before="100" w:beforeAutospacing="1" w:after="100" w:afterAutospacing="1" w:line="240" w:lineRule="auto"/>
    </w:pPr>
    <w:rPr>
      <w:sz w:val="18"/>
      <w:szCs w:val="18"/>
    </w:rPr>
  </w:style>
  <w:style w:type="paragraph" w:customStyle="1" w:styleId="xl63">
    <w:name w:val="xl63"/>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rPr>
  </w:style>
  <w:style w:type="paragraph" w:customStyle="1" w:styleId="xl64">
    <w:name w:val="xl64"/>
    <w:basedOn w:val="Normalny"/>
    <w:rsid w:val="000541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ZnakZnakZnak11">
    <w:name w:val="Znak Znak Znak11"/>
    <w:basedOn w:val="Normalny"/>
    <w:rsid w:val="0005410E"/>
    <w:pPr>
      <w:spacing w:after="0" w:line="240" w:lineRule="auto"/>
    </w:pPr>
    <w:rPr>
      <w:szCs w:val="24"/>
    </w:rPr>
  </w:style>
  <w:style w:type="character" w:styleId="Uwydatnienie">
    <w:name w:val="Emphasis"/>
    <w:basedOn w:val="Domylnaczcionkaakapitu"/>
    <w:uiPriority w:val="20"/>
    <w:qFormat/>
    <w:rsid w:val="0005410E"/>
    <w:rPr>
      <w:i/>
      <w:iCs/>
    </w:rPr>
  </w:style>
  <w:style w:type="paragraph" w:styleId="Tekstpodstawowywcity">
    <w:name w:val="Body Text Indent"/>
    <w:basedOn w:val="Normalny"/>
    <w:link w:val="TekstpodstawowywcityZnak"/>
    <w:rsid w:val="0005410E"/>
    <w:pPr>
      <w:spacing w:after="120"/>
      <w:ind w:left="283"/>
    </w:pPr>
  </w:style>
  <w:style w:type="character" w:customStyle="1" w:styleId="TekstpodstawowywcityZnak">
    <w:name w:val="Tekst podstawowy wcięty Znak"/>
    <w:basedOn w:val="Domylnaczcionkaakapitu"/>
    <w:link w:val="Tekstpodstawowywcity"/>
    <w:rsid w:val="0005410E"/>
    <w:rPr>
      <w:rFonts w:ascii="Times New Roman" w:eastAsia="Times New Roman" w:hAnsi="Times New Roman" w:cs="Times New Roman"/>
      <w:sz w:val="24"/>
      <w:lang w:eastAsia="pl-PL"/>
    </w:rPr>
  </w:style>
  <w:style w:type="paragraph" w:customStyle="1" w:styleId="ZnakZnakZnak111">
    <w:name w:val="Znak Znak Znak111"/>
    <w:basedOn w:val="Normalny"/>
    <w:rsid w:val="0005410E"/>
    <w:pPr>
      <w:spacing w:after="0" w:line="240" w:lineRule="auto"/>
    </w:pPr>
    <w:rPr>
      <w:szCs w:val="24"/>
    </w:rPr>
  </w:style>
  <w:style w:type="paragraph" w:customStyle="1" w:styleId="ZnakZnakZnak110">
    <w:name w:val="Znak Znak Znak110"/>
    <w:basedOn w:val="Normalny"/>
    <w:rsid w:val="0005410E"/>
    <w:pPr>
      <w:spacing w:after="0" w:line="240" w:lineRule="auto"/>
    </w:pPr>
    <w:rPr>
      <w:szCs w:val="24"/>
    </w:rPr>
  </w:style>
  <w:style w:type="paragraph" w:customStyle="1" w:styleId="ZnakZnakZnak19">
    <w:name w:val="Znak Znak Znak19"/>
    <w:basedOn w:val="Normalny"/>
    <w:rsid w:val="0005410E"/>
    <w:pPr>
      <w:spacing w:after="0" w:line="240" w:lineRule="auto"/>
    </w:pPr>
    <w:rPr>
      <w:szCs w:val="24"/>
    </w:rPr>
  </w:style>
  <w:style w:type="paragraph" w:customStyle="1" w:styleId="ZnakZnakZnak112">
    <w:name w:val="Znak Znak Znak112"/>
    <w:basedOn w:val="Normalny"/>
    <w:rsid w:val="0005410E"/>
    <w:pPr>
      <w:spacing w:after="0" w:line="240" w:lineRule="auto"/>
    </w:pPr>
    <w:rPr>
      <w:szCs w:val="24"/>
    </w:rPr>
  </w:style>
  <w:style w:type="character" w:customStyle="1" w:styleId="apple-style-span">
    <w:name w:val="apple-style-span"/>
    <w:basedOn w:val="Domylnaczcionkaakapitu"/>
    <w:rsid w:val="0005410E"/>
    <w:rPr>
      <w:rFonts w:cs="Times New Roman"/>
    </w:rPr>
  </w:style>
  <w:style w:type="character" w:customStyle="1" w:styleId="BezodstpwZnak">
    <w:name w:val="Bez odstępów Znak"/>
    <w:basedOn w:val="Domylnaczcionkaakapitu"/>
    <w:link w:val="Bezodstpw"/>
    <w:uiPriority w:val="1"/>
    <w:rsid w:val="0005410E"/>
    <w:rPr>
      <w:sz w:val="22"/>
      <w:szCs w:val="22"/>
      <w:lang w:val="pl-PL" w:eastAsia="en-US" w:bidi="ar-SA"/>
    </w:rPr>
  </w:style>
  <w:style w:type="paragraph" w:styleId="Tytu">
    <w:name w:val="Title"/>
    <w:basedOn w:val="Normalny"/>
    <w:next w:val="Podtytu"/>
    <w:link w:val="TytuZnak"/>
    <w:uiPriority w:val="99"/>
    <w:qFormat/>
    <w:rsid w:val="0005410E"/>
    <w:pPr>
      <w:spacing w:before="240" w:after="60" w:line="240" w:lineRule="auto"/>
      <w:jc w:val="center"/>
      <w:outlineLvl w:val="0"/>
    </w:pPr>
    <w:rPr>
      <w:rFonts w:ascii="Arial" w:hAnsi="Arial" w:cs="Arial"/>
      <w:b/>
      <w:bCs/>
      <w:kern w:val="28"/>
      <w:sz w:val="32"/>
      <w:szCs w:val="32"/>
      <w:lang w:val="en-GB" w:eastAsia="en-GB"/>
    </w:rPr>
  </w:style>
  <w:style w:type="character" w:customStyle="1" w:styleId="TytuZnak">
    <w:name w:val="Tytuł Znak"/>
    <w:basedOn w:val="Domylnaczcionkaakapitu"/>
    <w:link w:val="Tytu"/>
    <w:uiPriority w:val="99"/>
    <w:rsid w:val="0005410E"/>
    <w:rPr>
      <w:rFonts w:ascii="Arial" w:eastAsia="Times New Roman" w:hAnsi="Arial" w:cs="Arial"/>
      <w:b/>
      <w:bCs/>
      <w:kern w:val="28"/>
      <w:sz w:val="32"/>
      <w:szCs w:val="32"/>
      <w:lang w:val="en-GB" w:eastAsia="en-GB"/>
    </w:rPr>
  </w:style>
  <w:style w:type="paragraph" w:customStyle="1" w:styleId="Tytu2LTGliederung2">
    <w:name w:val="Tytu?2~LT~Gliederung 2"/>
    <w:basedOn w:val="Normalny"/>
    <w:rsid w:val="00F848CF"/>
    <w:pPr>
      <w:widowControl w:val="0"/>
      <w:tabs>
        <w:tab w:val="left" w:pos="270"/>
        <w:tab w:val="left" w:pos="900"/>
        <w:tab w:val="left" w:pos="1710"/>
        <w:tab w:val="left" w:pos="2340"/>
        <w:tab w:val="left" w:pos="3150"/>
        <w:tab w:val="left" w:pos="3780"/>
        <w:tab w:val="left" w:pos="4590"/>
        <w:tab w:val="left" w:pos="5220"/>
        <w:tab w:val="left" w:pos="6030"/>
        <w:tab w:val="left" w:pos="6660"/>
        <w:tab w:val="left" w:pos="7470"/>
        <w:tab w:val="left" w:pos="8100"/>
        <w:tab w:val="left" w:pos="8910"/>
        <w:tab w:val="left" w:pos="9540"/>
        <w:tab w:val="left" w:pos="10350"/>
        <w:tab w:val="left" w:pos="10980"/>
        <w:tab w:val="left" w:pos="11790"/>
        <w:tab w:val="left" w:pos="12420"/>
        <w:tab w:val="left" w:pos="13230"/>
        <w:tab w:val="left" w:pos="13860"/>
        <w:tab w:val="left" w:pos="14670"/>
        <w:tab w:val="left" w:pos="15300"/>
      </w:tabs>
      <w:suppressAutoHyphens/>
      <w:autoSpaceDE w:val="0"/>
      <w:spacing w:before="100" w:after="0" w:line="240" w:lineRule="auto"/>
    </w:pPr>
    <w:rPr>
      <w:rFonts w:ascii="Tahoma" w:eastAsia="Tahoma" w:hAnsi="Tahoma"/>
      <w:color w:val="000099"/>
      <w:kern w:val="1"/>
      <w:sz w:val="40"/>
      <w:szCs w:val="40"/>
      <w:lang w:eastAsia="ar-SA"/>
    </w:rPr>
  </w:style>
  <w:style w:type="paragraph" w:styleId="Poprawka">
    <w:name w:val="Revision"/>
    <w:hidden/>
    <w:uiPriority w:val="99"/>
    <w:semiHidden/>
    <w:rsid w:val="00FD6CA5"/>
    <w:rPr>
      <w:rFonts w:ascii="Times New Roman" w:eastAsia="Times New Roman" w:hAnsi="Times New Roman"/>
      <w:sz w:val="24"/>
      <w:szCs w:val="22"/>
    </w:rPr>
  </w:style>
  <w:style w:type="table" w:customStyle="1" w:styleId="Jasnasiatka1">
    <w:name w:val="Jasna siatka1"/>
    <w:basedOn w:val="Standardowy"/>
    <w:uiPriority w:val="62"/>
    <w:rsid w:val="00BF515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lista11">
    <w:name w:val="Średnia lista 11"/>
    <w:basedOn w:val="Standardowy"/>
    <w:uiPriority w:val="65"/>
    <w:rsid w:val="00BF5159"/>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ecieniowanie11">
    <w:name w:val="Średnie cieniowanie 11"/>
    <w:basedOn w:val="Standardowy"/>
    <w:uiPriority w:val="63"/>
    <w:rsid w:val="00F73D1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4">
    <w:name w:val="Light Grid Accent 4"/>
    <w:basedOn w:val="Standardowy"/>
    <w:uiPriority w:val="62"/>
    <w:rsid w:val="00596F67"/>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paragraph" w:customStyle="1" w:styleId="bodytext">
    <w:name w:val="bodytext"/>
    <w:basedOn w:val="Normalny"/>
    <w:rsid w:val="007F5022"/>
    <w:pPr>
      <w:spacing w:before="100" w:beforeAutospacing="1" w:after="100" w:afterAutospacing="1" w:line="240" w:lineRule="auto"/>
    </w:pPr>
    <w:rPr>
      <w:szCs w:val="24"/>
    </w:rPr>
  </w:style>
  <w:style w:type="paragraph" w:customStyle="1" w:styleId="PRZYPISIKI">
    <w:name w:val="PRZYPISIKI"/>
    <w:basedOn w:val="Tekstprzypisudolnego"/>
    <w:link w:val="PRZYPISIKIZnak"/>
    <w:autoRedefine/>
    <w:rsid w:val="001C165F"/>
    <w:pPr>
      <w:spacing w:after="0" w:line="240" w:lineRule="auto"/>
      <w:jc w:val="both"/>
    </w:pPr>
    <w:rPr>
      <w:sz w:val="18"/>
      <w:szCs w:val="18"/>
    </w:rPr>
  </w:style>
  <w:style w:type="character" w:customStyle="1" w:styleId="PRZYPISIKIZnak">
    <w:name w:val="PRZYPISIKI Znak"/>
    <w:basedOn w:val="Domylnaczcionkaakapitu"/>
    <w:link w:val="PRZYPISIKI"/>
    <w:rsid w:val="001C165F"/>
    <w:rPr>
      <w:rFonts w:ascii="Times New Roman" w:eastAsia="Times New Roman" w:hAnsi="Times New Roman"/>
      <w:sz w:val="18"/>
      <w:szCs w:val="18"/>
    </w:rPr>
  </w:style>
  <w:style w:type="paragraph" w:customStyle="1" w:styleId="TEKST0">
    <w:name w:val="TEKST"/>
    <w:basedOn w:val="Normalny"/>
    <w:next w:val="Normalny"/>
    <w:link w:val="TEKSTZnak"/>
    <w:rsid w:val="001C165F"/>
    <w:pPr>
      <w:spacing w:after="120" w:line="280" w:lineRule="exact"/>
      <w:jc w:val="both"/>
    </w:pPr>
    <w:rPr>
      <w:sz w:val="22"/>
    </w:rPr>
  </w:style>
  <w:style w:type="character" w:customStyle="1" w:styleId="TEKSTZnak">
    <w:name w:val="TEKST Znak"/>
    <w:basedOn w:val="Domylnaczcionkaakapitu"/>
    <w:link w:val="TEKST0"/>
    <w:rsid w:val="001C165F"/>
    <w:rPr>
      <w:rFonts w:ascii="Times New Roman" w:eastAsia="Times New Roman" w:hAnsi="Times New Roman"/>
      <w:sz w:val="22"/>
      <w:szCs w:val="22"/>
    </w:rPr>
  </w:style>
  <w:style w:type="character" w:customStyle="1" w:styleId="WW8Num3z3">
    <w:name w:val="WW8Num3z3"/>
    <w:rsid w:val="001C165F"/>
    <w:rPr>
      <w:rFonts w:ascii="Symbol" w:hAnsi="Symbol"/>
    </w:rPr>
  </w:style>
  <w:style w:type="table" w:styleId="Jasnecieniowanieakcent5">
    <w:name w:val="Light Shading Accent 5"/>
    <w:basedOn w:val="Standardowy"/>
    <w:uiPriority w:val="60"/>
    <w:rsid w:val="001C165F"/>
    <w:rPr>
      <w:rFonts w:ascii="Times New Roman" w:eastAsia="Times New Roman" w:hAnsi="Times New Roman"/>
      <w:color w:val="6D6262" w:themeColor="accent5" w:themeShade="BF"/>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styleId="Jasnasiatkaakcent5">
    <w:name w:val="Light Grid Accent 5"/>
    <w:basedOn w:val="Standardowy"/>
    <w:uiPriority w:val="62"/>
    <w:rsid w:val="001C165F"/>
    <w:rPr>
      <w:rFonts w:asciiTheme="minorHAnsi" w:eastAsia="Times New Roman" w:hAnsiTheme="minorHAnsi"/>
      <w:sz w:val="22"/>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val="0"/>
        <w:bCs/>
        <w:sz w:val="20"/>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paragraph" w:styleId="Mapadokumentu">
    <w:name w:val="Document Map"/>
    <w:basedOn w:val="Normalny"/>
    <w:link w:val="MapadokumentuZnak"/>
    <w:rsid w:val="001C165F"/>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rsid w:val="001C165F"/>
    <w:rPr>
      <w:rFonts w:ascii="Tahoma" w:eastAsia="Times New Roman" w:hAnsi="Tahoma" w:cs="Tahoma"/>
      <w:sz w:val="16"/>
      <w:szCs w:val="16"/>
    </w:rPr>
  </w:style>
  <w:style w:type="table" w:styleId="rednialista1akcent5">
    <w:name w:val="Medium List 1 Accent 5"/>
    <w:basedOn w:val="Standardowy"/>
    <w:uiPriority w:val="65"/>
    <w:rsid w:val="001C165F"/>
    <w:rPr>
      <w:rFonts w:ascii="Times New Roman" w:eastAsia="Times New Roman" w:hAnsi="Times New Roman"/>
      <w:color w:val="000000" w:themeColor="text1"/>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styleId="redniecieniowanie2akcent2">
    <w:name w:val="Medium Shading 2 Accent 2"/>
    <w:basedOn w:val="Standardowy"/>
    <w:uiPriority w:val="64"/>
    <w:rsid w:val="003F4D1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3F4D1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akcent2">
    <w:name w:val="Medium List 1 Accent 2"/>
    <w:basedOn w:val="Standardowy"/>
    <w:uiPriority w:val="65"/>
    <w:rsid w:val="003F4D1A"/>
    <w:rPr>
      <w:color w:val="000000" w:themeColor="text1"/>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redniecieniowanie2akcent3">
    <w:name w:val="Medium Shading 2 Accent 3"/>
    <w:basedOn w:val="Standardowy"/>
    <w:uiPriority w:val="64"/>
    <w:rsid w:val="003901D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3">
    <w:name w:val="Medium Shading 1 Accent 3"/>
    <w:basedOn w:val="Standardowy"/>
    <w:uiPriority w:val="63"/>
    <w:rsid w:val="003901D3"/>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redniecieniowanie2akcent11">
    <w:name w:val="Średnie cieniowanie 2 — akcent 11"/>
    <w:basedOn w:val="Standardowy"/>
    <w:uiPriority w:val="64"/>
    <w:rsid w:val="003901D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4">
    <w:name w:val="Light List Accent 4"/>
    <w:basedOn w:val="Standardowy"/>
    <w:uiPriority w:val="61"/>
    <w:rsid w:val="003901D3"/>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Jasnalistaakcent11">
    <w:name w:val="Jasna lista — akcent 11"/>
    <w:basedOn w:val="Standardowy"/>
    <w:uiPriority w:val="61"/>
    <w:rsid w:val="003901D3"/>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Jasnecieniowanieakcent3">
    <w:name w:val="Light Shading Accent 3"/>
    <w:basedOn w:val="Standardowy"/>
    <w:uiPriority w:val="60"/>
    <w:rsid w:val="00B2140D"/>
    <w:rPr>
      <w:color w:val="7B6A4D" w:themeColor="accent3" w:themeShade="BF"/>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styleId="Jasnecieniowanieakcent6">
    <w:name w:val="Light Shading Accent 6"/>
    <w:basedOn w:val="Standardowy"/>
    <w:uiPriority w:val="60"/>
    <w:rsid w:val="00B2140D"/>
    <w:rPr>
      <w:color w:val="634545" w:themeColor="accent6" w:themeShade="BF"/>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table" w:styleId="Kolorowecieniowanieakcent5">
    <w:name w:val="Colorful Shading Accent 5"/>
    <w:basedOn w:val="Standardowy"/>
    <w:uiPriority w:val="71"/>
    <w:rsid w:val="00E934FA"/>
    <w:rPr>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styleId="redniasiatka3akcent5">
    <w:name w:val="Medium Grid 3 Accent 5"/>
    <w:basedOn w:val="Standardowy"/>
    <w:uiPriority w:val="69"/>
    <w:rsid w:val="00E934F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styleId="redniasiatka2akcent4">
    <w:name w:val="Medium Grid 2 Accent 4"/>
    <w:basedOn w:val="Standardowy"/>
    <w:uiPriority w:val="68"/>
    <w:rsid w:val="00E934FA"/>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styleId="redniasiatka1akcent4">
    <w:name w:val="Medium Grid 1 Accent 4"/>
    <w:basedOn w:val="Standardowy"/>
    <w:uiPriority w:val="67"/>
    <w:rsid w:val="004D1E89"/>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redniasiatka1akcent5">
    <w:name w:val="Medium Grid 1 Accent 5"/>
    <w:basedOn w:val="Standardowy"/>
    <w:uiPriority w:val="67"/>
    <w:rsid w:val="004D1E89"/>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CellMar>
        <w:top w:w="0" w:type="dxa"/>
        <w:left w:w="108" w:type="dxa"/>
        <w:bottom w:w="0" w:type="dxa"/>
        <w:right w:w="108" w:type="dxa"/>
      </w:tblCellMar>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Kolorowasiatkaakcent5">
    <w:name w:val="Colorful Grid Accent 5"/>
    <w:basedOn w:val="Standardowy"/>
    <w:uiPriority w:val="73"/>
    <w:rsid w:val="0082166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rednialista2akcent3">
    <w:name w:val="Medium List 2 Accent 3"/>
    <w:basedOn w:val="Standardowy"/>
    <w:uiPriority w:val="66"/>
    <w:rsid w:val="0082166A"/>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Jasnalistaakcent6">
    <w:name w:val="Light List Accent 6"/>
    <w:basedOn w:val="Standardowy"/>
    <w:uiPriority w:val="61"/>
    <w:rsid w:val="0082166A"/>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Kolorowalistaakcent1">
    <w:name w:val="Colorful List Accent 1"/>
    <w:basedOn w:val="Standardowy"/>
    <w:uiPriority w:val="72"/>
    <w:rsid w:val="0082166A"/>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styleId="redniasiatka2akcent3">
    <w:name w:val="Medium Grid 2 Accent 3"/>
    <w:basedOn w:val="Standardowy"/>
    <w:uiPriority w:val="68"/>
    <w:rsid w:val="0082166A"/>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redniasiatka31">
    <w:name w:val="Średnia siatka 31"/>
    <w:basedOn w:val="Standardowy"/>
    <w:uiPriority w:val="69"/>
    <w:rsid w:val="0082166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Jasnasiatkaakcent6">
    <w:name w:val="Light Grid Accent 6"/>
    <w:basedOn w:val="Standardowy"/>
    <w:uiPriority w:val="62"/>
    <w:rsid w:val="0082166A"/>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customStyle="1" w:styleId="Jasnasiatkaakcent11">
    <w:name w:val="Jasna siatka — akcent 11"/>
    <w:basedOn w:val="Standardowy"/>
    <w:uiPriority w:val="62"/>
    <w:rsid w:val="00685199"/>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redniecieniowanie1akcent6">
    <w:name w:val="Medium Shading 1 Accent 6"/>
    <w:basedOn w:val="Standardowy"/>
    <w:uiPriority w:val="63"/>
    <w:rsid w:val="00E22D5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dniasiatka3akcent6">
    <w:name w:val="Medium Grid 3 Accent 6"/>
    <w:basedOn w:val="Standardowy"/>
    <w:uiPriority w:val="69"/>
    <w:rsid w:val="00E22D5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Jasnalistaakcent12">
    <w:name w:val="Jasna lista — akcent 12"/>
    <w:basedOn w:val="Standardowy"/>
    <w:uiPriority w:val="61"/>
    <w:rsid w:val="00AF4AAC"/>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Jasnasiatkaakcent12">
    <w:name w:val="Jasna siatka — akcent 12"/>
    <w:basedOn w:val="Standardowy"/>
    <w:uiPriority w:val="62"/>
    <w:rsid w:val="00C718AE"/>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Jasnasiatkaakcent2">
    <w:name w:val="Light Grid Accent 2"/>
    <w:basedOn w:val="Standardowy"/>
    <w:uiPriority w:val="62"/>
    <w:rsid w:val="00C718AE"/>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Kolorowalistaakcent2">
    <w:name w:val="Colorful List Accent 2"/>
    <w:basedOn w:val="Standardowy"/>
    <w:uiPriority w:val="72"/>
    <w:rsid w:val="00C718A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Lista">
    <w:name w:val="List"/>
    <w:basedOn w:val="Normalny"/>
    <w:rsid w:val="00BD16A0"/>
    <w:pPr>
      <w:numPr>
        <w:numId w:val="13"/>
      </w:numPr>
      <w:spacing w:before="120" w:after="0" w:line="260" w:lineRule="exact"/>
      <w:jc w:val="both"/>
    </w:pPr>
    <w:rPr>
      <w:sz w:val="22"/>
      <w:szCs w:val="24"/>
    </w:rPr>
  </w:style>
  <w:style w:type="table" w:customStyle="1" w:styleId="Jasnalistaakcent13">
    <w:name w:val="Jasna lista — akcent 13"/>
    <w:basedOn w:val="Standardowy"/>
    <w:uiPriority w:val="61"/>
    <w:rsid w:val="00DE0861"/>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Jasnasiatkaakcent13">
    <w:name w:val="Jasna siatka — akcent 13"/>
    <w:basedOn w:val="Standardowy"/>
    <w:uiPriority w:val="62"/>
    <w:rsid w:val="00DE0861"/>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paragraph" w:customStyle="1" w:styleId="ATytutabeli">
    <w:name w:val="A Tytuł tabeli"/>
    <w:basedOn w:val="Normalny"/>
    <w:rsid w:val="004C7923"/>
    <w:pPr>
      <w:numPr>
        <w:numId w:val="17"/>
      </w:numPr>
      <w:spacing w:after="0" w:line="240" w:lineRule="auto"/>
    </w:pPr>
    <w:rPr>
      <w:szCs w:val="24"/>
    </w:rPr>
  </w:style>
  <w:style w:type="numbering" w:customStyle="1" w:styleId="Styl1">
    <w:name w:val="Styl1"/>
    <w:uiPriority w:val="99"/>
    <w:rsid w:val="0040531D"/>
    <w:pPr>
      <w:numPr>
        <w:numId w:val="18"/>
      </w:numPr>
    </w:pPr>
  </w:style>
  <w:style w:type="numbering" w:customStyle="1" w:styleId="Styl2">
    <w:name w:val="Styl2"/>
    <w:uiPriority w:val="99"/>
    <w:rsid w:val="0040531D"/>
    <w:pPr>
      <w:numPr>
        <w:numId w:val="19"/>
      </w:numPr>
    </w:pPr>
  </w:style>
  <w:style w:type="numbering" w:customStyle="1" w:styleId="Styl3">
    <w:name w:val="Styl3"/>
    <w:uiPriority w:val="99"/>
    <w:rsid w:val="0040531D"/>
    <w:pPr>
      <w:numPr>
        <w:numId w:val="20"/>
      </w:numPr>
    </w:pPr>
  </w:style>
  <w:style w:type="numbering" w:customStyle="1" w:styleId="Styl4">
    <w:name w:val="Styl4"/>
    <w:uiPriority w:val="99"/>
    <w:rsid w:val="00275C5E"/>
    <w:pPr>
      <w:numPr>
        <w:numId w:val="21"/>
      </w:numPr>
    </w:pPr>
  </w:style>
  <w:style w:type="numbering" w:customStyle="1" w:styleId="Styl5">
    <w:name w:val="Styl5"/>
    <w:uiPriority w:val="99"/>
    <w:rsid w:val="00275C5E"/>
    <w:pPr>
      <w:numPr>
        <w:numId w:val="22"/>
      </w:numPr>
    </w:pPr>
  </w:style>
  <w:style w:type="numbering" w:customStyle="1" w:styleId="Styl6">
    <w:name w:val="Styl6"/>
    <w:uiPriority w:val="99"/>
    <w:rsid w:val="00593736"/>
    <w:pPr>
      <w:numPr>
        <w:numId w:val="23"/>
      </w:numPr>
    </w:pPr>
  </w:style>
  <w:style w:type="numbering" w:customStyle="1" w:styleId="Styl7">
    <w:name w:val="Styl7"/>
    <w:uiPriority w:val="99"/>
    <w:rsid w:val="00593736"/>
    <w:pPr>
      <w:numPr>
        <w:numId w:val="24"/>
      </w:numPr>
    </w:pPr>
  </w:style>
  <w:style w:type="numbering" w:customStyle="1" w:styleId="Styl8">
    <w:name w:val="Styl8"/>
    <w:uiPriority w:val="99"/>
    <w:rsid w:val="00A4184E"/>
    <w:pPr>
      <w:numPr>
        <w:numId w:val="26"/>
      </w:numPr>
    </w:pPr>
  </w:style>
  <w:style w:type="character" w:customStyle="1" w:styleId="Nagwek3Znak">
    <w:name w:val="Nagłówek 3 Znak"/>
    <w:basedOn w:val="Domylnaczcionkaakapitu"/>
    <w:link w:val="Nagwek3"/>
    <w:uiPriority w:val="9"/>
    <w:semiHidden/>
    <w:rsid w:val="005562B5"/>
    <w:rPr>
      <w:rFonts w:asciiTheme="majorHAnsi" w:eastAsiaTheme="majorEastAsia" w:hAnsiTheme="majorHAnsi" w:cstheme="majorBidi"/>
      <w:b/>
      <w:bCs/>
      <w:color w:val="D34817" w:themeColor="accent1"/>
      <w:sz w:val="24"/>
      <w:szCs w:val="22"/>
    </w:rPr>
  </w:style>
  <w:style w:type="character" w:customStyle="1" w:styleId="Nagwek4Znak">
    <w:name w:val="Nagłówek 4 Znak"/>
    <w:basedOn w:val="Domylnaczcionkaakapitu"/>
    <w:link w:val="Nagwek4"/>
    <w:uiPriority w:val="9"/>
    <w:semiHidden/>
    <w:rsid w:val="005562B5"/>
    <w:rPr>
      <w:rFonts w:asciiTheme="majorHAnsi" w:eastAsiaTheme="majorEastAsia" w:hAnsiTheme="majorHAnsi" w:cstheme="majorBidi"/>
      <w:b/>
      <w:bCs/>
      <w:i/>
      <w:iCs/>
      <w:color w:val="D34817" w:themeColor="accent1"/>
      <w:sz w:val="24"/>
      <w:szCs w:val="22"/>
    </w:rPr>
  </w:style>
  <w:style w:type="character" w:customStyle="1" w:styleId="Nagwek6Znak">
    <w:name w:val="Nagłówek 6 Znak"/>
    <w:basedOn w:val="Domylnaczcionkaakapitu"/>
    <w:link w:val="Nagwek6"/>
    <w:uiPriority w:val="9"/>
    <w:semiHidden/>
    <w:rsid w:val="005562B5"/>
    <w:rPr>
      <w:rFonts w:asciiTheme="majorHAnsi" w:eastAsiaTheme="majorEastAsia" w:hAnsiTheme="majorHAnsi" w:cstheme="majorBidi"/>
      <w:i/>
      <w:iCs/>
      <w:color w:val="68230B" w:themeColor="accent1" w:themeShade="7F"/>
      <w:sz w:val="24"/>
      <w:szCs w:val="22"/>
    </w:rPr>
  </w:style>
  <w:style w:type="character" w:customStyle="1" w:styleId="Nagwek8Znak">
    <w:name w:val="Nagłówek 8 Znak"/>
    <w:basedOn w:val="Domylnaczcionkaakapitu"/>
    <w:link w:val="Nagwek8"/>
    <w:uiPriority w:val="9"/>
    <w:semiHidden/>
    <w:rsid w:val="005562B5"/>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5562B5"/>
    <w:rPr>
      <w:rFonts w:asciiTheme="majorHAnsi" w:eastAsiaTheme="majorEastAsia" w:hAnsiTheme="majorHAnsi" w:cstheme="majorBidi"/>
      <w:i/>
      <w:iCs/>
      <w:color w:val="404040" w:themeColor="text1" w:themeTint="BF"/>
    </w:rPr>
  </w:style>
  <w:style w:type="paragraph" w:customStyle="1" w:styleId="Styl9">
    <w:name w:val="Styl9"/>
    <w:basedOn w:val="Nagwek1"/>
    <w:link w:val="Styl9Znak"/>
    <w:qFormat/>
    <w:rsid w:val="0086470F"/>
    <w:pPr>
      <w:numPr>
        <w:ilvl w:val="1"/>
        <w:numId w:val="27"/>
      </w:numPr>
      <w:tabs>
        <w:tab w:val="left" w:pos="426"/>
      </w:tabs>
      <w:spacing w:before="240" w:after="120"/>
      <w:jc w:val="both"/>
    </w:pPr>
    <w:rPr>
      <w:sz w:val="22"/>
      <w:szCs w:val="22"/>
    </w:rPr>
  </w:style>
  <w:style w:type="numbering" w:customStyle="1" w:styleId="Styl10">
    <w:name w:val="Styl10"/>
    <w:uiPriority w:val="99"/>
    <w:rsid w:val="0039534D"/>
    <w:pPr>
      <w:numPr>
        <w:numId w:val="29"/>
      </w:numPr>
    </w:pPr>
  </w:style>
  <w:style w:type="character" w:customStyle="1" w:styleId="Styl9Znak">
    <w:name w:val="Styl9 Znak"/>
    <w:basedOn w:val="Nagwek1Znak"/>
    <w:link w:val="Styl9"/>
    <w:rsid w:val="0086470F"/>
    <w:rPr>
      <w:rFonts w:ascii="Times New Roman" w:eastAsia="Times New Roman" w:hAnsi="Times New Roman"/>
      <w:b/>
      <w:bCs/>
      <w:sz w:val="22"/>
      <w:szCs w:val="22"/>
    </w:rPr>
  </w:style>
  <w:style w:type="numbering" w:customStyle="1" w:styleId="Styl11">
    <w:name w:val="Styl11"/>
    <w:uiPriority w:val="99"/>
    <w:rsid w:val="005B0882"/>
    <w:pPr>
      <w:numPr>
        <w:numId w:val="31"/>
      </w:numPr>
    </w:pPr>
  </w:style>
  <w:style w:type="numbering" w:customStyle="1" w:styleId="Styl12">
    <w:name w:val="Styl12"/>
    <w:uiPriority w:val="99"/>
    <w:rsid w:val="00EA0E63"/>
    <w:pPr>
      <w:numPr>
        <w:numId w:val="32"/>
      </w:numPr>
    </w:pPr>
  </w:style>
  <w:style w:type="numbering" w:customStyle="1" w:styleId="Styl13">
    <w:name w:val="Styl13"/>
    <w:uiPriority w:val="99"/>
    <w:rsid w:val="00AF2932"/>
    <w:pPr>
      <w:numPr>
        <w:numId w:val="33"/>
      </w:numPr>
    </w:pPr>
  </w:style>
  <w:style w:type="numbering" w:customStyle="1" w:styleId="Styl14">
    <w:name w:val="Styl14"/>
    <w:uiPriority w:val="99"/>
    <w:rsid w:val="0074681F"/>
    <w:pPr>
      <w:numPr>
        <w:numId w:val="37"/>
      </w:numPr>
    </w:pPr>
  </w:style>
  <w:style w:type="table" w:styleId="Jasnecieniowanieakcent2">
    <w:name w:val="Light Shading Accent 2"/>
    <w:basedOn w:val="Standardowy"/>
    <w:uiPriority w:val="60"/>
    <w:rsid w:val="00302693"/>
    <w:rPr>
      <w:color w:val="732117" w:themeColor="accent2" w:themeShade="BF"/>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redniecieniowanie2akcent12">
    <w:name w:val="Średnie cieniowanie 2 — akcent 12"/>
    <w:basedOn w:val="Standardowy"/>
    <w:uiPriority w:val="64"/>
    <w:rsid w:val="0030269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1">
    <w:name w:val="Średnie cieniowanie 21"/>
    <w:basedOn w:val="Standardowy"/>
    <w:uiPriority w:val="64"/>
    <w:rsid w:val="0030269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lorowecieniowanieakcent1">
    <w:name w:val="Colorful Shading Accent 1"/>
    <w:basedOn w:val="Standardowy"/>
    <w:uiPriority w:val="71"/>
    <w:rsid w:val="00302693"/>
    <w:rPr>
      <w:color w:val="000000" w:themeColor="text1"/>
    </w:rPr>
    <w:tblPr>
      <w:tblStyleRowBandSize w:val="1"/>
      <w:tblStyleColBandSize w:val="1"/>
      <w:tblInd w:w="0" w:type="dxa"/>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styleId="Kolorowalistaakcent3">
    <w:name w:val="Colorful List Accent 3"/>
    <w:basedOn w:val="Standardowy"/>
    <w:uiPriority w:val="72"/>
    <w:rsid w:val="0030269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styleId="Kolorowalistaakcent4">
    <w:name w:val="Colorful List Accent 4"/>
    <w:basedOn w:val="Standardowy"/>
    <w:uiPriority w:val="72"/>
    <w:rsid w:val="0030269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styleId="Kolorowalistaakcent5">
    <w:name w:val="Colorful List Accent 5"/>
    <w:basedOn w:val="Standardowy"/>
    <w:uiPriority w:val="72"/>
    <w:rsid w:val="0030269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styleId="Kolorowalistaakcent6">
    <w:name w:val="Colorful List Accent 6"/>
    <w:basedOn w:val="Standardowy"/>
    <w:uiPriority w:val="72"/>
    <w:rsid w:val="0030269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Kolorowecieniowanieakcent2">
    <w:name w:val="Colorful Shading Accent 2"/>
    <w:basedOn w:val="Standardowy"/>
    <w:uiPriority w:val="71"/>
    <w:rsid w:val="00302693"/>
    <w:rPr>
      <w:color w:val="000000" w:themeColor="text1"/>
    </w:rPr>
    <w:tblPr>
      <w:tblStyleRowBandSize w:val="1"/>
      <w:tblStyleColBandSize w:val="1"/>
      <w:tblInd w:w="0" w:type="dxa"/>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302693"/>
    <w:rPr>
      <w:color w:val="000000" w:themeColor="text1"/>
    </w:rPr>
    <w:tblPr>
      <w:tblStyleRowBandSize w:val="1"/>
      <w:tblStyleColBandSize w:val="1"/>
      <w:tblInd w:w="0" w:type="dxa"/>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table" w:styleId="redniasiatka3akcent4">
    <w:name w:val="Medium Grid 3 Accent 4"/>
    <w:basedOn w:val="Standardowy"/>
    <w:uiPriority w:val="69"/>
    <w:rsid w:val="00B6485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styleId="redniecieniowanie2akcent6">
    <w:name w:val="Medium Shading 2 Accent 6"/>
    <w:basedOn w:val="Standardowy"/>
    <w:uiPriority w:val="64"/>
    <w:rsid w:val="00B648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B648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3">
    <w:name w:val="Średnie cieniowanie 2 — akcent 13"/>
    <w:basedOn w:val="Standardowy"/>
    <w:uiPriority w:val="64"/>
    <w:rsid w:val="00B648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2">
    <w:name w:val="Średnie cieniowanie 22"/>
    <w:basedOn w:val="Standardowy"/>
    <w:uiPriority w:val="64"/>
    <w:rsid w:val="00B648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listaakcent14">
    <w:name w:val="Jasna lista — akcent 14"/>
    <w:basedOn w:val="Standardowy"/>
    <w:uiPriority w:val="61"/>
    <w:rsid w:val="00580D93"/>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redniasiatka3akcent1">
    <w:name w:val="Medium Grid 3 Accent 1"/>
    <w:basedOn w:val="Standardowy"/>
    <w:uiPriority w:val="69"/>
    <w:rsid w:val="00580D9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styleId="redniasiatka3akcent2">
    <w:name w:val="Medium Grid 3 Accent 2"/>
    <w:basedOn w:val="Standardowy"/>
    <w:uiPriority w:val="69"/>
    <w:rsid w:val="00580D9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styleId="redniasiatka2akcent2">
    <w:name w:val="Medium Grid 2 Accent 2"/>
    <w:basedOn w:val="Standardowy"/>
    <w:uiPriority w:val="68"/>
    <w:rsid w:val="00580D93"/>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580D93"/>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styleId="redniasiatka1akcent3">
    <w:name w:val="Medium Grid 1 Accent 3"/>
    <w:basedOn w:val="Standardowy"/>
    <w:uiPriority w:val="67"/>
    <w:rsid w:val="00672B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CellMar>
        <w:top w:w="0" w:type="dxa"/>
        <w:left w:w="108" w:type="dxa"/>
        <w:bottom w:w="0" w:type="dxa"/>
        <w:right w:w="108" w:type="dxa"/>
      </w:tblCellMar>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paragraph" w:customStyle="1" w:styleId="default0">
    <w:name w:val="default"/>
    <w:basedOn w:val="Normalny"/>
    <w:rsid w:val="005D2D53"/>
    <w:pPr>
      <w:spacing w:before="100" w:beforeAutospacing="1" w:after="100" w:afterAutospacing="1" w:line="240" w:lineRule="auto"/>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745">
      <w:bodyDiv w:val="1"/>
      <w:marLeft w:val="0"/>
      <w:marRight w:val="0"/>
      <w:marTop w:val="0"/>
      <w:marBottom w:val="0"/>
      <w:divBdr>
        <w:top w:val="none" w:sz="0" w:space="0" w:color="auto"/>
        <w:left w:val="none" w:sz="0" w:space="0" w:color="auto"/>
        <w:bottom w:val="none" w:sz="0" w:space="0" w:color="auto"/>
        <w:right w:val="none" w:sz="0" w:space="0" w:color="auto"/>
      </w:divBdr>
    </w:div>
    <w:div w:id="3630032">
      <w:bodyDiv w:val="1"/>
      <w:marLeft w:val="0"/>
      <w:marRight w:val="0"/>
      <w:marTop w:val="0"/>
      <w:marBottom w:val="0"/>
      <w:divBdr>
        <w:top w:val="none" w:sz="0" w:space="0" w:color="auto"/>
        <w:left w:val="none" w:sz="0" w:space="0" w:color="auto"/>
        <w:bottom w:val="none" w:sz="0" w:space="0" w:color="auto"/>
        <w:right w:val="none" w:sz="0" w:space="0" w:color="auto"/>
      </w:divBdr>
    </w:div>
    <w:div w:id="5332739">
      <w:bodyDiv w:val="1"/>
      <w:marLeft w:val="0"/>
      <w:marRight w:val="0"/>
      <w:marTop w:val="0"/>
      <w:marBottom w:val="0"/>
      <w:divBdr>
        <w:top w:val="none" w:sz="0" w:space="0" w:color="auto"/>
        <w:left w:val="none" w:sz="0" w:space="0" w:color="auto"/>
        <w:bottom w:val="none" w:sz="0" w:space="0" w:color="auto"/>
        <w:right w:val="none" w:sz="0" w:space="0" w:color="auto"/>
      </w:divBdr>
      <w:divsChild>
        <w:div w:id="2121022281">
          <w:marLeft w:val="0"/>
          <w:marRight w:val="0"/>
          <w:marTop w:val="0"/>
          <w:marBottom w:val="0"/>
          <w:divBdr>
            <w:top w:val="none" w:sz="0" w:space="0" w:color="auto"/>
            <w:left w:val="none" w:sz="0" w:space="0" w:color="auto"/>
            <w:bottom w:val="none" w:sz="0" w:space="0" w:color="auto"/>
            <w:right w:val="none" w:sz="0" w:space="0" w:color="auto"/>
          </w:divBdr>
          <w:divsChild>
            <w:div w:id="1512407015">
              <w:marLeft w:val="0"/>
              <w:marRight w:val="0"/>
              <w:marTop w:val="0"/>
              <w:marBottom w:val="0"/>
              <w:divBdr>
                <w:top w:val="none" w:sz="0" w:space="0" w:color="auto"/>
                <w:left w:val="none" w:sz="0" w:space="0" w:color="auto"/>
                <w:bottom w:val="none" w:sz="0" w:space="0" w:color="auto"/>
                <w:right w:val="none" w:sz="0" w:space="0" w:color="auto"/>
              </w:divBdr>
              <w:divsChild>
                <w:div w:id="1487355714">
                  <w:marLeft w:val="0"/>
                  <w:marRight w:val="0"/>
                  <w:marTop w:val="0"/>
                  <w:marBottom w:val="0"/>
                  <w:divBdr>
                    <w:top w:val="none" w:sz="0" w:space="0" w:color="auto"/>
                    <w:left w:val="none" w:sz="0" w:space="0" w:color="auto"/>
                    <w:bottom w:val="none" w:sz="0" w:space="0" w:color="auto"/>
                    <w:right w:val="none" w:sz="0" w:space="0" w:color="auto"/>
                  </w:divBdr>
                  <w:divsChild>
                    <w:div w:id="1828127603">
                      <w:marLeft w:val="0"/>
                      <w:marRight w:val="0"/>
                      <w:marTop w:val="0"/>
                      <w:marBottom w:val="0"/>
                      <w:divBdr>
                        <w:top w:val="none" w:sz="0" w:space="0" w:color="auto"/>
                        <w:left w:val="none" w:sz="0" w:space="0" w:color="auto"/>
                        <w:bottom w:val="none" w:sz="0" w:space="0" w:color="auto"/>
                        <w:right w:val="none" w:sz="0" w:space="0" w:color="auto"/>
                      </w:divBdr>
                      <w:divsChild>
                        <w:div w:id="617682234">
                          <w:marLeft w:val="0"/>
                          <w:marRight w:val="0"/>
                          <w:marTop w:val="0"/>
                          <w:marBottom w:val="0"/>
                          <w:divBdr>
                            <w:top w:val="none" w:sz="0" w:space="0" w:color="auto"/>
                            <w:left w:val="none" w:sz="0" w:space="0" w:color="auto"/>
                            <w:bottom w:val="none" w:sz="0" w:space="0" w:color="auto"/>
                            <w:right w:val="none" w:sz="0" w:space="0" w:color="auto"/>
                          </w:divBdr>
                          <w:divsChild>
                            <w:div w:id="1385564041">
                              <w:marLeft w:val="0"/>
                              <w:marRight w:val="0"/>
                              <w:marTop w:val="0"/>
                              <w:marBottom w:val="0"/>
                              <w:divBdr>
                                <w:top w:val="none" w:sz="0" w:space="0" w:color="auto"/>
                                <w:left w:val="none" w:sz="0" w:space="0" w:color="auto"/>
                                <w:bottom w:val="none" w:sz="0" w:space="0" w:color="auto"/>
                                <w:right w:val="none" w:sz="0" w:space="0" w:color="auto"/>
                              </w:divBdr>
                              <w:divsChild>
                                <w:div w:id="262567669">
                                  <w:marLeft w:val="0"/>
                                  <w:marRight w:val="0"/>
                                  <w:marTop w:val="0"/>
                                  <w:marBottom w:val="0"/>
                                  <w:divBdr>
                                    <w:top w:val="none" w:sz="0" w:space="0" w:color="auto"/>
                                    <w:left w:val="none" w:sz="0" w:space="0" w:color="auto"/>
                                    <w:bottom w:val="none" w:sz="0" w:space="0" w:color="auto"/>
                                    <w:right w:val="none" w:sz="0" w:space="0" w:color="auto"/>
                                  </w:divBdr>
                                  <w:divsChild>
                                    <w:div w:id="390353259">
                                      <w:marLeft w:val="0"/>
                                      <w:marRight w:val="0"/>
                                      <w:marTop w:val="0"/>
                                      <w:marBottom w:val="0"/>
                                      <w:divBdr>
                                        <w:top w:val="none" w:sz="0" w:space="0" w:color="auto"/>
                                        <w:left w:val="none" w:sz="0" w:space="0" w:color="auto"/>
                                        <w:bottom w:val="none" w:sz="0" w:space="0" w:color="auto"/>
                                        <w:right w:val="none" w:sz="0" w:space="0" w:color="auto"/>
                                      </w:divBdr>
                                      <w:divsChild>
                                        <w:div w:id="18015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69347">
      <w:bodyDiv w:val="1"/>
      <w:marLeft w:val="0"/>
      <w:marRight w:val="0"/>
      <w:marTop w:val="0"/>
      <w:marBottom w:val="0"/>
      <w:divBdr>
        <w:top w:val="none" w:sz="0" w:space="0" w:color="auto"/>
        <w:left w:val="none" w:sz="0" w:space="0" w:color="auto"/>
        <w:bottom w:val="none" w:sz="0" w:space="0" w:color="auto"/>
        <w:right w:val="none" w:sz="0" w:space="0" w:color="auto"/>
      </w:divBdr>
    </w:div>
    <w:div w:id="22218814">
      <w:bodyDiv w:val="1"/>
      <w:marLeft w:val="0"/>
      <w:marRight w:val="0"/>
      <w:marTop w:val="0"/>
      <w:marBottom w:val="0"/>
      <w:divBdr>
        <w:top w:val="none" w:sz="0" w:space="0" w:color="auto"/>
        <w:left w:val="none" w:sz="0" w:space="0" w:color="auto"/>
        <w:bottom w:val="none" w:sz="0" w:space="0" w:color="auto"/>
        <w:right w:val="none" w:sz="0" w:space="0" w:color="auto"/>
      </w:divBdr>
      <w:divsChild>
        <w:div w:id="1559778420">
          <w:marLeft w:val="0"/>
          <w:marRight w:val="0"/>
          <w:marTop w:val="0"/>
          <w:marBottom w:val="0"/>
          <w:divBdr>
            <w:top w:val="none" w:sz="0" w:space="0" w:color="auto"/>
            <w:left w:val="none" w:sz="0" w:space="0" w:color="auto"/>
            <w:bottom w:val="none" w:sz="0" w:space="0" w:color="auto"/>
            <w:right w:val="none" w:sz="0" w:space="0" w:color="auto"/>
          </w:divBdr>
          <w:divsChild>
            <w:div w:id="1559517547">
              <w:marLeft w:val="0"/>
              <w:marRight w:val="0"/>
              <w:marTop w:val="0"/>
              <w:marBottom w:val="0"/>
              <w:divBdr>
                <w:top w:val="none" w:sz="0" w:space="0" w:color="auto"/>
                <w:left w:val="none" w:sz="0" w:space="0" w:color="auto"/>
                <w:bottom w:val="none" w:sz="0" w:space="0" w:color="auto"/>
                <w:right w:val="none" w:sz="0" w:space="0" w:color="auto"/>
              </w:divBdr>
              <w:divsChild>
                <w:div w:id="1060178130">
                  <w:marLeft w:val="0"/>
                  <w:marRight w:val="0"/>
                  <w:marTop w:val="0"/>
                  <w:marBottom w:val="0"/>
                  <w:divBdr>
                    <w:top w:val="none" w:sz="0" w:space="0" w:color="auto"/>
                    <w:left w:val="none" w:sz="0" w:space="0" w:color="auto"/>
                    <w:bottom w:val="none" w:sz="0" w:space="0" w:color="auto"/>
                    <w:right w:val="none" w:sz="0" w:space="0" w:color="auto"/>
                  </w:divBdr>
                  <w:divsChild>
                    <w:div w:id="41558207">
                      <w:marLeft w:val="0"/>
                      <w:marRight w:val="0"/>
                      <w:marTop w:val="0"/>
                      <w:marBottom w:val="0"/>
                      <w:divBdr>
                        <w:top w:val="none" w:sz="0" w:space="0" w:color="auto"/>
                        <w:left w:val="none" w:sz="0" w:space="0" w:color="auto"/>
                        <w:bottom w:val="none" w:sz="0" w:space="0" w:color="auto"/>
                        <w:right w:val="none" w:sz="0" w:space="0" w:color="auto"/>
                      </w:divBdr>
                    </w:div>
                    <w:div w:id="603344828">
                      <w:marLeft w:val="0"/>
                      <w:marRight w:val="0"/>
                      <w:marTop w:val="0"/>
                      <w:marBottom w:val="0"/>
                      <w:divBdr>
                        <w:top w:val="none" w:sz="0" w:space="0" w:color="auto"/>
                        <w:left w:val="none" w:sz="0" w:space="0" w:color="auto"/>
                        <w:bottom w:val="none" w:sz="0" w:space="0" w:color="auto"/>
                        <w:right w:val="none" w:sz="0" w:space="0" w:color="auto"/>
                      </w:divBdr>
                    </w:div>
                  </w:divsChild>
                </w:div>
                <w:div w:id="1233270058">
                  <w:marLeft w:val="0"/>
                  <w:marRight w:val="0"/>
                  <w:marTop w:val="0"/>
                  <w:marBottom w:val="0"/>
                  <w:divBdr>
                    <w:top w:val="none" w:sz="0" w:space="0" w:color="auto"/>
                    <w:left w:val="none" w:sz="0" w:space="0" w:color="auto"/>
                    <w:bottom w:val="none" w:sz="0" w:space="0" w:color="auto"/>
                    <w:right w:val="none" w:sz="0" w:space="0" w:color="auto"/>
                  </w:divBdr>
                </w:div>
                <w:div w:id="1338465853">
                  <w:marLeft w:val="0"/>
                  <w:marRight w:val="0"/>
                  <w:marTop w:val="0"/>
                  <w:marBottom w:val="0"/>
                  <w:divBdr>
                    <w:top w:val="none" w:sz="0" w:space="0" w:color="auto"/>
                    <w:left w:val="none" w:sz="0" w:space="0" w:color="auto"/>
                    <w:bottom w:val="none" w:sz="0" w:space="0" w:color="auto"/>
                    <w:right w:val="none" w:sz="0" w:space="0" w:color="auto"/>
                  </w:divBdr>
                  <w:divsChild>
                    <w:div w:id="864632775">
                      <w:marLeft w:val="0"/>
                      <w:marRight w:val="0"/>
                      <w:marTop w:val="0"/>
                      <w:marBottom w:val="0"/>
                      <w:divBdr>
                        <w:top w:val="none" w:sz="0" w:space="0" w:color="auto"/>
                        <w:left w:val="none" w:sz="0" w:space="0" w:color="auto"/>
                        <w:bottom w:val="none" w:sz="0" w:space="0" w:color="auto"/>
                        <w:right w:val="none" w:sz="0" w:space="0" w:color="auto"/>
                      </w:divBdr>
                      <w:divsChild>
                        <w:div w:id="1347944616">
                          <w:marLeft w:val="0"/>
                          <w:marRight w:val="0"/>
                          <w:marTop w:val="0"/>
                          <w:marBottom w:val="0"/>
                          <w:divBdr>
                            <w:top w:val="none" w:sz="0" w:space="0" w:color="auto"/>
                            <w:left w:val="none" w:sz="0" w:space="0" w:color="auto"/>
                            <w:bottom w:val="none" w:sz="0" w:space="0" w:color="auto"/>
                            <w:right w:val="none" w:sz="0" w:space="0" w:color="auto"/>
                          </w:divBdr>
                        </w:div>
                      </w:divsChild>
                    </w:div>
                    <w:div w:id="18130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3001">
              <w:marLeft w:val="0"/>
              <w:marRight w:val="0"/>
              <w:marTop w:val="0"/>
              <w:marBottom w:val="0"/>
              <w:divBdr>
                <w:top w:val="none" w:sz="0" w:space="0" w:color="auto"/>
                <w:left w:val="none" w:sz="0" w:space="0" w:color="auto"/>
                <w:bottom w:val="none" w:sz="0" w:space="0" w:color="auto"/>
                <w:right w:val="none" w:sz="0" w:space="0" w:color="auto"/>
              </w:divBdr>
              <w:divsChild>
                <w:div w:id="692223270">
                  <w:marLeft w:val="0"/>
                  <w:marRight w:val="0"/>
                  <w:marTop w:val="0"/>
                  <w:marBottom w:val="0"/>
                  <w:divBdr>
                    <w:top w:val="none" w:sz="0" w:space="0" w:color="auto"/>
                    <w:left w:val="none" w:sz="0" w:space="0" w:color="auto"/>
                    <w:bottom w:val="none" w:sz="0" w:space="0" w:color="auto"/>
                    <w:right w:val="none" w:sz="0" w:space="0" w:color="auto"/>
                  </w:divBdr>
                  <w:divsChild>
                    <w:div w:id="1533305153">
                      <w:marLeft w:val="0"/>
                      <w:marRight w:val="0"/>
                      <w:marTop w:val="0"/>
                      <w:marBottom w:val="0"/>
                      <w:divBdr>
                        <w:top w:val="none" w:sz="0" w:space="0" w:color="auto"/>
                        <w:left w:val="none" w:sz="0" w:space="0" w:color="auto"/>
                        <w:bottom w:val="none" w:sz="0" w:space="0" w:color="auto"/>
                        <w:right w:val="none" w:sz="0" w:space="0" w:color="auto"/>
                      </w:divBdr>
                    </w:div>
                    <w:div w:id="1564488603">
                      <w:marLeft w:val="0"/>
                      <w:marRight w:val="0"/>
                      <w:marTop w:val="0"/>
                      <w:marBottom w:val="0"/>
                      <w:divBdr>
                        <w:top w:val="none" w:sz="0" w:space="0" w:color="auto"/>
                        <w:left w:val="none" w:sz="0" w:space="0" w:color="auto"/>
                        <w:bottom w:val="none" w:sz="0" w:space="0" w:color="auto"/>
                        <w:right w:val="none" w:sz="0" w:space="0" w:color="auto"/>
                      </w:divBdr>
                      <w:divsChild>
                        <w:div w:id="3058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9246">
                  <w:marLeft w:val="0"/>
                  <w:marRight w:val="0"/>
                  <w:marTop w:val="0"/>
                  <w:marBottom w:val="0"/>
                  <w:divBdr>
                    <w:top w:val="none" w:sz="0" w:space="0" w:color="auto"/>
                    <w:left w:val="none" w:sz="0" w:space="0" w:color="auto"/>
                    <w:bottom w:val="none" w:sz="0" w:space="0" w:color="auto"/>
                    <w:right w:val="none" w:sz="0" w:space="0" w:color="auto"/>
                  </w:divBdr>
                  <w:divsChild>
                    <w:div w:id="667832200">
                      <w:marLeft w:val="0"/>
                      <w:marRight w:val="0"/>
                      <w:marTop w:val="0"/>
                      <w:marBottom w:val="0"/>
                      <w:divBdr>
                        <w:top w:val="none" w:sz="0" w:space="0" w:color="auto"/>
                        <w:left w:val="none" w:sz="0" w:space="0" w:color="auto"/>
                        <w:bottom w:val="none" w:sz="0" w:space="0" w:color="auto"/>
                        <w:right w:val="none" w:sz="0" w:space="0" w:color="auto"/>
                      </w:divBdr>
                      <w:divsChild>
                        <w:div w:id="9936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3419">
              <w:marLeft w:val="0"/>
              <w:marRight w:val="0"/>
              <w:marTop w:val="0"/>
              <w:marBottom w:val="0"/>
              <w:divBdr>
                <w:top w:val="none" w:sz="0" w:space="0" w:color="auto"/>
                <w:left w:val="none" w:sz="0" w:space="0" w:color="auto"/>
                <w:bottom w:val="none" w:sz="0" w:space="0" w:color="auto"/>
                <w:right w:val="none" w:sz="0" w:space="0" w:color="auto"/>
              </w:divBdr>
              <w:divsChild>
                <w:div w:id="1033773887">
                  <w:marLeft w:val="0"/>
                  <w:marRight w:val="0"/>
                  <w:marTop w:val="0"/>
                  <w:marBottom w:val="0"/>
                  <w:divBdr>
                    <w:top w:val="none" w:sz="0" w:space="0" w:color="auto"/>
                    <w:left w:val="none" w:sz="0" w:space="0" w:color="auto"/>
                    <w:bottom w:val="none" w:sz="0" w:space="0" w:color="auto"/>
                    <w:right w:val="none" w:sz="0" w:space="0" w:color="auto"/>
                  </w:divBdr>
                  <w:divsChild>
                    <w:div w:id="1451244586">
                      <w:marLeft w:val="0"/>
                      <w:marRight w:val="0"/>
                      <w:marTop w:val="0"/>
                      <w:marBottom w:val="0"/>
                      <w:divBdr>
                        <w:top w:val="none" w:sz="0" w:space="0" w:color="auto"/>
                        <w:left w:val="none" w:sz="0" w:space="0" w:color="auto"/>
                        <w:bottom w:val="none" w:sz="0" w:space="0" w:color="auto"/>
                        <w:right w:val="none" w:sz="0" w:space="0" w:color="auto"/>
                      </w:divBdr>
                    </w:div>
                  </w:divsChild>
                </w:div>
                <w:div w:id="1048190697">
                  <w:marLeft w:val="0"/>
                  <w:marRight w:val="0"/>
                  <w:marTop w:val="0"/>
                  <w:marBottom w:val="0"/>
                  <w:divBdr>
                    <w:top w:val="none" w:sz="0" w:space="0" w:color="auto"/>
                    <w:left w:val="none" w:sz="0" w:space="0" w:color="auto"/>
                    <w:bottom w:val="none" w:sz="0" w:space="0" w:color="auto"/>
                    <w:right w:val="none" w:sz="0" w:space="0" w:color="auto"/>
                  </w:divBdr>
                  <w:divsChild>
                    <w:div w:id="13919968">
                      <w:marLeft w:val="0"/>
                      <w:marRight w:val="0"/>
                      <w:marTop w:val="0"/>
                      <w:marBottom w:val="0"/>
                      <w:divBdr>
                        <w:top w:val="none" w:sz="0" w:space="0" w:color="auto"/>
                        <w:left w:val="none" w:sz="0" w:space="0" w:color="auto"/>
                        <w:bottom w:val="none" w:sz="0" w:space="0" w:color="auto"/>
                        <w:right w:val="none" w:sz="0" w:space="0" w:color="auto"/>
                      </w:divBdr>
                      <w:divsChild>
                        <w:div w:id="237637763">
                          <w:marLeft w:val="0"/>
                          <w:marRight w:val="0"/>
                          <w:marTop w:val="0"/>
                          <w:marBottom w:val="0"/>
                          <w:divBdr>
                            <w:top w:val="none" w:sz="0" w:space="0" w:color="auto"/>
                            <w:left w:val="none" w:sz="0" w:space="0" w:color="auto"/>
                            <w:bottom w:val="none" w:sz="0" w:space="0" w:color="auto"/>
                            <w:right w:val="none" w:sz="0" w:space="0" w:color="auto"/>
                          </w:divBdr>
                        </w:div>
                        <w:div w:id="560874310">
                          <w:marLeft w:val="0"/>
                          <w:marRight w:val="0"/>
                          <w:marTop w:val="0"/>
                          <w:marBottom w:val="0"/>
                          <w:divBdr>
                            <w:top w:val="none" w:sz="0" w:space="0" w:color="auto"/>
                            <w:left w:val="none" w:sz="0" w:space="0" w:color="auto"/>
                            <w:bottom w:val="none" w:sz="0" w:space="0" w:color="auto"/>
                            <w:right w:val="none" w:sz="0" w:space="0" w:color="auto"/>
                          </w:divBdr>
                        </w:div>
                        <w:div w:id="1964076087">
                          <w:marLeft w:val="0"/>
                          <w:marRight w:val="0"/>
                          <w:marTop w:val="0"/>
                          <w:marBottom w:val="0"/>
                          <w:divBdr>
                            <w:top w:val="none" w:sz="0" w:space="0" w:color="auto"/>
                            <w:left w:val="none" w:sz="0" w:space="0" w:color="auto"/>
                            <w:bottom w:val="none" w:sz="0" w:space="0" w:color="auto"/>
                            <w:right w:val="none" w:sz="0" w:space="0" w:color="auto"/>
                          </w:divBdr>
                        </w:div>
                        <w:div w:id="1984650300">
                          <w:marLeft w:val="0"/>
                          <w:marRight w:val="0"/>
                          <w:marTop w:val="0"/>
                          <w:marBottom w:val="0"/>
                          <w:divBdr>
                            <w:top w:val="none" w:sz="0" w:space="0" w:color="auto"/>
                            <w:left w:val="none" w:sz="0" w:space="0" w:color="auto"/>
                            <w:bottom w:val="none" w:sz="0" w:space="0" w:color="auto"/>
                            <w:right w:val="none" w:sz="0" w:space="0" w:color="auto"/>
                          </w:divBdr>
                        </w:div>
                        <w:div w:id="2108305461">
                          <w:marLeft w:val="0"/>
                          <w:marRight w:val="0"/>
                          <w:marTop w:val="0"/>
                          <w:marBottom w:val="0"/>
                          <w:divBdr>
                            <w:top w:val="none" w:sz="0" w:space="0" w:color="auto"/>
                            <w:left w:val="none" w:sz="0" w:space="0" w:color="auto"/>
                            <w:bottom w:val="none" w:sz="0" w:space="0" w:color="auto"/>
                            <w:right w:val="none" w:sz="0" w:space="0" w:color="auto"/>
                          </w:divBdr>
                        </w:div>
                      </w:divsChild>
                    </w:div>
                    <w:div w:id="443960787">
                      <w:marLeft w:val="0"/>
                      <w:marRight w:val="0"/>
                      <w:marTop w:val="0"/>
                      <w:marBottom w:val="0"/>
                      <w:divBdr>
                        <w:top w:val="none" w:sz="0" w:space="0" w:color="auto"/>
                        <w:left w:val="none" w:sz="0" w:space="0" w:color="auto"/>
                        <w:bottom w:val="none" w:sz="0" w:space="0" w:color="auto"/>
                        <w:right w:val="none" w:sz="0" w:space="0" w:color="auto"/>
                      </w:divBdr>
                      <w:divsChild>
                        <w:div w:id="1311014488">
                          <w:marLeft w:val="0"/>
                          <w:marRight w:val="0"/>
                          <w:marTop w:val="0"/>
                          <w:marBottom w:val="0"/>
                          <w:divBdr>
                            <w:top w:val="none" w:sz="0" w:space="0" w:color="auto"/>
                            <w:left w:val="none" w:sz="0" w:space="0" w:color="auto"/>
                            <w:bottom w:val="none" w:sz="0" w:space="0" w:color="auto"/>
                            <w:right w:val="none" w:sz="0" w:space="0" w:color="auto"/>
                          </w:divBdr>
                          <w:divsChild>
                            <w:div w:id="33358246">
                              <w:marLeft w:val="0"/>
                              <w:marRight w:val="0"/>
                              <w:marTop w:val="0"/>
                              <w:marBottom w:val="0"/>
                              <w:divBdr>
                                <w:top w:val="none" w:sz="0" w:space="0" w:color="auto"/>
                                <w:left w:val="none" w:sz="0" w:space="0" w:color="auto"/>
                                <w:bottom w:val="none" w:sz="0" w:space="0" w:color="auto"/>
                                <w:right w:val="none" w:sz="0" w:space="0" w:color="auto"/>
                              </w:divBdr>
                              <w:divsChild>
                                <w:div w:id="16741427">
                                  <w:marLeft w:val="0"/>
                                  <w:marRight w:val="0"/>
                                  <w:marTop w:val="0"/>
                                  <w:marBottom w:val="0"/>
                                  <w:divBdr>
                                    <w:top w:val="none" w:sz="0" w:space="0" w:color="auto"/>
                                    <w:left w:val="none" w:sz="0" w:space="0" w:color="auto"/>
                                    <w:bottom w:val="none" w:sz="0" w:space="0" w:color="auto"/>
                                    <w:right w:val="none" w:sz="0" w:space="0" w:color="auto"/>
                                  </w:divBdr>
                                </w:div>
                                <w:div w:id="155001528">
                                  <w:marLeft w:val="0"/>
                                  <w:marRight w:val="0"/>
                                  <w:marTop w:val="0"/>
                                  <w:marBottom w:val="0"/>
                                  <w:divBdr>
                                    <w:top w:val="none" w:sz="0" w:space="0" w:color="auto"/>
                                    <w:left w:val="none" w:sz="0" w:space="0" w:color="auto"/>
                                    <w:bottom w:val="none" w:sz="0" w:space="0" w:color="auto"/>
                                    <w:right w:val="none" w:sz="0" w:space="0" w:color="auto"/>
                                  </w:divBdr>
                                </w:div>
                              </w:divsChild>
                            </w:div>
                            <w:div w:id="926185863">
                              <w:marLeft w:val="0"/>
                              <w:marRight w:val="0"/>
                              <w:marTop w:val="0"/>
                              <w:marBottom w:val="0"/>
                              <w:divBdr>
                                <w:top w:val="none" w:sz="0" w:space="0" w:color="auto"/>
                                <w:left w:val="none" w:sz="0" w:space="0" w:color="auto"/>
                                <w:bottom w:val="none" w:sz="0" w:space="0" w:color="auto"/>
                                <w:right w:val="none" w:sz="0" w:space="0" w:color="auto"/>
                              </w:divBdr>
                              <w:divsChild>
                                <w:div w:id="60443696">
                                  <w:marLeft w:val="0"/>
                                  <w:marRight w:val="0"/>
                                  <w:marTop w:val="0"/>
                                  <w:marBottom w:val="0"/>
                                  <w:divBdr>
                                    <w:top w:val="none" w:sz="0" w:space="0" w:color="auto"/>
                                    <w:left w:val="none" w:sz="0" w:space="0" w:color="auto"/>
                                    <w:bottom w:val="none" w:sz="0" w:space="0" w:color="auto"/>
                                    <w:right w:val="none" w:sz="0" w:space="0" w:color="auto"/>
                                  </w:divBdr>
                                </w:div>
                                <w:div w:id="1660688033">
                                  <w:marLeft w:val="0"/>
                                  <w:marRight w:val="0"/>
                                  <w:marTop w:val="0"/>
                                  <w:marBottom w:val="0"/>
                                  <w:divBdr>
                                    <w:top w:val="none" w:sz="0" w:space="0" w:color="auto"/>
                                    <w:left w:val="none" w:sz="0" w:space="0" w:color="auto"/>
                                    <w:bottom w:val="none" w:sz="0" w:space="0" w:color="auto"/>
                                    <w:right w:val="none" w:sz="0" w:space="0" w:color="auto"/>
                                  </w:divBdr>
                                </w:div>
                              </w:divsChild>
                            </w:div>
                            <w:div w:id="1547062631">
                              <w:marLeft w:val="0"/>
                              <w:marRight w:val="0"/>
                              <w:marTop w:val="0"/>
                              <w:marBottom w:val="0"/>
                              <w:divBdr>
                                <w:top w:val="none" w:sz="0" w:space="0" w:color="auto"/>
                                <w:left w:val="none" w:sz="0" w:space="0" w:color="auto"/>
                                <w:bottom w:val="none" w:sz="0" w:space="0" w:color="auto"/>
                                <w:right w:val="none" w:sz="0" w:space="0" w:color="auto"/>
                              </w:divBdr>
                              <w:divsChild>
                                <w:div w:id="570505532">
                                  <w:marLeft w:val="0"/>
                                  <w:marRight w:val="0"/>
                                  <w:marTop w:val="0"/>
                                  <w:marBottom w:val="0"/>
                                  <w:divBdr>
                                    <w:top w:val="none" w:sz="0" w:space="0" w:color="auto"/>
                                    <w:left w:val="none" w:sz="0" w:space="0" w:color="auto"/>
                                    <w:bottom w:val="none" w:sz="0" w:space="0" w:color="auto"/>
                                    <w:right w:val="none" w:sz="0" w:space="0" w:color="auto"/>
                                  </w:divBdr>
                                </w:div>
                                <w:div w:id="1357581090">
                                  <w:marLeft w:val="0"/>
                                  <w:marRight w:val="0"/>
                                  <w:marTop w:val="0"/>
                                  <w:marBottom w:val="0"/>
                                  <w:divBdr>
                                    <w:top w:val="none" w:sz="0" w:space="0" w:color="auto"/>
                                    <w:left w:val="none" w:sz="0" w:space="0" w:color="auto"/>
                                    <w:bottom w:val="none" w:sz="0" w:space="0" w:color="auto"/>
                                    <w:right w:val="none" w:sz="0" w:space="0" w:color="auto"/>
                                  </w:divBdr>
                                </w:div>
                              </w:divsChild>
                            </w:div>
                            <w:div w:id="1899243443">
                              <w:marLeft w:val="0"/>
                              <w:marRight w:val="0"/>
                              <w:marTop w:val="0"/>
                              <w:marBottom w:val="0"/>
                              <w:divBdr>
                                <w:top w:val="none" w:sz="0" w:space="0" w:color="auto"/>
                                <w:left w:val="none" w:sz="0" w:space="0" w:color="auto"/>
                                <w:bottom w:val="none" w:sz="0" w:space="0" w:color="auto"/>
                                <w:right w:val="none" w:sz="0" w:space="0" w:color="auto"/>
                              </w:divBdr>
                              <w:divsChild>
                                <w:div w:id="57173831">
                                  <w:marLeft w:val="0"/>
                                  <w:marRight w:val="0"/>
                                  <w:marTop w:val="0"/>
                                  <w:marBottom w:val="0"/>
                                  <w:divBdr>
                                    <w:top w:val="none" w:sz="0" w:space="0" w:color="auto"/>
                                    <w:left w:val="none" w:sz="0" w:space="0" w:color="auto"/>
                                    <w:bottom w:val="none" w:sz="0" w:space="0" w:color="auto"/>
                                    <w:right w:val="none" w:sz="0" w:space="0" w:color="auto"/>
                                  </w:divBdr>
                                </w:div>
                                <w:div w:id="11839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3971">
                      <w:marLeft w:val="0"/>
                      <w:marRight w:val="0"/>
                      <w:marTop w:val="0"/>
                      <w:marBottom w:val="0"/>
                      <w:divBdr>
                        <w:top w:val="none" w:sz="0" w:space="0" w:color="auto"/>
                        <w:left w:val="none" w:sz="0" w:space="0" w:color="auto"/>
                        <w:bottom w:val="none" w:sz="0" w:space="0" w:color="auto"/>
                        <w:right w:val="none" w:sz="0" w:space="0" w:color="auto"/>
                      </w:divBdr>
                      <w:divsChild>
                        <w:div w:id="832112360">
                          <w:marLeft w:val="0"/>
                          <w:marRight w:val="0"/>
                          <w:marTop w:val="0"/>
                          <w:marBottom w:val="0"/>
                          <w:divBdr>
                            <w:top w:val="none" w:sz="0" w:space="0" w:color="auto"/>
                            <w:left w:val="none" w:sz="0" w:space="0" w:color="auto"/>
                            <w:bottom w:val="none" w:sz="0" w:space="0" w:color="auto"/>
                            <w:right w:val="none" w:sz="0" w:space="0" w:color="auto"/>
                          </w:divBdr>
                          <w:divsChild>
                            <w:div w:id="971178896">
                              <w:marLeft w:val="0"/>
                              <w:marRight w:val="0"/>
                              <w:marTop w:val="0"/>
                              <w:marBottom w:val="0"/>
                              <w:divBdr>
                                <w:top w:val="none" w:sz="0" w:space="0" w:color="auto"/>
                                <w:left w:val="none" w:sz="0" w:space="0" w:color="auto"/>
                                <w:bottom w:val="none" w:sz="0" w:space="0" w:color="auto"/>
                                <w:right w:val="none" w:sz="0" w:space="0" w:color="auto"/>
                              </w:divBdr>
                            </w:div>
                          </w:divsChild>
                        </w:div>
                        <w:div w:id="1864439420">
                          <w:marLeft w:val="0"/>
                          <w:marRight w:val="0"/>
                          <w:marTop w:val="0"/>
                          <w:marBottom w:val="0"/>
                          <w:divBdr>
                            <w:top w:val="none" w:sz="0" w:space="0" w:color="auto"/>
                            <w:left w:val="none" w:sz="0" w:space="0" w:color="auto"/>
                            <w:bottom w:val="none" w:sz="0" w:space="0" w:color="auto"/>
                            <w:right w:val="none" w:sz="0" w:space="0" w:color="auto"/>
                          </w:divBdr>
                          <w:divsChild>
                            <w:div w:id="20732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4469">
                  <w:marLeft w:val="0"/>
                  <w:marRight w:val="0"/>
                  <w:marTop w:val="0"/>
                  <w:marBottom w:val="0"/>
                  <w:divBdr>
                    <w:top w:val="none" w:sz="0" w:space="0" w:color="auto"/>
                    <w:left w:val="none" w:sz="0" w:space="0" w:color="auto"/>
                    <w:bottom w:val="none" w:sz="0" w:space="0" w:color="auto"/>
                    <w:right w:val="none" w:sz="0" w:space="0" w:color="auto"/>
                  </w:divBdr>
                  <w:divsChild>
                    <w:div w:id="1594976235">
                      <w:marLeft w:val="0"/>
                      <w:marRight w:val="0"/>
                      <w:marTop w:val="0"/>
                      <w:marBottom w:val="0"/>
                      <w:divBdr>
                        <w:top w:val="none" w:sz="0" w:space="0" w:color="auto"/>
                        <w:left w:val="none" w:sz="0" w:space="0" w:color="auto"/>
                        <w:bottom w:val="none" w:sz="0" w:space="0" w:color="auto"/>
                        <w:right w:val="none" w:sz="0" w:space="0" w:color="auto"/>
                      </w:divBdr>
                    </w:div>
                    <w:div w:id="1648972591">
                      <w:marLeft w:val="0"/>
                      <w:marRight w:val="0"/>
                      <w:marTop w:val="0"/>
                      <w:marBottom w:val="0"/>
                      <w:divBdr>
                        <w:top w:val="none" w:sz="0" w:space="0" w:color="auto"/>
                        <w:left w:val="none" w:sz="0" w:space="0" w:color="auto"/>
                        <w:bottom w:val="none" w:sz="0" w:space="0" w:color="auto"/>
                        <w:right w:val="none" w:sz="0" w:space="0" w:color="auto"/>
                      </w:divBdr>
                    </w:div>
                  </w:divsChild>
                </w:div>
                <w:div w:id="18172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2999">
      <w:bodyDiv w:val="1"/>
      <w:marLeft w:val="0"/>
      <w:marRight w:val="0"/>
      <w:marTop w:val="0"/>
      <w:marBottom w:val="0"/>
      <w:divBdr>
        <w:top w:val="none" w:sz="0" w:space="0" w:color="auto"/>
        <w:left w:val="none" w:sz="0" w:space="0" w:color="auto"/>
        <w:bottom w:val="none" w:sz="0" w:space="0" w:color="auto"/>
        <w:right w:val="none" w:sz="0" w:space="0" w:color="auto"/>
      </w:divBdr>
    </w:div>
    <w:div w:id="41368777">
      <w:bodyDiv w:val="1"/>
      <w:marLeft w:val="0"/>
      <w:marRight w:val="0"/>
      <w:marTop w:val="0"/>
      <w:marBottom w:val="0"/>
      <w:divBdr>
        <w:top w:val="none" w:sz="0" w:space="0" w:color="auto"/>
        <w:left w:val="none" w:sz="0" w:space="0" w:color="auto"/>
        <w:bottom w:val="none" w:sz="0" w:space="0" w:color="auto"/>
        <w:right w:val="none" w:sz="0" w:space="0" w:color="auto"/>
      </w:divBdr>
    </w:div>
    <w:div w:id="83846727">
      <w:bodyDiv w:val="1"/>
      <w:marLeft w:val="0"/>
      <w:marRight w:val="0"/>
      <w:marTop w:val="0"/>
      <w:marBottom w:val="0"/>
      <w:divBdr>
        <w:top w:val="none" w:sz="0" w:space="0" w:color="auto"/>
        <w:left w:val="none" w:sz="0" w:space="0" w:color="auto"/>
        <w:bottom w:val="none" w:sz="0" w:space="0" w:color="auto"/>
        <w:right w:val="none" w:sz="0" w:space="0" w:color="auto"/>
      </w:divBdr>
    </w:div>
    <w:div w:id="109200980">
      <w:bodyDiv w:val="1"/>
      <w:marLeft w:val="0"/>
      <w:marRight w:val="0"/>
      <w:marTop w:val="0"/>
      <w:marBottom w:val="0"/>
      <w:divBdr>
        <w:top w:val="none" w:sz="0" w:space="0" w:color="auto"/>
        <w:left w:val="none" w:sz="0" w:space="0" w:color="auto"/>
        <w:bottom w:val="none" w:sz="0" w:space="0" w:color="auto"/>
        <w:right w:val="none" w:sz="0" w:space="0" w:color="auto"/>
      </w:divBdr>
    </w:div>
    <w:div w:id="112288482">
      <w:bodyDiv w:val="1"/>
      <w:marLeft w:val="0"/>
      <w:marRight w:val="0"/>
      <w:marTop w:val="0"/>
      <w:marBottom w:val="0"/>
      <w:divBdr>
        <w:top w:val="none" w:sz="0" w:space="0" w:color="auto"/>
        <w:left w:val="none" w:sz="0" w:space="0" w:color="auto"/>
        <w:bottom w:val="none" w:sz="0" w:space="0" w:color="auto"/>
        <w:right w:val="none" w:sz="0" w:space="0" w:color="auto"/>
      </w:divBdr>
    </w:div>
    <w:div w:id="139272347">
      <w:bodyDiv w:val="1"/>
      <w:marLeft w:val="0"/>
      <w:marRight w:val="0"/>
      <w:marTop w:val="0"/>
      <w:marBottom w:val="0"/>
      <w:divBdr>
        <w:top w:val="none" w:sz="0" w:space="0" w:color="auto"/>
        <w:left w:val="none" w:sz="0" w:space="0" w:color="auto"/>
        <w:bottom w:val="none" w:sz="0" w:space="0" w:color="auto"/>
        <w:right w:val="none" w:sz="0" w:space="0" w:color="auto"/>
      </w:divBdr>
    </w:div>
    <w:div w:id="144590324">
      <w:bodyDiv w:val="1"/>
      <w:marLeft w:val="0"/>
      <w:marRight w:val="0"/>
      <w:marTop w:val="0"/>
      <w:marBottom w:val="0"/>
      <w:divBdr>
        <w:top w:val="none" w:sz="0" w:space="0" w:color="auto"/>
        <w:left w:val="none" w:sz="0" w:space="0" w:color="auto"/>
        <w:bottom w:val="none" w:sz="0" w:space="0" w:color="auto"/>
        <w:right w:val="none" w:sz="0" w:space="0" w:color="auto"/>
      </w:divBdr>
    </w:div>
    <w:div w:id="173303668">
      <w:bodyDiv w:val="1"/>
      <w:marLeft w:val="0"/>
      <w:marRight w:val="0"/>
      <w:marTop w:val="0"/>
      <w:marBottom w:val="0"/>
      <w:divBdr>
        <w:top w:val="none" w:sz="0" w:space="0" w:color="auto"/>
        <w:left w:val="none" w:sz="0" w:space="0" w:color="auto"/>
        <w:bottom w:val="none" w:sz="0" w:space="0" w:color="auto"/>
        <w:right w:val="none" w:sz="0" w:space="0" w:color="auto"/>
      </w:divBdr>
    </w:div>
    <w:div w:id="198977586">
      <w:bodyDiv w:val="1"/>
      <w:marLeft w:val="0"/>
      <w:marRight w:val="0"/>
      <w:marTop w:val="0"/>
      <w:marBottom w:val="0"/>
      <w:divBdr>
        <w:top w:val="none" w:sz="0" w:space="0" w:color="auto"/>
        <w:left w:val="none" w:sz="0" w:space="0" w:color="auto"/>
        <w:bottom w:val="none" w:sz="0" w:space="0" w:color="auto"/>
        <w:right w:val="none" w:sz="0" w:space="0" w:color="auto"/>
      </w:divBdr>
    </w:div>
    <w:div w:id="205995712">
      <w:bodyDiv w:val="1"/>
      <w:marLeft w:val="0"/>
      <w:marRight w:val="0"/>
      <w:marTop w:val="0"/>
      <w:marBottom w:val="0"/>
      <w:divBdr>
        <w:top w:val="none" w:sz="0" w:space="0" w:color="auto"/>
        <w:left w:val="none" w:sz="0" w:space="0" w:color="auto"/>
        <w:bottom w:val="none" w:sz="0" w:space="0" w:color="auto"/>
        <w:right w:val="none" w:sz="0" w:space="0" w:color="auto"/>
      </w:divBdr>
      <w:divsChild>
        <w:div w:id="283849011">
          <w:marLeft w:val="0"/>
          <w:marRight w:val="0"/>
          <w:marTop w:val="0"/>
          <w:marBottom w:val="0"/>
          <w:divBdr>
            <w:top w:val="none" w:sz="0" w:space="0" w:color="auto"/>
            <w:left w:val="none" w:sz="0" w:space="0" w:color="auto"/>
            <w:bottom w:val="none" w:sz="0" w:space="0" w:color="auto"/>
            <w:right w:val="none" w:sz="0" w:space="0" w:color="auto"/>
          </w:divBdr>
          <w:divsChild>
            <w:div w:id="1604456399">
              <w:marLeft w:val="0"/>
              <w:marRight w:val="0"/>
              <w:marTop w:val="0"/>
              <w:marBottom w:val="0"/>
              <w:divBdr>
                <w:top w:val="none" w:sz="0" w:space="0" w:color="auto"/>
                <w:left w:val="none" w:sz="0" w:space="0" w:color="auto"/>
                <w:bottom w:val="none" w:sz="0" w:space="0" w:color="auto"/>
                <w:right w:val="none" w:sz="0" w:space="0" w:color="auto"/>
              </w:divBdr>
              <w:divsChild>
                <w:div w:id="86079876">
                  <w:marLeft w:val="0"/>
                  <w:marRight w:val="0"/>
                  <w:marTop w:val="0"/>
                  <w:marBottom w:val="0"/>
                  <w:divBdr>
                    <w:top w:val="none" w:sz="0" w:space="0" w:color="auto"/>
                    <w:left w:val="none" w:sz="0" w:space="0" w:color="auto"/>
                    <w:bottom w:val="none" w:sz="0" w:space="0" w:color="auto"/>
                    <w:right w:val="none" w:sz="0" w:space="0" w:color="auto"/>
                  </w:divBdr>
                  <w:divsChild>
                    <w:div w:id="1121336364">
                      <w:marLeft w:val="0"/>
                      <w:marRight w:val="0"/>
                      <w:marTop w:val="0"/>
                      <w:marBottom w:val="0"/>
                      <w:divBdr>
                        <w:top w:val="none" w:sz="0" w:space="0" w:color="auto"/>
                        <w:left w:val="none" w:sz="0" w:space="0" w:color="auto"/>
                        <w:bottom w:val="none" w:sz="0" w:space="0" w:color="auto"/>
                        <w:right w:val="none" w:sz="0" w:space="0" w:color="auto"/>
                      </w:divBdr>
                      <w:divsChild>
                        <w:div w:id="265432165">
                          <w:marLeft w:val="0"/>
                          <w:marRight w:val="0"/>
                          <w:marTop w:val="0"/>
                          <w:marBottom w:val="0"/>
                          <w:divBdr>
                            <w:top w:val="none" w:sz="0" w:space="0" w:color="auto"/>
                            <w:left w:val="none" w:sz="0" w:space="0" w:color="auto"/>
                            <w:bottom w:val="none" w:sz="0" w:space="0" w:color="auto"/>
                            <w:right w:val="none" w:sz="0" w:space="0" w:color="auto"/>
                          </w:divBdr>
                          <w:divsChild>
                            <w:div w:id="13353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2664">
      <w:bodyDiv w:val="1"/>
      <w:marLeft w:val="0"/>
      <w:marRight w:val="0"/>
      <w:marTop w:val="0"/>
      <w:marBottom w:val="0"/>
      <w:divBdr>
        <w:top w:val="none" w:sz="0" w:space="0" w:color="auto"/>
        <w:left w:val="none" w:sz="0" w:space="0" w:color="auto"/>
        <w:bottom w:val="none" w:sz="0" w:space="0" w:color="auto"/>
        <w:right w:val="none" w:sz="0" w:space="0" w:color="auto"/>
      </w:divBdr>
      <w:divsChild>
        <w:div w:id="854735069">
          <w:marLeft w:val="0"/>
          <w:marRight w:val="0"/>
          <w:marTop w:val="0"/>
          <w:marBottom w:val="0"/>
          <w:divBdr>
            <w:top w:val="none" w:sz="0" w:space="0" w:color="auto"/>
            <w:left w:val="none" w:sz="0" w:space="0" w:color="auto"/>
            <w:bottom w:val="none" w:sz="0" w:space="0" w:color="auto"/>
            <w:right w:val="none" w:sz="0" w:space="0" w:color="auto"/>
          </w:divBdr>
          <w:divsChild>
            <w:div w:id="407847774">
              <w:marLeft w:val="0"/>
              <w:marRight w:val="0"/>
              <w:marTop w:val="0"/>
              <w:marBottom w:val="0"/>
              <w:divBdr>
                <w:top w:val="none" w:sz="0" w:space="0" w:color="auto"/>
                <w:left w:val="none" w:sz="0" w:space="0" w:color="auto"/>
                <w:bottom w:val="none" w:sz="0" w:space="0" w:color="auto"/>
                <w:right w:val="none" w:sz="0" w:space="0" w:color="auto"/>
              </w:divBdr>
              <w:divsChild>
                <w:div w:id="416899413">
                  <w:marLeft w:val="0"/>
                  <w:marRight w:val="0"/>
                  <w:marTop w:val="0"/>
                  <w:marBottom w:val="0"/>
                  <w:divBdr>
                    <w:top w:val="none" w:sz="0" w:space="0" w:color="auto"/>
                    <w:left w:val="none" w:sz="0" w:space="0" w:color="auto"/>
                    <w:bottom w:val="none" w:sz="0" w:space="0" w:color="auto"/>
                    <w:right w:val="none" w:sz="0" w:space="0" w:color="auto"/>
                  </w:divBdr>
                </w:div>
                <w:div w:id="730036713">
                  <w:marLeft w:val="0"/>
                  <w:marRight w:val="0"/>
                  <w:marTop w:val="0"/>
                  <w:marBottom w:val="0"/>
                  <w:divBdr>
                    <w:top w:val="none" w:sz="0" w:space="0" w:color="auto"/>
                    <w:left w:val="none" w:sz="0" w:space="0" w:color="auto"/>
                    <w:bottom w:val="none" w:sz="0" w:space="0" w:color="auto"/>
                    <w:right w:val="none" w:sz="0" w:space="0" w:color="auto"/>
                  </w:divBdr>
                </w:div>
              </w:divsChild>
            </w:div>
            <w:div w:id="738867553">
              <w:marLeft w:val="0"/>
              <w:marRight w:val="0"/>
              <w:marTop w:val="0"/>
              <w:marBottom w:val="0"/>
              <w:divBdr>
                <w:top w:val="none" w:sz="0" w:space="0" w:color="auto"/>
                <w:left w:val="none" w:sz="0" w:space="0" w:color="auto"/>
                <w:bottom w:val="none" w:sz="0" w:space="0" w:color="auto"/>
                <w:right w:val="none" w:sz="0" w:space="0" w:color="auto"/>
              </w:divBdr>
              <w:divsChild>
                <w:div w:id="99031268">
                  <w:marLeft w:val="0"/>
                  <w:marRight w:val="0"/>
                  <w:marTop w:val="0"/>
                  <w:marBottom w:val="0"/>
                  <w:divBdr>
                    <w:top w:val="none" w:sz="0" w:space="0" w:color="auto"/>
                    <w:left w:val="none" w:sz="0" w:space="0" w:color="auto"/>
                    <w:bottom w:val="none" w:sz="0" w:space="0" w:color="auto"/>
                    <w:right w:val="none" w:sz="0" w:space="0" w:color="auto"/>
                  </w:divBdr>
                </w:div>
                <w:div w:id="1598173085">
                  <w:marLeft w:val="0"/>
                  <w:marRight w:val="0"/>
                  <w:marTop w:val="0"/>
                  <w:marBottom w:val="0"/>
                  <w:divBdr>
                    <w:top w:val="none" w:sz="0" w:space="0" w:color="auto"/>
                    <w:left w:val="none" w:sz="0" w:space="0" w:color="auto"/>
                    <w:bottom w:val="none" w:sz="0" w:space="0" w:color="auto"/>
                    <w:right w:val="none" w:sz="0" w:space="0" w:color="auto"/>
                  </w:divBdr>
                </w:div>
              </w:divsChild>
            </w:div>
            <w:div w:id="1090586555">
              <w:marLeft w:val="0"/>
              <w:marRight w:val="0"/>
              <w:marTop w:val="0"/>
              <w:marBottom w:val="0"/>
              <w:divBdr>
                <w:top w:val="none" w:sz="0" w:space="0" w:color="auto"/>
                <w:left w:val="none" w:sz="0" w:space="0" w:color="auto"/>
                <w:bottom w:val="none" w:sz="0" w:space="0" w:color="auto"/>
                <w:right w:val="none" w:sz="0" w:space="0" w:color="auto"/>
              </w:divBdr>
              <w:divsChild>
                <w:div w:id="589388825">
                  <w:marLeft w:val="0"/>
                  <w:marRight w:val="0"/>
                  <w:marTop w:val="0"/>
                  <w:marBottom w:val="0"/>
                  <w:divBdr>
                    <w:top w:val="none" w:sz="0" w:space="0" w:color="auto"/>
                    <w:left w:val="none" w:sz="0" w:space="0" w:color="auto"/>
                    <w:bottom w:val="none" w:sz="0" w:space="0" w:color="auto"/>
                    <w:right w:val="none" w:sz="0" w:space="0" w:color="auto"/>
                  </w:divBdr>
                </w:div>
                <w:div w:id="1502888591">
                  <w:marLeft w:val="0"/>
                  <w:marRight w:val="0"/>
                  <w:marTop w:val="0"/>
                  <w:marBottom w:val="0"/>
                  <w:divBdr>
                    <w:top w:val="none" w:sz="0" w:space="0" w:color="auto"/>
                    <w:left w:val="none" w:sz="0" w:space="0" w:color="auto"/>
                    <w:bottom w:val="none" w:sz="0" w:space="0" w:color="auto"/>
                    <w:right w:val="none" w:sz="0" w:space="0" w:color="auto"/>
                  </w:divBdr>
                </w:div>
                <w:div w:id="1938824668">
                  <w:marLeft w:val="0"/>
                  <w:marRight w:val="0"/>
                  <w:marTop w:val="0"/>
                  <w:marBottom w:val="0"/>
                  <w:divBdr>
                    <w:top w:val="none" w:sz="0" w:space="0" w:color="auto"/>
                    <w:left w:val="none" w:sz="0" w:space="0" w:color="auto"/>
                    <w:bottom w:val="none" w:sz="0" w:space="0" w:color="auto"/>
                    <w:right w:val="none" w:sz="0" w:space="0" w:color="auto"/>
                  </w:divBdr>
                </w:div>
                <w:div w:id="2007979032">
                  <w:marLeft w:val="0"/>
                  <w:marRight w:val="0"/>
                  <w:marTop w:val="0"/>
                  <w:marBottom w:val="0"/>
                  <w:divBdr>
                    <w:top w:val="none" w:sz="0" w:space="0" w:color="auto"/>
                    <w:left w:val="none" w:sz="0" w:space="0" w:color="auto"/>
                    <w:bottom w:val="none" w:sz="0" w:space="0" w:color="auto"/>
                    <w:right w:val="none" w:sz="0" w:space="0" w:color="auto"/>
                  </w:divBdr>
                </w:div>
              </w:divsChild>
            </w:div>
            <w:div w:id="1266109106">
              <w:marLeft w:val="0"/>
              <w:marRight w:val="0"/>
              <w:marTop w:val="0"/>
              <w:marBottom w:val="0"/>
              <w:divBdr>
                <w:top w:val="none" w:sz="0" w:space="0" w:color="auto"/>
                <w:left w:val="none" w:sz="0" w:space="0" w:color="auto"/>
                <w:bottom w:val="none" w:sz="0" w:space="0" w:color="auto"/>
                <w:right w:val="none" w:sz="0" w:space="0" w:color="auto"/>
              </w:divBdr>
              <w:divsChild>
                <w:div w:id="1591936629">
                  <w:marLeft w:val="0"/>
                  <w:marRight w:val="0"/>
                  <w:marTop w:val="0"/>
                  <w:marBottom w:val="0"/>
                  <w:divBdr>
                    <w:top w:val="none" w:sz="0" w:space="0" w:color="auto"/>
                    <w:left w:val="none" w:sz="0" w:space="0" w:color="auto"/>
                    <w:bottom w:val="none" w:sz="0" w:space="0" w:color="auto"/>
                    <w:right w:val="none" w:sz="0" w:space="0" w:color="auto"/>
                  </w:divBdr>
                </w:div>
                <w:div w:id="1711614971">
                  <w:marLeft w:val="0"/>
                  <w:marRight w:val="0"/>
                  <w:marTop w:val="0"/>
                  <w:marBottom w:val="0"/>
                  <w:divBdr>
                    <w:top w:val="none" w:sz="0" w:space="0" w:color="auto"/>
                    <w:left w:val="none" w:sz="0" w:space="0" w:color="auto"/>
                    <w:bottom w:val="none" w:sz="0" w:space="0" w:color="auto"/>
                    <w:right w:val="none" w:sz="0" w:space="0" w:color="auto"/>
                  </w:divBdr>
                </w:div>
              </w:divsChild>
            </w:div>
            <w:div w:id="1288968156">
              <w:marLeft w:val="0"/>
              <w:marRight w:val="0"/>
              <w:marTop w:val="0"/>
              <w:marBottom w:val="0"/>
              <w:divBdr>
                <w:top w:val="none" w:sz="0" w:space="0" w:color="auto"/>
                <w:left w:val="none" w:sz="0" w:space="0" w:color="auto"/>
                <w:bottom w:val="none" w:sz="0" w:space="0" w:color="auto"/>
                <w:right w:val="none" w:sz="0" w:space="0" w:color="auto"/>
              </w:divBdr>
              <w:divsChild>
                <w:div w:id="260257925">
                  <w:marLeft w:val="0"/>
                  <w:marRight w:val="0"/>
                  <w:marTop w:val="0"/>
                  <w:marBottom w:val="0"/>
                  <w:divBdr>
                    <w:top w:val="none" w:sz="0" w:space="0" w:color="auto"/>
                    <w:left w:val="none" w:sz="0" w:space="0" w:color="auto"/>
                    <w:bottom w:val="none" w:sz="0" w:space="0" w:color="auto"/>
                    <w:right w:val="none" w:sz="0" w:space="0" w:color="auto"/>
                  </w:divBdr>
                </w:div>
                <w:div w:id="1019089324">
                  <w:marLeft w:val="0"/>
                  <w:marRight w:val="0"/>
                  <w:marTop w:val="0"/>
                  <w:marBottom w:val="0"/>
                  <w:divBdr>
                    <w:top w:val="none" w:sz="0" w:space="0" w:color="auto"/>
                    <w:left w:val="none" w:sz="0" w:space="0" w:color="auto"/>
                    <w:bottom w:val="none" w:sz="0" w:space="0" w:color="auto"/>
                    <w:right w:val="none" w:sz="0" w:space="0" w:color="auto"/>
                  </w:divBdr>
                </w:div>
              </w:divsChild>
            </w:div>
            <w:div w:id="2077701151">
              <w:marLeft w:val="0"/>
              <w:marRight w:val="0"/>
              <w:marTop w:val="0"/>
              <w:marBottom w:val="0"/>
              <w:divBdr>
                <w:top w:val="none" w:sz="0" w:space="0" w:color="auto"/>
                <w:left w:val="none" w:sz="0" w:space="0" w:color="auto"/>
                <w:bottom w:val="none" w:sz="0" w:space="0" w:color="auto"/>
                <w:right w:val="none" w:sz="0" w:space="0" w:color="auto"/>
              </w:divBdr>
              <w:divsChild>
                <w:div w:id="603613274">
                  <w:marLeft w:val="0"/>
                  <w:marRight w:val="0"/>
                  <w:marTop w:val="0"/>
                  <w:marBottom w:val="0"/>
                  <w:divBdr>
                    <w:top w:val="none" w:sz="0" w:space="0" w:color="auto"/>
                    <w:left w:val="none" w:sz="0" w:space="0" w:color="auto"/>
                    <w:bottom w:val="none" w:sz="0" w:space="0" w:color="auto"/>
                    <w:right w:val="none" w:sz="0" w:space="0" w:color="auto"/>
                  </w:divBdr>
                </w:div>
                <w:div w:id="912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7825">
          <w:marLeft w:val="0"/>
          <w:marRight w:val="0"/>
          <w:marTop w:val="0"/>
          <w:marBottom w:val="0"/>
          <w:divBdr>
            <w:top w:val="none" w:sz="0" w:space="0" w:color="auto"/>
            <w:left w:val="none" w:sz="0" w:space="0" w:color="auto"/>
            <w:bottom w:val="none" w:sz="0" w:space="0" w:color="auto"/>
            <w:right w:val="none" w:sz="0" w:space="0" w:color="auto"/>
          </w:divBdr>
          <w:divsChild>
            <w:div w:id="2094930971">
              <w:marLeft w:val="0"/>
              <w:marRight w:val="0"/>
              <w:marTop w:val="0"/>
              <w:marBottom w:val="0"/>
              <w:divBdr>
                <w:top w:val="none" w:sz="0" w:space="0" w:color="auto"/>
                <w:left w:val="none" w:sz="0" w:space="0" w:color="auto"/>
                <w:bottom w:val="none" w:sz="0" w:space="0" w:color="auto"/>
                <w:right w:val="none" w:sz="0" w:space="0" w:color="auto"/>
              </w:divBdr>
              <w:divsChild>
                <w:div w:id="3165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07694">
      <w:bodyDiv w:val="1"/>
      <w:marLeft w:val="0"/>
      <w:marRight w:val="0"/>
      <w:marTop w:val="0"/>
      <w:marBottom w:val="0"/>
      <w:divBdr>
        <w:top w:val="none" w:sz="0" w:space="0" w:color="auto"/>
        <w:left w:val="none" w:sz="0" w:space="0" w:color="auto"/>
        <w:bottom w:val="none" w:sz="0" w:space="0" w:color="auto"/>
        <w:right w:val="none" w:sz="0" w:space="0" w:color="auto"/>
      </w:divBdr>
      <w:divsChild>
        <w:div w:id="2016419225">
          <w:marLeft w:val="0"/>
          <w:marRight w:val="0"/>
          <w:marTop w:val="0"/>
          <w:marBottom w:val="0"/>
          <w:divBdr>
            <w:top w:val="none" w:sz="0" w:space="0" w:color="auto"/>
            <w:left w:val="none" w:sz="0" w:space="0" w:color="auto"/>
            <w:bottom w:val="none" w:sz="0" w:space="0" w:color="auto"/>
            <w:right w:val="none" w:sz="0" w:space="0" w:color="auto"/>
          </w:divBdr>
          <w:divsChild>
            <w:div w:id="1434547972">
              <w:marLeft w:val="0"/>
              <w:marRight w:val="0"/>
              <w:marTop w:val="0"/>
              <w:marBottom w:val="0"/>
              <w:divBdr>
                <w:top w:val="none" w:sz="0" w:space="0" w:color="auto"/>
                <w:left w:val="none" w:sz="0" w:space="0" w:color="auto"/>
                <w:bottom w:val="none" w:sz="0" w:space="0" w:color="auto"/>
                <w:right w:val="none" w:sz="0" w:space="0" w:color="auto"/>
              </w:divBdr>
              <w:divsChild>
                <w:div w:id="1907953127">
                  <w:marLeft w:val="0"/>
                  <w:marRight w:val="0"/>
                  <w:marTop w:val="0"/>
                  <w:marBottom w:val="0"/>
                  <w:divBdr>
                    <w:top w:val="none" w:sz="0" w:space="0" w:color="auto"/>
                    <w:left w:val="none" w:sz="0" w:space="0" w:color="auto"/>
                    <w:bottom w:val="none" w:sz="0" w:space="0" w:color="auto"/>
                    <w:right w:val="none" w:sz="0" w:space="0" w:color="auto"/>
                  </w:divBdr>
                  <w:divsChild>
                    <w:div w:id="1762487360">
                      <w:marLeft w:val="0"/>
                      <w:marRight w:val="0"/>
                      <w:marTop w:val="0"/>
                      <w:marBottom w:val="0"/>
                      <w:divBdr>
                        <w:top w:val="none" w:sz="0" w:space="0" w:color="auto"/>
                        <w:left w:val="none" w:sz="0" w:space="0" w:color="auto"/>
                        <w:bottom w:val="none" w:sz="0" w:space="0" w:color="auto"/>
                        <w:right w:val="none" w:sz="0" w:space="0" w:color="auto"/>
                      </w:divBdr>
                      <w:divsChild>
                        <w:div w:id="375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484510">
      <w:bodyDiv w:val="1"/>
      <w:marLeft w:val="0"/>
      <w:marRight w:val="0"/>
      <w:marTop w:val="0"/>
      <w:marBottom w:val="0"/>
      <w:divBdr>
        <w:top w:val="none" w:sz="0" w:space="0" w:color="auto"/>
        <w:left w:val="none" w:sz="0" w:space="0" w:color="auto"/>
        <w:bottom w:val="none" w:sz="0" w:space="0" w:color="auto"/>
        <w:right w:val="none" w:sz="0" w:space="0" w:color="auto"/>
      </w:divBdr>
    </w:div>
    <w:div w:id="249001176">
      <w:bodyDiv w:val="1"/>
      <w:marLeft w:val="0"/>
      <w:marRight w:val="0"/>
      <w:marTop w:val="0"/>
      <w:marBottom w:val="0"/>
      <w:divBdr>
        <w:top w:val="none" w:sz="0" w:space="0" w:color="auto"/>
        <w:left w:val="none" w:sz="0" w:space="0" w:color="auto"/>
        <w:bottom w:val="none" w:sz="0" w:space="0" w:color="auto"/>
        <w:right w:val="none" w:sz="0" w:space="0" w:color="auto"/>
      </w:divBdr>
    </w:div>
    <w:div w:id="252932389">
      <w:bodyDiv w:val="1"/>
      <w:marLeft w:val="0"/>
      <w:marRight w:val="0"/>
      <w:marTop w:val="0"/>
      <w:marBottom w:val="0"/>
      <w:divBdr>
        <w:top w:val="none" w:sz="0" w:space="0" w:color="auto"/>
        <w:left w:val="none" w:sz="0" w:space="0" w:color="auto"/>
        <w:bottom w:val="none" w:sz="0" w:space="0" w:color="auto"/>
        <w:right w:val="none" w:sz="0" w:space="0" w:color="auto"/>
      </w:divBdr>
    </w:div>
    <w:div w:id="263612527">
      <w:bodyDiv w:val="1"/>
      <w:marLeft w:val="0"/>
      <w:marRight w:val="0"/>
      <w:marTop w:val="0"/>
      <w:marBottom w:val="0"/>
      <w:divBdr>
        <w:top w:val="none" w:sz="0" w:space="0" w:color="auto"/>
        <w:left w:val="none" w:sz="0" w:space="0" w:color="auto"/>
        <w:bottom w:val="none" w:sz="0" w:space="0" w:color="auto"/>
        <w:right w:val="none" w:sz="0" w:space="0" w:color="auto"/>
      </w:divBdr>
    </w:div>
    <w:div w:id="273631045">
      <w:bodyDiv w:val="1"/>
      <w:marLeft w:val="0"/>
      <w:marRight w:val="0"/>
      <w:marTop w:val="0"/>
      <w:marBottom w:val="0"/>
      <w:divBdr>
        <w:top w:val="none" w:sz="0" w:space="0" w:color="auto"/>
        <w:left w:val="none" w:sz="0" w:space="0" w:color="auto"/>
        <w:bottom w:val="none" w:sz="0" w:space="0" w:color="auto"/>
        <w:right w:val="none" w:sz="0" w:space="0" w:color="auto"/>
      </w:divBdr>
      <w:divsChild>
        <w:div w:id="338236867">
          <w:marLeft w:val="547"/>
          <w:marRight w:val="0"/>
          <w:marTop w:val="160"/>
          <w:marBottom w:val="0"/>
          <w:divBdr>
            <w:top w:val="none" w:sz="0" w:space="0" w:color="auto"/>
            <w:left w:val="none" w:sz="0" w:space="0" w:color="auto"/>
            <w:bottom w:val="none" w:sz="0" w:space="0" w:color="auto"/>
            <w:right w:val="none" w:sz="0" w:space="0" w:color="auto"/>
          </w:divBdr>
        </w:div>
        <w:div w:id="864178290">
          <w:marLeft w:val="547"/>
          <w:marRight w:val="0"/>
          <w:marTop w:val="160"/>
          <w:marBottom w:val="0"/>
          <w:divBdr>
            <w:top w:val="none" w:sz="0" w:space="0" w:color="auto"/>
            <w:left w:val="none" w:sz="0" w:space="0" w:color="auto"/>
            <w:bottom w:val="none" w:sz="0" w:space="0" w:color="auto"/>
            <w:right w:val="none" w:sz="0" w:space="0" w:color="auto"/>
          </w:divBdr>
        </w:div>
        <w:div w:id="1082335395">
          <w:marLeft w:val="547"/>
          <w:marRight w:val="0"/>
          <w:marTop w:val="160"/>
          <w:marBottom w:val="0"/>
          <w:divBdr>
            <w:top w:val="none" w:sz="0" w:space="0" w:color="auto"/>
            <w:left w:val="none" w:sz="0" w:space="0" w:color="auto"/>
            <w:bottom w:val="none" w:sz="0" w:space="0" w:color="auto"/>
            <w:right w:val="none" w:sz="0" w:space="0" w:color="auto"/>
          </w:divBdr>
        </w:div>
        <w:div w:id="1432776607">
          <w:marLeft w:val="547"/>
          <w:marRight w:val="0"/>
          <w:marTop w:val="160"/>
          <w:marBottom w:val="0"/>
          <w:divBdr>
            <w:top w:val="none" w:sz="0" w:space="0" w:color="auto"/>
            <w:left w:val="none" w:sz="0" w:space="0" w:color="auto"/>
            <w:bottom w:val="none" w:sz="0" w:space="0" w:color="auto"/>
            <w:right w:val="none" w:sz="0" w:space="0" w:color="auto"/>
          </w:divBdr>
        </w:div>
      </w:divsChild>
    </w:div>
    <w:div w:id="282732245">
      <w:bodyDiv w:val="1"/>
      <w:marLeft w:val="0"/>
      <w:marRight w:val="0"/>
      <w:marTop w:val="0"/>
      <w:marBottom w:val="0"/>
      <w:divBdr>
        <w:top w:val="none" w:sz="0" w:space="0" w:color="auto"/>
        <w:left w:val="none" w:sz="0" w:space="0" w:color="auto"/>
        <w:bottom w:val="none" w:sz="0" w:space="0" w:color="auto"/>
        <w:right w:val="none" w:sz="0" w:space="0" w:color="auto"/>
      </w:divBdr>
      <w:divsChild>
        <w:div w:id="2030520008">
          <w:marLeft w:val="0"/>
          <w:marRight w:val="0"/>
          <w:marTop w:val="0"/>
          <w:marBottom w:val="0"/>
          <w:divBdr>
            <w:top w:val="none" w:sz="0" w:space="0" w:color="auto"/>
            <w:left w:val="none" w:sz="0" w:space="0" w:color="auto"/>
            <w:bottom w:val="none" w:sz="0" w:space="0" w:color="auto"/>
            <w:right w:val="none" w:sz="0" w:space="0" w:color="auto"/>
          </w:divBdr>
          <w:divsChild>
            <w:div w:id="1249533288">
              <w:marLeft w:val="0"/>
              <w:marRight w:val="0"/>
              <w:marTop w:val="0"/>
              <w:marBottom w:val="0"/>
              <w:divBdr>
                <w:top w:val="none" w:sz="0" w:space="0" w:color="auto"/>
                <w:left w:val="none" w:sz="0" w:space="0" w:color="auto"/>
                <w:bottom w:val="none" w:sz="0" w:space="0" w:color="auto"/>
                <w:right w:val="none" w:sz="0" w:space="0" w:color="auto"/>
              </w:divBdr>
              <w:divsChild>
                <w:div w:id="924611817">
                  <w:marLeft w:val="0"/>
                  <w:marRight w:val="0"/>
                  <w:marTop w:val="0"/>
                  <w:marBottom w:val="0"/>
                  <w:divBdr>
                    <w:top w:val="none" w:sz="0" w:space="0" w:color="auto"/>
                    <w:left w:val="none" w:sz="0" w:space="0" w:color="auto"/>
                    <w:bottom w:val="none" w:sz="0" w:space="0" w:color="auto"/>
                    <w:right w:val="none" w:sz="0" w:space="0" w:color="auto"/>
                  </w:divBdr>
                  <w:divsChild>
                    <w:div w:id="1102844720">
                      <w:marLeft w:val="0"/>
                      <w:marRight w:val="0"/>
                      <w:marTop w:val="0"/>
                      <w:marBottom w:val="0"/>
                      <w:divBdr>
                        <w:top w:val="none" w:sz="0" w:space="0" w:color="auto"/>
                        <w:left w:val="none" w:sz="0" w:space="0" w:color="auto"/>
                        <w:bottom w:val="none" w:sz="0" w:space="0" w:color="auto"/>
                        <w:right w:val="none" w:sz="0" w:space="0" w:color="auto"/>
                      </w:divBdr>
                      <w:divsChild>
                        <w:div w:id="14296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348233">
      <w:bodyDiv w:val="1"/>
      <w:marLeft w:val="0"/>
      <w:marRight w:val="0"/>
      <w:marTop w:val="0"/>
      <w:marBottom w:val="0"/>
      <w:divBdr>
        <w:top w:val="none" w:sz="0" w:space="0" w:color="auto"/>
        <w:left w:val="none" w:sz="0" w:space="0" w:color="auto"/>
        <w:bottom w:val="none" w:sz="0" w:space="0" w:color="auto"/>
        <w:right w:val="none" w:sz="0" w:space="0" w:color="auto"/>
      </w:divBdr>
    </w:div>
    <w:div w:id="298655600">
      <w:bodyDiv w:val="1"/>
      <w:marLeft w:val="0"/>
      <w:marRight w:val="0"/>
      <w:marTop w:val="0"/>
      <w:marBottom w:val="0"/>
      <w:divBdr>
        <w:top w:val="none" w:sz="0" w:space="0" w:color="auto"/>
        <w:left w:val="none" w:sz="0" w:space="0" w:color="auto"/>
        <w:bottom w:val="none" w:sz="0" w:space="0" w:color="auto"/>
        <w:right w:val="none" w:sz="0" w:space="0" w:color="auto"/>
      </w:divBdr>
      <w:divsChild>
        <w:div w:id="1251889321">
          <w:marLeft w:val="0"/>
          <w:marRight w:val="0"/>
          <w:marTop w:val="0"/>
          <w:marBottom w:val="0"/>
          <w:divBdr>
            <w:top w:val="none" w:sz="0" w:space="0" w:color="auto"/>
            <w:left w:val="none" w:sz="0" w:space="0" w:color="auto"/>
            <w:bottom w:val="none" w:sz="0" w:space="0" w:color="auto"/>
            <w:right w:val="none" w:sz="0" w:space="0" w:color="auto"/>
          </w:divBdr>
          <w:divsChild>
            <w:div w:id="385422679">
              <w:marLeft w:val="0"/>
              <w:marRight w:val="0"/>
              <w:marTop w:val="0"/>
              <w:marBottom w:val="0"/>
              <w:divBdr>
                <w:top w:val="none" w:sz="0" w:space="0" w:color="auto"/>
                <w:left w:val="none" w:sz="0" w:space="0" w:color="auto"/>
                <w:bottom w:val="none" w:sz="0" w:space="0" w:color="auto"/>
                <w:right w:val="none" w:sz="0" w:space="0" w:color="auto"/>
              </w:divBdr>
              <w:divsChild>
                <w:div w:id="2106686787">
                  <w:marLeft w:val="0"/>
                  <w:marRight w:val="0"/>
                  <w:marTop w:val="0"/>
                  <w:marBottom w:val="0"/>
                  <w:divBdr>
                    <w:top w:val="none" w:sz="0" w:space="0" w:color="auto"/>
                    <w:left w:val="none" w:sz="0" w:space="0" w:color="auto"/>
                    <w:bottom w:val="none" w:sz="0" w:space="0" w:color="auto"/>
                    <w:right w:val="none" w:sz="0" w:space="0" w:color="auto"/>
                  </w:divBdr>
                  <w:divsChild>
                    <w:div w:id="424151367">
                      <w:marLeft w:val="0"/>
                      <w:marRight w:val="0"/>
                      <w:marTop w:val="0"/>
                      <w:marBottom w:val="0"/>
                      <w:divBdr>
                        <w:top w:val="none" w:sz="0" w:space="0" w:color="auto"/>
                        <w:left w:val="none" w:sz="0" w:space="0" w:color="auto"/>
                        <w:bottom w:val="none" w:sz="0" w:space="0" w:color="auto"/>
                        <w:right w:val="none" w:sz="0" w:space="0" w:color="auto"/>
                      </w:divBdr>
                      <w:divsChild>
                        <w:div w:id="412238576">
                          <w:marLeft w:val="0"/>
                          <w:marRight w:val="0"/>
                          <w:marTop w:val="0"/>
                          <w:marBottom w:val="0"/>
                          <w:divBdr>
                            <w:top w:val="none" w:sz="0" w:space="0" w:color="auto"/>
                            <w:left w:val="none" w:sz="0" w:space="0" w:color="auto"/>
                            <w:bottom w:val="none" w:sz="0" w:space="0" w:color="auto"/>
                            <w:right w:val="none" w:sz="0" w:space="0" w:color="auto"/>
                          </w:divBdr>
                          <w:divsChild>
                            <w:div w:id="18782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747419">
      <w:bodyDiv w:val="1"/>
      <w:marLeft w:val="0"/>
      <w:marRight w:val="0"/>
      <w:marTop w:val="0"/>
      <w:marBottom w:val="0"/>
      <w:divBdr>
        <w:top w:val="none" w:sz="0" w:space="0" w:color="auto"/>
        <w:left w:val="none" w:sz="0" w:space="0" w:color="auto"/>
        <w:bottom w:val="none" w:sz="0" w:space="0" w:color="auto"/>
        <w:right w:val="none" w:sz="0" w:space="0" w:color="auto"/>
      </w:divBdr>
    </w:div>
    <w:div w:id="327289561">
      <w:bodyDiv w:val="1"/>
      <w:marLeft w:val="0"/>
      <w:marRight w:val="0"/>
      <w:marTop w:val="0"/>
      <w:marBottom w:val="0"/>
      <w:divBdr>
        <w:top w:val="none" w:sz="0" w:space="0" w:color="auto"/>
        <w:left w:val="none" w:sz="0" w:space="0" w:color="auto"/>
        <w:bottom w:val="none" w:sz="0" w:space="0" w:color="auto"/>
        <w:right w:val="none" w:sz="0" w:space="0" w:color="auto"/>
      </w:divBdr>
    </w:div>
    <w:div w:id="341444418">
      <w:bodyDiv w:val="1"/>
      <w:marLeft w:val="0"/>
      <w:marRight w:val="0"/>
      <w:marTop w:val="0"/>
      <w:marBottom w:val="0"/>
      <w:divBdr>
        <w:top w:val="none" w:sz="0" w:space="0" w:color="auto"/>
        <w:left w:val="none" w:sz="0" w:space="0" w:color="auto"/>
        <w:bottom w:val="none" w:sz="0" w:space="0" w:color="auto"/>
        <w:right w:val="none" w:sz="0" w:space="0" w:color="auto"/>
      </w:divBdr>
    </w:div>
    <w:div w:id="364451230">
      <w:bodyDiv w:val="1"/>
      <w:marLeft w:val="0"/>
      <w:marRight w:val="0"/>
      <w:marTop w:val="0"/>
      <w:marBottom w:val="0"/>
      <w:divBdr>
        <w:top w:val="none" w:sz="0" w:space="0" w:color="auto"/>
        <w:left w:val="none" w:sz="0" w:space="0" w:color="auto"/>
        <w:bottom w:val="none" w:sz="0" w:space="0" w:color="auto"/>
        <w:right w:val="none" w:sz="0" w:space="0" w:color="auto"/>
      </w:divBdr>
    </w:div>
    <w:div w:id="367074901">
      <w:bodyDiv w:val="1"/>
      <w:marLeft w:val="0"/>
      <w:marRight w:val="0"/>
      <w:marTop w:val="0"/>
      <w:marBottom w:val="0"/>
      <w:divBdr>
        <w:top w:val="none" w:sz="0" w:space="0" w:color="auto"/>
        <w:left w:val="none" w:sz="0" w:space="0" w:color="auto"/>
        <w:bottom w:val="none" w:sz="0" w:space="0" w:color="auto"/>
        <w:right w:val="none" w:sz="0" w:space="0" w:color="auto"/>
      </w:divBdr>
      <w:divsChild>
        <w:div w:id="726031872">
          <w:marLeft w:val="0"/>
          <w:marRight w:val="0"/>
          <w:marTop w:val="0"/>
          <w:marBottom w:val="0"/>
          <w:divBdr>
            <w:top w:val="none" w:sz="0" w:space="0" w:color="auto"/>
            <w:left w:val="none" w:sz="0" w:space="0" w:color="auto"/>
            <w:bottom w:val="none" w:sz="0" w:space="0" w:color="auto"/>
            <w:right w:val="none" w:sz="0" w:space="0" w:color="auto"/>
          </w:divBdr>
        </w:div>
        <w:div w:id="1419212619">
          <w:marLeft w:val="0"/>
          <w:marRight w:val="0"/>
          <w:marTop w:val="0"/>
          <w:marBottom w:val="0"/>
          <w:divBdr>
            <w:top w:val="none" w:sz="0" w:space="0" w:color="auto"/>
            <w:left w:val="none" w:sz="0" w:space="0" w:color="auto"/>
            <w:bottom w:val="none" w:sz="0" w:space="0" w:color="auto"/>
            <w:right w:val="none" w:sz="0" w:space="0" w:color="auto"/>
          </w:divBdr>
        </w:div>
      </w:divsChild>
    </w:div>
    <w:div w:id="393740650">
      <w:bodyDiv w:val="1"/>
      <w:marLeft w:val="0"/>
      <w:marRight w:val="0"/>
      <w:marTop w:val="0"/>
      <w:marBottom w:val="0"/>
      <w:divBdr>
        <w:top w:val="none" w:sz="0" w:space="0" w:color="auto"/>
        <w:left w:val="none" w:sz="0" w:space="0" w:color="auto"/>
        <w:bottom w:val="none" w:sz="0" w:space="0" w:color="auto"/>
        <w:right w:val="none" w:sz="0" w:space="0" w:color="auto"/>
      </w:divBdr>
    </w:div>
    <w:div w:id="401611071">
      <w:bodyDiv w:val="1"/>
      <w:marLeft w:val="0"/>
      <w:marRight w:val="0"/>
      <w:marTop w:val="0"/>
      <w:marBottom w:val="0"/>
      <w:divBdr>
        <w:top w:val="none" w:sz="0" w:space="0" w:color="auto"/>
        <w:left w:val="none" w:sz="0" w:space="0" w:color="auto"/>
        <w:bottom w:val="none" w:sz="0" w:space="0" w:color="auto"/>
        <w:right w:val="none" w:sz="0" w:space="0" w:color="auto"/>
      </w:divBdr>
    </w:div>
    <w:div w:id="423112974">
      <w:bodyDiv w:val="1"/>
      <w:marLeft w:val="0"/>
      <w:marRight w:val="0"/>
      <w:marTop w:val="0"/>
      <w:marBottom w:val="0"/>
      <w:divBdr>
        <w:top w:val="none" w:sz="0" w:space="0" w:color="auto"/>
        <w:left w:val="none" w:sz="0" w:space="0" w:color="auto"/>
        <w:bottom w:val="none" w:sz="0" w:space="0" w:color="auto"/>
        <w:right w:val="none" w:sz="0" w:space="0" w:color="auto"/>
      </w:divBdr>
      <w:divsChild>
        <w:div w:id="189148487">
          <w:marLeft w:val="0"/>
          <w:marRight w:val="0"/>
          <w:marTop w:val="0"/>
          <w:marBottom w:val="0"/>
          <w:divBdr>
            <w:top w:val="none" w:sz="0" w:space="0" w:color="auto"/>
            <w:left w:val="none" w:sz="0" w:space="0" w:color="auto"/>
            <w:bottom w:val="none" w:sz="0" w:space="0" w:color="auto"/>
            <w:right w:val="none" w:sz="0" w:space="0" w:color="auto"/>
          </w:divBdr>
          <w:divsChild>
            <w:div w:id="497159179">
              <w:marLeft w:val="0"/>
              <w:marRight w:val="0"/>
              <w:marTop w:val="0"/>
              <w:marBottom w:val="0"/>
              <w:divBdr>
                <w:top w:val="none" w:sz="0" w:space="0" w:color="auto"/>
                <w:left w:val="none" w:sz="0" w:space="0" w:color="auto"/>
                <w:bottom w:val="none" w:sz="0" w:space="0" w:color="auto"/>
                <w:right w:val="none" w:sz="0" w:space="0" w:color="auto"/>
              </w:divBdr>
            </w:div>
            <w:div w:id="957639952">
              <w:marLeft w:val="0"/>
              <w:marRight w:val="0"/>
              <w:marTop w:val="0"/>
              <w:marBottom w:val="0"/>
              <w:divBdr>
                <w:top w:val="none" w:sz="0" w:space="0" w:color="auto"/>
                <w:left w:val="none" w:sz="0" w:space="0" w:color="auto"/>
                <w:bottom w:val="none" w:sz="0" w:space="0" w:color="auto"/>
                <w:right w:val="none" w:sz="0" w:space="0" w:color="auto"/>
              </w:divBdr>
            </w:div>
          </w:divsChild>
        </w:div>
        <w:div w:id="1626233115">
          <w:marLeft w:val="0"/>
          <w:marRight w:val="0"/>
          <w:marTop w:val="0"/>
          <w:marBottom w:val="0"/>
          <w:divBdr>
            <w:top w:val="none" w:sz="0" w:space="0" w:color="auto"/>
            <w:left w:val="none" w:sz="0" w:space="0" w:color="auto"/>
            <w:bottom w:val="none" w:sz="0" w:space="0" w:color="auto"/>
            <w:right w:val="none" w:sz="0" w:space="0" w:color="auto"/>
          </w:divBdr>
          <w:divsChild>
            <w:div w:id="111675328">
              <w:marLeft w:val="0"/>
              <w:marRight w:val="0"/>
              <w:marTop w:val="0"/>
              <w:marBottom w:val="0"/>
              <w:divBdr>
                <w:top w:val="none" w:sz="0" w:space="0" w:color="auto"/>
                <w:left w:val="none" w:sz="0" w:space="0" w:color="auto"/>
                <w:bottom w:val="none" w:sz="0" w:space="0" w:color="auto"/>
                <w:right w:val="none" w:sz="0" w:space="0" w:color="auto"/>
              </w:divBdr>
            </w:div>
            <w:div w:id="1413546208">
              <w:marLeft w:val="0"/>
              <w:marRight w:val="0"/>
              <w:marTop w:val="0"/>
              <w:marBottom w:val="0"/>
              <w:divBdr>
                <w:top w:val="none" w:sz="0" w:space="0" w:color="auto"/>
                <w:left w:val="none" w:sz="0" w:space="0" w:color="auto"/>
                <w:bottom w:val="none" w:sz="0" w:space="0" w:color="auto"/>
                <w:right w:val="none" w:sz="0" w:space="0" w:color="auto"/>
              </w:divBdr>
            </w:div>
          </w:divsChild>
        </w:div>
        <w:div w:id="1775515767">
          <w:marLeft w:val="0"/>
          <w:marRight w:val="0"/>
          <w:marTop w:val="0"/>
          <w:marBottom w:val="0"/>
          <w:divBdr>
            <w:top w:val="none" w:sz="0" w:space="0" w:color="auto"/>
            <w:left w:val="none" w:sz="0" w:space="0" w:color="auto"/>
            <w:bottom w:val="none" w:sz="0" w:space="0" w:color="auto"/>
            <w:right w:val="none" w:sz="0" w:space="0" w:color="auto"/>
          </w:divBdr>
          <w:divsChild>
            <w:div w:id="299112378">
              <w:marLeft w:val="0"/>
              <w:marRight w:val="0"/>
              <w:marTop w:val="0"/>
              <w:marBottom w:val="0"/>
              <w:divBdr>
                <w:top w:val="none" w:sz="0" w:space="0" w:color="auto"/>
                <w:left w:val="none" w:sz="0" w:space="0" w:color="auto"/>
                <w:bottom w:val="none" w:sz="0" w:space="0" w:color="auto"/>
                <w:right w:val="none" w:sz="0" w:space="0" w:color="auto"/>
              </w:divBdr>
            </w:div>
            <w:div w:id="1433280146">
              <w:marLeft w:val="0"/>
              <w:marRight w:val="0"/>
              <w:marTop w:val="0"/>
              <w:marBottom w:val="0"/>
              <w:divBdr>
                <w:top w:val="none" w:sz="0" w:space="0" w:color="auto"/>
                <w:left w:val="none" w:sz="0" w:space="0" w:color="auto"/>
                <w:bottom w:val="none" w:sz="0" w:space="0" w:color="auto"/>
                <w:right w:val="none" w:sz="0" w:space="0" w:color="auto"/>
              </w:divBdr>
            </w:div>
          </w:divsChild>
        </w:div>
        <w:div w:id="1959944022">
          <w:marLeft w:val="0"/>
          <w:marRight w:val="0"/>
          <w:marTop w:val="0"/>
          <w:marBottom w:val="0"/>
          <w:divBdr>
            <w:top w:val="none" w:sz="0" w:space="0" w:color="auto"/>
            <w:left w:val="none" w:sz="0" w:space="0" w:color="auto"/>
            <w:bottom w:val="none" w:sz="0" w:space="0" w:color="auto"/>
            <w:right w:val="none" w:sz="0" w:space="0" w:color="auto"/>
          </w:divBdr>
          <w:divsChild>
            <w:div w:id="1400790763">
              <w:marLeft w:val="0"/>
              <w:marRight w:val="0"/>
              <w:marTop w:val="0"/>
              <w:marBottom w:val="0"/>
              <w:divBdr>
                <w:top w:val="none" w:sz="0" w:space="0" w:color="auto"/>
                <w:left w:val="none" w:sz="0" w:space="0" w:color="auto"/>
                <w:bottom w:val="none" w:sz="0" w:space="0" w:color="auto"/>
                <w:right w:val="none" w:sz="0" w:space="0" w:color="auto"/>
              </w:divBdr>
            </w:div>
            <w:div w:id="1993942554">
              <w:marLeft w:val="0"/>
              <w:marRight w:val="0"/>
              <w:marTop w:val="0"/>
              <w:marBottom w:val="0"/>
              <w:divBdr>
                <w:top w:val="none" w:sz="0" w:space="0" w:color="auto"/>
                <w:left w:val="none" w:sz="0" w:space="0" w:color="auto"/>
                <w:bottom w:val="none" w:sz="0" w:space="0" w:color="auto"/>
                <w:right w:val="none" w:sz="0" w:space="0" w:color="auto"/>
              </w:divBdr>
            </w:div>
          </w:divsChild>
        </w:div>
        <w:div w:id="2090347148">
          <w:marLeft w:val="0"/>
          <w:marRight w:val="0"/>
          <w:marTop w:val="0"/>
          <w:marBottom w:val="0"/>
          <w:divBdr>
            <w:top w:val="none" w:sz="0" w:space="0" w:color="auto"/>
            <w:left w:val="none" w:sz="0" w:space="0" w:color="auto"/>
            <w:bottom w:val="none" w:sz="0" w:space="0" w:color="auto"/>
            <w:right w:val="none" w:sz="0" w:space="0" w:color="auto"/>
          </w:divBdr>
          <w:divsChild>
            <w:div w:id="943801218">
              <w:marLeft w:val="0"/>
              <w:marRight w:val="0"/>
              <w:marTop w:val="0"/>
              <w:marBottom w:val="0"/>
              <w:divBdr>
                <w:top w:val="none" w:sz="0" w:space="0" w:color="auto"/>
                <w:left w:val="none" w:sz="0" w:space="0" w:color="auto"/>
                <w:bottom w:val="none" w:sz="0" w:space="0" w:color="auto"/>
                <w:right w:val="none" w:sz="0" w:space="0" w:color="auto"/>
              </w:divBdr>
            </w:div>
            <w:div w:id="1635216166">
              <w:marLeft w:val="0"/>
              <w:marRight w:val="0"/>
              <w:marTop w:val="0"/>
              <w:marBottom w:val="0"/>
              <w:divBdr>
                <w:top w:val="none" w:sz="0" w:space="0" w:color="auto"/>
                <w:left w:val="none" w:sz="0" w:space="0" w:color="auto"/>
                <w:bottom w:val="none" w:sz="0" w:space="0" w:color="auto"/>
                <w:right w:val="none" w:sz="0" w:space="0" w:color="auto"/>
              </w:divBdr>
            </w:div>
            <w:div w:id="17245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91631">
      <w:bodyDiv w:val="1"/>
      <w:marLeft w:val="0"/>
      <w:marRight w:val="0"/>
      <w:marTop w:val="0"/>
      <w:marBottom w:val="0"/>
      <w:divBdr>
        <w:top w:val="none" w:sz="0" w:space="0" w:color="auto"/>
        <w:left w:val="none" w:sz="0" w:space="0" w:color="auto"/>
        <w:bottom w:val="none" w:sz="0" w:space="0" w:color="auto"/>
        <w:right w:val="none" w:sz="0" w:space="0" w:color="auto"/>
      </w:divBdr>
      <w:divsChild>
        <w:div w:id="635374940">
          <w:marLeft w:val="0"/>
          <w:marRight w:val="0"/>
          <w:marTop w:val="0"/>
          <w:marBottom w:val="0"/>
          <w:divBdr>
            <w:top w:val="none" w:sz="0" w:space="0" w:color="auto"/>
            <w:left w:val="none" w:sz="0" w:space="0" w:color="auto"/>
            <w:bottom w:val="none" w:sz="0" w:space="0" w:color="auto"/>
            <w:right w:val="none" w:sz="0" w:space="0" w:color="auto"/>
          </w:divBdr>
          <w:divsChild>
            <w:div w:id="696123716">
              <w:marLeft w:val="0"/>
              <w:marRight w:val="0"/>
              <w:marTop w:val="0"/>
              <w:marBottom w:val="0"/>
              <w:divBdr>
                <w:top w:val="none" w:sz="0" w:space="0" w:color="auto"/>
                <w:left w:val="none" w:sz="0" w:space="0" w:color="auto"/>
                <w:bottom w:val="none" w:sz="0" w:space="0" w:color="auto"/>
                <w:right w:val="none" w:sz="0" w:space="0" w:color="auto"/>
              </w:divBdr>
              <w:divsChild>
                <w:div w:id="847449744">
                  <w:marLeft w:val="0"/>
                  <w:marRight w:val="0"/>
                  <w:marTop w:val="0"/>
                  <w:marBottom w:val="0"/>
                  <w:divBdr>
                    <w:top w:val="none" w:sz="0" w:space="0" w:color="auto"/>
                    <w:left w:val="none" w:sz="0" w:space="0" w:color="auto"/>
                    <w:bottom w:val="none" w:sz="0" w:space="0" w:color="auto"/>
                    <w:right w:val="none" w:sz="0" w:space="0" w:color="auto"/>
                  </w:divBdr>
                  <w:divsChild>
                    <w:div w:id="2049790249">
                      <w:marLeft w:val="0"/>
                      <w:marRight w:val="0"/>
                      <w:marTop w:val="0"/>
                      <w:marBottom w:val="0"/>
                      <w:divBdr>
                        <w:top w:val="none" w:sz="0" w:space="0" w:color="auto"/>
                        <w:left w:val="none" w:sz="0" w:space="0" w:color="auto"/>
                        <w:bottom w:val="none" w:sz="0" w:space="0" w:color="auto"/>
                        <w:right w:val="none" w:sz="0" w:space="0" w:color="auto"/>
                      </w:divBdr>
                      <w:divsChild>
                        <w:div w:id="1453548724">
                          <w:marLeft w:val="0"/>
                          <w:marRight w:val="0"/>
                          <w:marTop w:val="0"/>
                          <w:marBottom w:val="0"/>
                          <w:divBdr>
                            <w:top w:val="none" w:sz="0" w:space="0" w:color="auto"/>
                            <w:left w:val="none" w:sz="0" w:space="0" w:color="auto"/>
                            <w:bottom w:val="none" w:sz="0" w:space="0" w:color="auto"/>
                            <w:right w:val="none" w:sz="0" w:space="0" w:color="auto"/>
                          </w:divBdr>
                          <w:divsChild>
                            <w:div w:id="185556717">
                              <w:marLeft w:val="0"/>
                              <w:marRight w:val="0"/>
                              <w:marTop w:val="0"/>
                              <w:marBottom w:val="0"/>
                              <w:divBdr>
                                <w:top w:val="none" w:sz="0" w:space="0" w:color="auto"/>
                                <w:left w:val="none" w:sz="0" w:space="0" w:color="auto"/>
                                <w:bottom w:val="none" w:sz="0" w:space="0" w:color="auto"/>
                                <w:right w:val="none" w:sz="0" w:space="0" w:color="auto"/>
                              </w:divBdr>
                            </w:div>
                            <w:div w:id="21396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121434">
      <w:bodyDiv w:val="1"/>
      <w:marLeft w:val="0"/>
      <w:marRight w:val="0"/>
      <w:marTop w:val="0"/>
      <w:marBottom w:val="0"/>
      <w:divBdr>
        <w:top w:val="none" w:sz="0" w:space="0" w:color="auto"/>
        <w:left w:val="none" w:sz="0" w:space="0" w:color="auto"/>
        <w:bottom w:val="none" w:sz="0" w:space="0" w:color="auto"/>
        <w:right w:val="none" w:sz="0" w:space="0" w:color="auto"/>
      </w:divBdr>
    </w:div>
    <w:div w:id="430971535">
      <w:bodyDiv w:val="1"/>
      <w:marLeft w:val="0"/>
      <w:marRight w:val="0"/>
      <w:marTop w:val="0"/>
      <w:marBottom w:val="0"/>
      <w:divBdr>
        <w:top w:val="none" w:sz="0" w:space="0" w:color="auto"/>
        <w:left w:val="none" w:sz="0" w:space="0" w:color="auto"/>
        <w:bottom w:val="none" w:sz="0" w:space="0" w:color="auto"/>
        <w:right w:val="none" w:sz="0" w:space="0" w:color="auto"/>
      </w:divBdr>
    </w:div>
    <w:div w:id="434399459">
      <w:bodyDiv w:val="1"/>
      <w:marLeft w:val="0"/>
      <w:marRight w:val="0"/>
      <w:marTop w:val="0"/>
      <w:marBottom w:val="0"/>
      <w:divBdr>
        <w:top w:val="none" w:sz="0" w:space="0" w:color="auto"/>
        <w:left w:val="none" w:sz="0" w:space="0" w:color="auto"/>
        <w:bottom w:val="none" w:sz="0" w:space="0" w:color="auto"/>
        <w:right w:val="none" w:sz="0" w:space="0" w:color="auto"/>
      </w:divBdr>
    </w:div>
    <w:div w:id="448815936">
      <w:bodyDiv w:val="1"/>
      <w:marLeft w:val="0"/>
      <w:marRight w:val="0"/>
      <w:marTop w:val="0"/>
      <w:marBottom w:val="0"/>
      <w:divBdr>
        <w:top w:val="none" w:sz="0" w:space="0" w:color="auto"/>
        <w:left w:val="none" w:sz="0" w:space="0" w:color="auto"/>
        <w:bottom w:val="none" w:sz="0" w:space="0" w:color="auto"/>
        <w:right w:val="none" w:sz="0" w:space="0" w:color="auto"/>
      </w:divBdr>
      <w:divsChild>
        <w:div w:id="942497512">
          <w:marLeft w:val="0"/>
          <w:marRight w:val="0"/>
          <w:marTop w:val="0"/>
          <w:marBottom w:val="0"/>
          <w:divBdr>
            <w:top w:val="none" w:sz="0" w:space="0" w:color="auto"/>
            <w:left w:val="none" w:sz="0" w:space="0" w:color="auto"/>
            <w:bottom w:val="none" w:sz="0" w:space="0" w:color="auto"/>
            <w:right w:val="none" w:sz="0" w:space="0" w:color="auto"/>
          </w:divBdr>
          <w:divsChild>
            <w:div w:id="1961376066">
              <w:marLeft w:val="0"/>
              <w:marRight w:val="0"/>
              <w:marTop w:val="0"/>
              <w:marBottom w:val="0"/>
              <w:divBdr>
                <w:top w:val="none" w:sz="0" w:space="0" w:color="auto"/>
                <w:left w:val="none" w:sz="0" w:space="0" w:color="auto"/>
                <w:bottom w:val="none" w:sz="0" w:space="0" w:color="auto"/>
                <w:right w:val="none" w:sz="0" w:space="0" w:color="auto"/>
              </w:divBdr>
              <w:divsChild>
                <w:div w:id="1293630895">
                  <w:marLeft w:val="0"/>
                  <w:marRight w:val="0"/>
                  <w:marTop w:val="0"/>
                  <w:marBottom w:val="0"/>
                  <w:divBdr>
                    <w:top w:val="none" w:sz="0" w:space="0" w:color="auto"/>
                    <w:left w:val="none" w:sz="0" w:space="0" w:color="auto"/>
                    <w:bottom w:val="none" w:sz="0" w:space="0" w:color="auto"/>
                    <w:right w:val="none" w:sz="0" w:space="0" w:color="auto"/>
                  </w:divBdr>
                  <w:divsChild>
                    <w:div w:id="1366830846">
                      <w:marLeft w:val="0"/>
                      <w:marRight w:val="0"/>
                      <w:marTop w:val="0"/>
                      <w:marBottom w:val="0"/>
                      <w:divBdr>
                        <w:top w:val="none" w:sz="0" w:space="0" w:color="auto"/>
                        <w:left w:val="none" w:sz="0" w:space="0" w:color="auto"/>
                        <w:bottom w:val="none" w:sz="0" w:space="0" w:color="auto"/>
                        <w:right w:val="none" w:sz="0" w:space="0" w:color="auto"/>
                      </w:divBdr>
                      <w:divsChild>
                        <w:div w:id="549652352">
                          <w:marLeft w:val="0"/>
                          <w:marRight w:val="0"/>
                          <w:marTop w:val="0"/>
                          <w:marBottom w:val="0"/>
                          <w:divBdr>
                            <w:top w:val="none" w:sz="0" w:space="0" w:color="auto"/>
                            <w:left w:val="none" w:sz="0" w:space="0" w:color="auto"/>
                            <w:bottom w:val="none" w:sz="0" w:space="0" w:color="auto"/>
                            <w:right w:val="none" w:sz="0" w:space="0" w:color="auto"/>
                          </w:divBdr>
                          <w:divsChild>
                            <w:div w:id="751971840">
                              <w:marLeft w:val="0"/>
                              <w:marRight w:val="0"/>
                              <w:marTop w:val="0"/>
                              <w:marBottom w:val="0"/>
                              <w:divBdr>
                                <w:top w:val="none" w:sz="0" w:space="0" w:color="auto"/>
                                <w:left w:val="none" w:sz="0" w:space="0" w:color="auto"/>
                                <w:bottom w:val="none" w:sz="0" w:space="0" w:color="auto"/>
                                <w:right w:val="none" w:sz="0" w:space="0" w:color="auto"/>
                              </w:divBdr>
                            </w:div>
                            <w:div w:id="1187450783">
                              <w:marLeft w:val="0"/>
                              <w:marRight w:val="0"/>
                              <w:marTop w:val="0"/>
                              <w:marBottom w:val="0"/>
                              <w:divBdr>
                                <w:top w:val="none" w:sz="0" w:space="0" w:color="auto"/>
                                <w:left w:val="none" w:sz="0" w:space="0" w:color="auto"/>
                                <w:bottom w:val="none" w:sz="0" w:space="0" w:color="auto"/>
                                <w:right w:val="none" w:sz="0" w:space="0" w:color="auto"/>
                              </w:divBdr>
                            </w:div>
                            <w:div w:id="12410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764099">
      <w:bodyDiv w:val="1"/>
      <w:marLeft w:val="0"/>
      <w:marRight w:val="0"/>
      <w:marTop w:val="0"/>
      <w:marBottom w:val="0"/>
      <w:divBdr>
        <w:top w:val="none" w:sz="0" w:space="0" w:color="auto"/>
        <w:left w:val="none" w:sz="0" w:space="0" w:color="auto"/>
        <w:bottom w:val="none" w:sz="0" w:space="0" w:color="auto"/>
        <w:right w:val="none" w:sz="0" w:space="0" w:color="auto"/>
      </w:divBdr>
      <w:divsChild>
        <w:div w:id="253516151">
          <w:marLeft w:val="547"/>
          <w:marRight w:val="0"/>
          <w:marTop w:val="60"/>
          <w:marBottom w:val="60"/>
          <w:divBdr>
            <w:top w:val="none" w:sz="0" w:space="0" w:color="auto"/>
            <w:left w:val="none" w:sz="0" w:space="0" w:color="auto"/>
            <w:bottom w:val="none" w:sz="0" w:space="0" w:color="auto"/>
            <w:right w:val="none" w:sz="0" w:space="0" w:color="auto"/>
          </w:divBdr>
        </w:div>
        <w:div w:id="651452244">
          <w:marLeft w:val="547"/>
          <w:marRight w:val="0"/>
          <w:marTop w:val="60"/>
          <w:marBottom w:val="60"/>
          <w:divBdr>
            <w:top w:val="none" w:sz="0" w:space="0" w:color="auto"/>
            <w:left w:val="none" w:sz="0" w:space="0" w:color="auto"/>
            <w:bottom w:val="none" w:sz="0" w:space="0" w:color="auto"/>
            <w:right w:val="none" w:sz="0" w:space="0" w:color="auto"/>
          </w:divBdr>
        </w:div>
        <w:div w:id="1077871360">
          <w:marLeft w:val="547"/>
          <w:marRight w:val="0"/>
          <w:marTop w:val="60"/>
          <w:marBottom w:val="60"/>
          <w:divBdr>
            <w:top w:val="none" w:sz="0" w:space="0" w:color="auto"/>
            <w:left w:val="none" w:sz="0" w:space="0" w:color="auto"/>
            <w:bottom w:val="none" w:sz="0" w:space="0" w:color="auto"/>
            <w:right w:val="none" w:sz="0" w:space="0" w:color="auto"/>
          </w:divBdr>
        </w:div>
        <w:div w:id="1349213775">
          <w:marLeft w:val="547"/>
          <w:marRight w:val="0"/>
          <w:marTop w:val="60"/>
          <w:marBottom w:val="60"/>
          <w:divBdr>
            <w:top w:val="none" w:sz="0" w:space="0" w:color="auto"/>
            <w:left w:val="none" w:sz="0" w:space="0" w:color="auto"/>
            <w:bottom w:val="none" w:sz="0" w:space="0" w:color="auto"/>
            <w:right w:val="none" w:sz="0" w:space="0" w:color="auto"/>
          </w:divBdr>
        </w:div>
      </w:divsChild>
    </w:div>
    <w:div w:id="494758316">
      <w:bodyDiv w:val="1"/>
      <w:marLeft w:val="0"/>
      <w:marRight w:val="0"/>
      <w:marTop w:val="0"/>
      <w:marBottom w:val="0"/>
      <w:divBdr>
        <w:top w:val="none" w:sz="0" w:space="0" w:color="auto"/>
        <w:left w:val="none" w:sz="0" w:space="0" w:color="auto"/>
        <w:bottom w:val="none" w:sz="0" w:space="0" w:color="auto"/>
        <w:right w:val="none" w:sz="0" w:space="0" w:color="auto"/>
      </w:divBdr>
    </w:div>
    <w:div w:id="510217445">
      <w:bodyDiv w:val="1"/>
      <w:marLeft w:val="0"/>
      <w:marRight w:val="0"/>
      <w:marTop w:val="0"/>
      <w:marBottom w:val="0"/>
      <w:divBdr>
        <w:top w:val="none" w:sz="0" w:space="0" w:color="auto"/>
        <w:left w:val="none" w:sz="0" w:space="0" w:color="auto"/>
        <w:bottom w:val="none" w:sz="0" w:space="0" w:color="auto"/>
        <w:right w:val="none" w:sz="0" w:space="0" w:color="auto"/>
      </w:divBdr>
    </w:div>
    <w:div w:id="516314466">
      <w:bodyDiv w:val="1"/>
      <w:marLeft w:val="0"/>
      <w:marRight w:val="0"/>
      <w:marTop w:val="0"/>
      <w:marBottom w:val="0"/>
      <w:divBdr>
        <w:top w:val="none" w:sz="0" w:space="0" w:color="auto"/>
        <w:left w:val="none" w:sz="0" w:space="0" w:color="auto"/>
        <w:bottom w:val="none" w:sz="0" w:space="0" w:color="auto"/>
        <w:right w:val="none" w:sz="0" w:space="0" w:color="auto"/>
      </w:divBdr>
      <w:divsChild>
        <w:div w:id="88233522">
          <w:marLeft w:val="0"/>
          <w:marRight w:val="0"/>
          <w:marTop w:val="0"/>
          <w:marBottom w:val="0"/>
          <w:divBdr>
            <w:top w:val="none" w:sz="0" w:space="0" w:color="auto"/>
            <w:left w:val="none" w:sz="0" w:space="0" w:color="auto"/>
            <w:bottom w:val="none" w:sz="0" w:space="0" w:color="auto"/>
            <w:right w:val="none" w:sz="0" w:space="0" w:color="auto"/>
          </w:divBdr>
        </w:div>
        <w:div w:id="880938305">
          <w:marLeft w:val="0"/>
          <w:marRight w:val="0"/>
          <w:marTop w:val="0"/>
          <w:marBottom w:val="0"/>
          <w:divBdr>
            <w:top w:val="none" w:sz="0" w:space="0" w:color="auto"/>
            <w:left w:val="none" w:sz="0" w:space="0" w:color="auto"/>
            <w:bottom w:val="none" w:sz="0" w:space="0" w:color="auto"/>
            <w:right w:val="none" w:sz="0" w:space="0" w:color="auto"/>
          </w:divBdr>
        </w:div>
        <w:div w:id="1525316060">
          <w:marLeft w:val="0"/>
          <w:marRight w:val="0"/>
          <w:marTop w:val="0"/>
          <w:marBottom w:val="0"/>
          <w:divBdr>
            <w:top w:val="none" w:sz="0" w:space="0" w:color="auto"/>
            <w:left w:val="none" w:sz="0" w:space="0" w:color="auto"/>
            <w:bottom w:val="none" w:sz="0" w:space="0" w:color="auto"/>
            <w:right w:val="none" w:sz="0" w:space="0" w:color="auto"/>
          </w:divBdr>
        </w:div>
      </w:divsChild>
    </w:div>
    <w:div w:id="519005863">
      <w:bodyDiv w:val="1"/>
      <w:marLeft w:val="0"/>
      <w:marRight w:val="0"/>
      <w:marTop w:val="0"/>
      <w:marBottom w:val="0"/>
      <w:divBdr>
        <w:top w:val="none" w:sz="0" w:space="0" w:color="auto"/>
        <w:left w:val="none" w:sz="0" w:space="0" w:color="auto"/>
        <w:bottom w:val="none" w:sz="0" w:space="0" w:color="auto"/>
        <w:right w:val="none" w:sz="0" w:space="0" w:color="auto"/>
      </w:divBdr>
    </w:div>
    <w:div w:id="519243284">
      <w:bodyDiv w:val="1"/>
      <w:marLeft w:val="0"/>
      <w:marRight w:val="0"/>
      <w:marTop w:val="0"/>
      <w:marBottom w:val="0"/>
      <w:divBdr>
        <w:top w:val="none" w:sz="0" w:space="0" w:color="auto"/>
        <w:left w:val="none" w:sz="0" w:space="0" w:color="auto"/>
        <w:bottom w:val="none" w:sz="0" w:space="0" w:color="auto"/>
        <w:right w:val="none" w:sz="0" w:space="0" w:color="auto"/>
      </w:divBdr>
    </w:div>
    <w:div w:id="538202549">
      <w:bodyDiv w:val="1"/>
      <w:marLeft w:val="0"/>
      <w:marRight w:val="0"/>
      <w:marTop w:val="0"/>
      <w:marBottom w:val="0"/>
      <w:divBdr>
        <w:top w:val="none" w:sz="0" w:space="0" w:color="auto"/>
        <w:left w:val="none" w:sz="0" w:space="0" w:color="auto"/>
        <w:bottom w:val="none" w:sz="0" w:space="0" w:color="auto"/>
        <w:right w:val="none" w:sz="0" w:space="0" w:color="auto"/>
      </w:divBdr>
    </w:div>
    <w:div w:id="545070810">
      <w:bodyDiv w:val="1"/>
      <w:marLeft w:val="0"/>
      <w:marRight w:val="0"/>
      <w:marTop w:val="0"/>
      <w:marBottom w:val="0"/>
      <w:divBdr>
        <w:top w:val="none" w:sz="0" w:space="0" w:color="auto"/>
        <w:left w:val="none" w:sz="0" w:space="0" w:color="auto"/>
        <w:bottom w:val="none" w:sz="0" w:space="0" w:color="auto"/>
        <w:right w:val="none" w:sz="0" w:space="0" w:color="auto"/>
      </w:divBdr>
    </w:div>
    <w:div w:id="550270929">
      <w:bodyDiv w:val="1"/>
      <w:marLeft w:val="0"/>
      <w:marRight w:val="0"/>
      <w:marTop w:val="0"/>
      <w:marBottom w:val="0"/>
      <w:divBdr>
        <w:top w:val="none" w:sz="0" w:space="0" w:color="auto"/>
        <w:left w:val="none" w:sz="0" w:space="0" w:color="auto"/>
        <w:bottom w:val="none" w:sz="0" w:space="0" w:color="auto"/>
        <w:right w:val="none" w:sz="0" w:space="0" w:color="auto"/>
      </w:divBdr>
      <w:divsChild>
        <w:div w:id="372928893">
          <w:marLeft w:val="0"/>
          <w:marRight w:val="0"/>
          <w:marTop w:val="0"/>
          <w:marBottom w:val="0"/>
          <w:divBdr>
            <w:top w:val="none" w:sz="0" w:space="0" w:color="auto"/>
            <w:left w:val="none" w:sz="0" w:space="0" w:color="auto"/>
            <w:bottom w:val="none" w:sz="0" w:space="0" w:color="auto"/>
            <w:right w:val="none" w:sz="0" w:space="0" w:color="auto"/>
          </w:divBdr>
        </w:div>
        <w:div w:id="523978343">
          <w:marLeft w:val="0"/>
          <w:marRight w:val="0"/>
          <w:marTop w:val="0"/>
          <w:marBottom w:val="0"/>
          <w:divBdr>
            <w:top w:val="none" w:sz="0" w:space="0" w:color="auto"/>
            <w:left w:val="none" w:sz="0" w:space="0" w:color="auto"/>
            <w:bottom w:val="none" w:sz="0" w:space="0" w:color="auto"/>
            <w:right w:val="none" w:sz="0" w:space="0" w:color="auto"/>
          </w:divBdr>
        </w:div>
        <w:div w:id="729839028">
          <w:marLeft w:val="0"/>
          <w:marRight w:val="0"/>
          <w:marTop w:val="0"/>
          <w:marBottom w:val="0"/>
          <w:divBdr>
            <w:top w:val="none" w:sz="0" w:space="0" w:color="auto"/>
            <w:left w:val="none" w:sz="0" w:space="0" w:color="auto"/>
            <w:bottom w:val="none" w:sz="0" w:space="0" w:color="auto"/>
            <w:right w:val="none" w:sz="0" w:space="0" w:color="auto"/>
          </w:divBdr>
        </w:div>
        <w:div w:id="1615139428">
          <w:marLeft w:val="0"/>
          <w:marRight w:val="0"/>
          <w:marTop w:val="0"/>
          <w:marBottom w:val="0"/>
          <w:divBdr>
            <w:top w:val="none" w:sz="0" w:space="0" w:color="auto"/>
            <w:left w:val="none" w:sz="0" w:space="0" w:color="auto"/>
            <w:bottom w:val="none" w:sz="0" w:space="0" w:color="auto"/>
            <w:right w:val="none" w:sz="0" w:space="0" w:color="auto"/>
          </w:divBdr>
        </w:div>
        <w:div w:id="1828597257">
          <w:marLeft w:val="0"/>
          <w:marRight w:val="0"/>
          <w:marTop w:val="0"/>
          <w:marBottom w:val="0"/>
          <w:divBdr>
            <w:top w:val="none" w:sz="0" w:space="0" w:color="auto"/>
            <w:left w:val="none" w:sz="0" w:space="0" w:color="auto"/>
            <w:bottom w:val="none" w:sz="0" w:space="0" w:color="auto"/>
            <w:right w:val="none" w:sz="0" w:space="0" w:color="auto"/>
          </w:divBdr>
        </w:div>
      </w:divsChild>
    </w:div>
    <w:div w:id="594824027">
      <w:bodyDiv w:val="1"/>
      <w:marLeft w:val="0"/>
      <w:marRight w:val="0"/>
      <w:marTop w:val="0"/>
      <w:marBottom w:val="0"/>
      <w:divBdr>
        <w:top w:val="none" w:sz="0" w:space="0" w:color="auto"/>
        <w:left w:val="none" w:sz="0" w:space="0" w:color="auto"/>
        <w:bottom w:val="none" w:sz="0" w:space="0" w:color="auto"/>
        <w:right w:val="none" w:sz="0" w:space="0" w:color="auto"/>
      </w:divBdr>
    </w:div>
    <w:div w:id="602609861">
      <w:bodyDiv w:val="1"/>
      <w:marLeft w:val="0"/>
      <w:marRight w:val="0"/>
      <w:marTop w:val="0"/>
      <w:marBottom w:val="0"/>
      <w:divBdr>
        <w:top w:val="none" w:sz="0" w:space="0" w:color="auto"/>
        <w:left w:val="none" w:sz="0" w:space="0" w:color="auto"/>
        <w:bottom w:val="none" w:sz="0" w:space="0" w:color="auto"/>
        <w:right w:val="none" w:sz="0" w:space="0" w:color="auto"/>
      </w:divBdr>
    </w:div>
    <w:div w:id="633676173">
      <w:bodyDiv w:val="1"/>
      <w:marLeft w:val="0"/>
      <w:marRight w:val="0"/>
      <w:marTop w:val="0"/>
      <w:marBottom w:val="0"/>
      <w:divBdr>
        <w:top w:val="none" w:sz="0" w:space="0" w:color="auto"/>
        <w:left w:val="none" w:sz="0" w:space="0" w:color="auto"/>
        <w:bottom w:val="none" w:sz="0" w:space="0" w:color="auto"/>
        <w:right w:val="none" w:sz="0" w:space="0" w:color="auto"/>
      </w:divBdr>
    </w:div>
    <w:div w:id="648443305">
      <w:bodyDiv w:val="1"/>
      <w:marLeft w:val="0"/>
      <w:marRight w:val="0"/>
      <w:marTop w:val="0"/>
      <w:marBottom w:val="0"/>
      <w:divBdr>
        <w:top w:val="none" w:sz="0" w:space="0" w:color="auto"/>
        <w:left w:val="none" w:sz="0" w:space="0" w:color="auto"/>
        <w:bottom w:val="none" w:sz="0" w:space="0" w:color="auto"/>
        <w:right w:val="none" w:sz="0" w:space="0" w:color="auto"/>
      </w:divBdr>
      <w:divsChild>
        <w:div w:id="114951419">
          <w:marLeft w:val="0"/>
          <w:marRight w:val="0"/>
          <w:marTop w:val="0"/>
          <w:marBottom w:val="0"/>
          <w:divBdr>
            <w:top w:val="none" w:sz="0" w:space="0" w:color="auto"/>
            <w:left w:val="none" w:sz="0" w:space="0" w:color="auto"/>
            <w:bottom w:val="none" w:sz="0" w:space="0" w:color="auto"/>
            <w:right w:val="none" w:sz="0" w:space="0" w:color="auto"/>
          </w:divBdr>
        </w:div>
        <w:div w:id="713425180">
          <w:marLeft w:val="0"/>
          <w:marRight w:val="0"/>
          <w:marTop w:val="0"/>
          <w:marBottom w:val="0"/>
          <w:divBdr>
            <w:top w:val="none" w:sz="0" w:space="0" w:color="auto"/>
            <w:left w:val="none" w:sz="0" w:space="0" w:color="auto"/>
            <w:bottom w:val="none" w:sz="0" w:space="0" w:color="auto"/>
            <w:right w:val="none" w:sz="0" w:space="0" w:color="auto"/>
          </w:divBdr>
        </w:div>
        <w:div w:id="1967928307">
          <w:marLeft w:val="0"/>
          <w:marRight w:val="0"/>
          <w:marTop w:val="0"/>
          <w:marBottom w:val="0"/>
          <w:divBdr>
            <w:top w:val="none" w:sz="0" w:space="0" w:color="auto"/>
            <w:left w:val="none" w:sz="0" w:space="0" w:color="auto"/>
            <w:bottom w:val="none" w:sz="0" w:space="0" w:color="auto"/>
            <w:right w:val="none" w:sz="0" w:space="0" w:color="auto"/>
          </w:divBdr>
        </w:div>
      </w:divsChild>
    </w:div>
    <w:div w:id="657004137">
      <w:bodyDiv w:val="1"/>
      <w:marLeft w:val="0"/>
      <w:marRight w:val="0"/>
      <w:marTop w:val="0"/>
      <w:marBottom w:val="0"/>
      <w:divBdr>
        <w:top w:val="none" w:sz="0" w:space="0" w:color="auto"/>
        <w:left w:val="none" w:sz="0" w:space="0" w:color="auto"/>
        <w:bottom w:val="none" w:sz="0" w:space="0" w:color="auto"/>
        <w:right w:val="none" w:sz="0" w:space="0" w:color="auto"/>
      </w:divBdr>
    </w:div>
    <w:div w:id="666132509">
      <w:bodyDiv w:val="1"/>
      <w:marLeft w:val="0"/>
      <w:marRight w:val="0"/>
      <w:marTop w:val="0"/>
      <w:marBottom w:val="0"/>
      <w:divBdr>
        <w:top w:val="none" w:sz="0" w:space="0" w:color="auto"/>
        <w:left w:val="none" w:sz="0" w:space="0" w:color="auto"/>
        <w:bottom w:val="none" w:sz="0" w:space="0" w:color="auto"/>
        <w:right w:val="none" w:sz="0" w:space="0" w:color="auto"/>
      </w:divBdr>
    </w:div>
    <w:div w:id="685982143">
      <w:bodyDiv w:val="1"/>
      <w:marLeft w:val="0"/>
      <w:marRight w:val="0"/>
      <w:marTop w:val="0"/>
      <w:marBottom w:val="0"/>
      <w:divBdr>
        <w:top w:val="none" w:sz="0" w:space="0" w:color="auto"/>
        <w:left w:val="none" w:sz="0" w:space="0" w:color="auto"/>
        <w:bottom w:val="none" w:sz="0" w:space="0" w:color="auto"/>
        <w:right w:val="none" w:sz="0" w:space="0" w:color="auto"/>
      </w:divBdr>
    </w:div>
    <w:div w:id="713194196">
      <w:bodyDiv w:val="1"/>
      <w:marLeft w:val="0"/>
      <w:marRight w:val="0"/>
      <w:marTop w:val="0"/>
      <w:marBottom w:val="0"/>
      <w:divBdr>
        <w:top w:val="none" w:sz="0" w:space="0" w:color="auto"/>
        <w:left w:val="none" w:sz="0" w:space="0" w:color="auto"/>
        <w:bottom w:val="none" w:sz="0" w:space="0" w:color="auto"/>
        <w:right w:val="none" w:sz="0" w:space="0" w:color="auto"/>
      </w:divBdr>
    </w:div>
    <w:div w:id="721488892">
      <w:bodyDiv w:val="1"/>
      <w:marLeft w:val="0"/>
      <w:marRight w:val="0"/>
      <w:marTop w:val="0"/>
      <w:marBottom w:val="0"/>
      <w:divBdr>
        <w:top w:val="none" w:sz="0" w:space="0" w:color="auto"/>
        <w:left w:val="none" w:sz="0" w:space="0" w:color="auto"/>
        <w:bottom w:val="none" w:sz="0" w:space="0" w:color="auto"/>
        <w:right w:val="none" w:sz="0" w:space="0" w:color="auto"/>
      </w:divBdr>
    </w:div>
    <w:div w:id="728457909">
      <w:bodyDiv w:val="1"/>
      <w:marLeft w:val="0"/>
      <w:marRight w:val="0"/>
      <w:marTop w:val="0"/>
      <w:marBottom w:val="0"/>
      <w:divBdr>
        <w:top w:val="none" w:sz="0" w:space="0" w:color="auto"/>
        <w:left w:val="none" w:sz="0" w:space="0" w:color="auto"/>
        <w:bottom w:val="none" w:sz="0" w:space="0" w:color="auto"/>
        <w:right w:val="none" w:sz="0" w:space="0" w:color="auto"/>
      </w:divBdr>
    </w:div>
    <w:div w:id="729619053">
      <w:bodyDiv w:val="1"/>
      <w:marLeft w:val="0"/>
      <w:marRight w:val="0"/>
      <w:marTop w:val="0"/>
      <w:marBottom w:val="0"/>
      <w:divBdr>
        <w:top w:val="none" w:sz="0" w:space="0" w:color="auto"/>
        <w:left w:val="none" w:sz="0" w:space="0" w:color="auto"/>
        <w:bottom w:val="none" w:sz="0" w:space="0" w:color="auto"/>
        <w:right w:val="none" w:sz="0" w:space="0" w:color="auto"/>
      </w:divBdr>
    </w:div>
    <w:div w:id="759907044">
      <w:bodyDiv w:val="1"/>
      <w:marLeft w:val="0"/>
      <w:marRight w:val="0"/>
      <w:marTop w:val="0"/>
      <w:marBottom w:val="0"/>
      <w:divBdr>
        <w:top w:val="none" w:sz="0" w:space="0" w:color="auto"/>
        <w:left w:val="none" w:sz="0" w:space="0" w:color="auto"/>
        <w:bottom w:val="none" w:sz="0" w:space="0" w:color="auto"/>
        <w:right w:val="none" w:sz="0" w:space="0" w:color="auto"/>
      </w:divBdr>
    </w:div>
    <w:div w:id="765658446">
      <w:bodyDiv w:val="1"/>
      <w:marLeft w:val="0"/>
      <w:marRight w:val="0"/>
      <w:marTop w:val="0"/>
      <w:marBottom w:val="0"/>
      <w:divBdr>
        <w:top w:val="none" w:sz="0" w:space="0" w:color="auto"/>
        <w:left w:val="none" w:sz="0" w:space="0" w:color="auto"/>
        <w:bottom w:val="none" w:sz="0" w:space="0" w:color="auto"/>
        <w:right w:val="none" w:sz="0" w:space="0" w:color="auto"/>
      </w:divBdr>
    </w:div>
    <w:div w:id="766468297">
      <w:bodyDiv w:val="1"/>
      <w:marLeft w:val="0"/>
      <w:marRight w:val="0"/>
      <w:marTop w:val="0"/>
      <w:marBottom w:val="0"/>
      <w:divBdr>
        <w:top w:val="none" w:sz="0" w:space="0" w:color="auto"/>
        <w:left w:val="none" w:sz="0" w:space="0" w:color="auto"/>
        <w:bottom w:val="none" w:sz="0" w:space="0" w:color="auto"/>
        <w:right w:val="none" w:sz="0" w:space="0" w:color="auto"/>
      </w:divBdr>
    </w:div>
    <w:div w:id="796491050">
      <w:bodyDiv w:val="1"/>
      <w:marLeft w:val="0"/>
      <w:marRight w:val="0"/>
      <w:marTop w:val="0"/>
      <w:marBottom w:val="0"/>
      <w:divBdr>
        <w:top w:val="none" w:sz="0" w:space="0" w:color="auto"/>
        <w:left w:val="none" w:sz="0" w:space="0" w:color="auto"/>
        <w:bottom w:val="none" w:sz="0" w:space="0" w:color="auto"/>
        <w:right w:val="none" w:sz="0" w:space="0" w:color="auto"/>
      </w:divBdr>
      <w:divsChild>
        <w:div w:id="145246131">
          <w:marLeft w:val="0"/>
          <w:marRight w:val="0"/>
          <w:marTop w:val="0"/>
          <w:marBottom w:val="0"/>
          <w:divBdr>
            <w:top w:val="none" w:sz="0" w:space="0" w:color="auto"/>
            <w:left w:val="none" w:sz="0" w:space="0" w:color="auto"/>
            <w:bottom w:val="none" w:sz="0" w:space="0" w:color="auto"/>
            <w:right w:val="none" w:sz="0" w:space="0" w:color="auto"/>
          </w:divBdr>
          <w:divsChild>
            <w:div w:id="1036349241">
              <w:marLeft w:val="0"/>
              <w:marRight w:val="0"/>
              <w:marTop w:val="0"/>
              <w:marBottom w:val="0"/>
              <w:divBdr>
                <w:top w:val="none" w:sz="0" w:space="0" w:color="auto"/>
                <w:left w:val="none" w:sz="0" w:space="0" w:color="auto"/>
                <w:bottom w:val="none" w:sz="0" w:space="0" w:color="auto"/>
                <w:right w:val="none" w:sz="0" w:space="0" w:color="auto"/>
              </w:divBdr>
              <w:divsChild>
                <w:div w:id="901328354">
                  <w:marLeft w:val="0"/>
                  <w:marRight w:val="0"/>
                  <w:marTop w:val="0"/>
                  <w:marBottom w:val="0"/>
                  <w:divBdr>
                    <w:top w:val="none" w:sz="0" w:space="0" w:color="auto"/>
                    <w:left w:val="none" w:sz="0" w:space="0" w:color="auto"/>
                    <w:bottom w:val="none" w:sz="0" w:space="0" w:color="auto"/>
                    <w:right w:val="none" w:sz="0" w:space="0" w:color="auto"/>
                  </w:divBdr>
                  <w:divsChild>
                    <w:div w:id="1721132040">
                      <w:marLeft w:val="0"/>
                      <w:marRight w:val="0"/>
                      <w:marTop w:val="0"/>
                      <w:marBottom w:val="0"/>
                      <w:divBdr>
                        <w:top w:val="none" w:sz="0" w:space="0" w:color="auto"/>
                        <w:left w:val="none" w:sz="0" w:space="0" w:color="auto"/>
                        <w:bottom w:val="none" w:sz="0" w:space="0" w:color="auto"/>
                        <w:right w:val="none" w:sz="0" w:space="0" w:color="auto"/>
                      </w:divBdr>
                      <w:divsChild>
                        <w:div w:id="1527255674">
                          <w:marLeft w:val="0"/>
                          <w:marRight w:val="0"/>
                          <w:marTop w:val="0"/>
                          <w:marBottom w:val="0"/>
                          <w:divBdr>
                            <w:top w:val="none" w:sz="0" w:space="0" w:color="auto"/>
                            <w:left w:val="none" w:sz="0" w:space="0" w:color="auto"/>
                            <w:bottom w:val="none" w:sz="0" w:space="0" w:color="auto"/>
                            <w:right w:val="none" w:sz="0" w:space="0" w:color="auto"/>
                          </w:divBdr>
                          <w:divsChild>
                            <w:div w:id="2631665">
                              <w:marLeft w:val="0"/>
                              <w:marRight w:val="0"/>
                              <w:marTop w:val="0"/>
                              <w:marBottom w:val="0"/>
                              <w:divBdr>
                                <w:top w:val="none" w:sz="0" w:space="0" w:color="auto"/>
                                <w:left w:val="none" w:sz="0" w:space="0" w:color="auto"/>
                                <w:bottom w:val="none" w:sz="0" w:space="0" w:color="auto"/>
                                <w:right w:val="none" w:sz="0" w:space="0" w:color="auto"/>
                              </w:divBdr>
                            </w:div>
                            <w:div w:id="901794684">
                              <w:marLeft w:val="0"/>
                              <w:marRight w:val="0"/>
                              <w:marTop w:val="0"/>
                              <w:marBottom w:val="0"/>
                              <w:divBdr>
                                <w:top w:val="none" w:sz="0" w:space="0" w:color="auto"/>
                                <w:left w:val="none" w:sz="0" w:space="0" w:color="auto"/>
                                <w:bottom w:val="none" w:sz="0" w:space="0" w:color="auto"/>
                                <w:right w:val="none" w:sz="0" w:space="0" w:color="auto"/>
                              </w:divBdr>
                            </w:div>
                            <w:div w:id="18609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997127">
      <w:bodyDiv w:val="1"/>
      <w:marLeft w:val="0"/>
      <w:marRight w:val="0"/>
      <w:marTop w:val="0"/>
      <w:marBottom w:val="0"/>
      <w:divBdr>
        <w:top w:val="none" w:sz="0" w:space="0" w:color="auto"/>
        <w:left w:val="none" w:sz="0" w:space="0" w:color="auto"/>
        <w:bottom w:val="none" w:sz="0" w:space="0" w:color="auto"/>
        <w:right w:val="none" w:sz="0" w:space="0" w:color="auto"/>
      </w:divBdr>
    </w:div>
    <w:div w:id="811019635">
      <w:bodyDiv w:val="1"/>
      <w:marLeft w:val="0"/>
      <w:marRight w:val="0"/>
      <w:marTop w:val="0"/>
      <w:marBottom w:val="0"/>
      <w:divBdr>
        <w:top w:val="none" w:sz="0" w:space="0" w:color="auto"/>
        <w:left w:val="none" w:sz="0" w:space="0" w:color="auto"/>
        <w:bottom w:val="none" w:sz="0" w:space="0" w:color="auto"/>
        <w:right w:val="none" w:sz="0" w:space="0" w:color="auto"/>
      </w:divBdr>
    </w:div>
    <w:div w:id="845704095">
      <w:bodyDiv w:val="1"/>
      <w:marLeft w:val="0"/>
      <w:marRight w:val="0"/>
      <w:marTop w:val="0"/>
      <w:marBottom w:val="0"/>
      <w:divBdr>
        <w:top w:val="none" w:sz="0" w:space="0" w:color="auto"/>
        <w:left w:val="none" w:sz="0" w:space="0" w:color="auto"/>
        <w:bottom w:val="none" w:sz="0" w:space="0" w:color="auto"/>
        <w:right w:val="none" w:sz="0" w:space="0" w:color="auto"/>
      </w:divBdr>
    </w:div>
    <w:div w:id="850070689">
      <w:bodyDiv w:val="1"/>
      <w:marLeft w:val="0"/>
      <w:marRight w:val="0"/>
      <w:marTop w:val="0"/>
      <w:marBottom w:val="0"/>
      <w:divBdr>
        <w:top w:val="none" w:sz="0" w:space="0" w:color="auto"/>
        <w:left w:val="none" w:sz="0" w:space="0" w:color="auto"/>
        <w:bottom w:val="none" w:sz="0" w:space="0" w:color="auto"/>
        <w:right w:val="none" w:sz="0" w:space="0" w:color="auto"/>
      </w:divBdr>
      <w:divsChild>
        <w:div w:id="1380401755">
          <w:marLeft w:val="0"/>
          <w:marRight w:val="0"/>
          <w:marTop w:val="0"/>
          <w:marBottom w:val="0"/>
          <w:divBdr>
            <w:top w:val="none" w:sz="0" w:space="0" w:color="auto"/>
            <w:left w:val="none" w:sz="0" w:space="0" w:color="auto"/>
            <w:bottom w:val="none" w:sz="0" w:space="0" w:color="auto"/>
            <w:right w:val="none" w:sz="0" w:space="0" w:color="auto"/>
          </w:divBdr>
          <w:divsChild>
            <w:div w:id="543714173">
              <w:marLeft w:val="0"/>
              <w:marRight w:val="0"/>
              <w:marTop w:val="0"/>
              <w:marBottom w:val="0"/>
              <w:divBdr>
                <w:top w:val="none" w:sz="0" w:space="0" w:color="auto"/>
                <w:left w:val="none" w:sz="0" w:space="0" w:color="auto"/>
                <w:bottom w:val="none" w:sz="0" w:space="0" w:color="auto"/>
                <w:right w:val="none" w:sz="0" w:space="0" w:color="auto"/>
              </w:divBdr>
              <w:divsChild>
                <w:div w:id="724721324">
                  <w:marLeft w:val="0"/>
                  <w:marRight w:val="0"/>
                  <w:marTop w:val="0"/>
                  <w:marBottom w:val="0"/>
                  <w:divBdr>
                    <w:top w:val="none" w:sz="0" w:space="0" w:color="auto"/>
                    <w:left w:val="none" w:sz="0" w:space="0" w:color="auto"/>
                    <w:bottom w:val="none" w:sz="0" w:space="0" w:color="auto"/>
                    <w:right w:val="none" w:sz="0" w:space="0" w:color="auto"/>
                  </w:divBdr>
                  <w:divsChild>
                    <w:div w:id="1976640188">
                      <w:marLeft w:val="0"/>
                      <w:marRight w:val="0"/>
                      <w:marTop w:val="0"/>
                      <w:marBottom w:val="0"/>
                      <w:divBdr>
                        <w:top w:val="none" w:sz="0" w:space="0" w:color="auto"/>
                        <w:left w:val="none" w:sz="0" w:space="0" w:color="auto"/>
                        <w:bottom w:val="none" w:sz="0" w:space="0" w:color="auto"/>
                        <w:right w:val="none" w:sz="0" w:space="0" w:color="auto"/>
                      </w:divBdr>
                      <w:divsChild>
                        <w:div w:id="2109689704">
                          <w:marLeft w:val="0"/>
                          <w:marRight w:val="0"/>
                          <w:marTop w:val="0"/>
                          <w:marBottom w:val="0"/>
                          <w:divBdr>
                            <w:top w:val="none" w:sz="0" w:space="0" w:color="auto"/>
                            <w:left w:val="none" w:sz="0" w:space="0" w:color="auto"/>
                            <w:bottom w:val="none" w:sz="0" w:space="0" w:color="auto"/>
                            <w:right w:val="none" w:sz="0" w:space="0" w:color="auto"/>
                          </w:divBdr>
                          <w:divsChild>
                            <w:div w:id="515733809">
                              <w:marLeft w:val="0"/>
                              <w:marRight w:val="0"/>
                              <w:marTop w:val="0"/>
                              <w:marBottom w:val="0"/>
                              <w:divBdr>
                                <w:top w:val="none" w:sz="0" w:space="0" w:color="auto"/>
                                <w:left w:val="none" w:sz="0" w:space="0" w:color="auto"/>
                                <w:bottom w:val="none" w:sz="0" w:space="0" w:color="auto"/>
                                <w:right w:val="none" w:sz="0" w:space="0" w:color="auto"/>
                              </w:divBdr>
                            </w:div>
                            <w:div w:id="18759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6369">
      <w:bodyDiv w:val="1"/>
      <w:marLeft w:val="0"/>
      <w:marRight w:val="0"/>
      <w:marTop w:val="0"/>
      <w:marBottom w:val="0"/>
      <w:divBdr>
        <w:top w:val="none" w:sz="0" w:space="0" w:color="auto"/>
        <w:left w:val="none" w:sz="0" w:space="0" w:color="auto"/>
        <w:bottom w:val="none" w:sz="0" w:space="0" w:color="auto"/>
        <w:right w:val="none" w:sz="0" w:space="0" w:color="auto"/>
      </w:divBdr>
    </w:div>
    <w:div w:id="888608872">
      <w:bodyDiv w:val="1"/>
      <w:marLeft w:val="0"/>
      <w:marRight w:val="0"/>
      <w:marTop w:val="0"/>
      <w:marBottom w:val="0"/>
      <w:divBdr>
        <w:top w:val="none" w:sz="0" w:space="0" w:color="auto"/>
        <w:left w:val="none" w:sz="0" w:space="0" w:color="auto"/>
        <w:bottom w:val="none" w:sz="0" w:space="0" w:color="auto"/>
        <w:right w:val="none" w:sz="0" w:space="0" w:color="auto"/>
      </w:divBdr>
      <w:divsChild>
        <w:div w:id="1763330271">
          <w:marLeft w:val="0"/>
          <w:marRight w:val="0"/>
          <w:marTop w:val="0"/>
          <w:marBottom w:val="0"/>
          <w:divBdr>
            <w:top w:val="none" w:sz="0" w:space="0" w:color="auto"/>
            <w:left w:val="none" w:sz="0" w:space="0" w:color="auto"/>
            <w:bottom w:val="none" w:sz="0" w:space="0" w:color="auto"/>
            <w:right w:val="none" w:sz="0" w:space="0" w:color="auto"/>
          </w:divBdr>
          <w:divsChild>
            <w:div w:id="1491092074">
              <w:marLeft w:val="0"/>
              <w:marRight w:val="0"/>
              <w:marTop w:val="0"/>
              <w:marBottom w:val="0"/>
              <w:divBdr>
                <w:top w:val="none" w:sz="0" w:space="0" w:color="auto"/>
                <w:left w:val="none" w:sz="0" w:space="0" w:color="auto"/>
                <w:bottom w:val="none" w:sz="0" w:space="0" w:color="auto"/>
                <w:right w:val="none" w:sz="0" w:space="0" w:color="auto"/>
              </w:divBdr>
              <w:divsChild>
                <w:div w:id="563569483">
                  <w:marLeft w:val="0"/>
                  <w:marRight w:val="0"/>
                  <w:marTop w:val="0"/>
                  <w:marBottom w:val="0"/>
                  <w:divBdr>
                    <w:top w:val="none" w:sz="0" w:space="0" w:color="auto"/>
                    <w:left w:val="none" w:sz="0" w:space="0" w:color="auto"/>
                    <w:bottom w:val="none" w:sz="0" w:space="0" w:color="auto"/>
                    <w:right w:val="none" w:sz="0" w:space="0" w:color="auto"/>
                  </w:divBdr>
                  <w:divsChild>
                    <w:div w:id="1314600524">
                      <w:marLeft w:val="0"/>
                      <w:marRight w:val="0"/>
                      <w:marTop w:val="0"/>
                      <w:marBottom w:val="0"/>
                      <w:divBdr>
                        <w:top w:val="none" w:sz="0" w:space="0" w:color="auto"/>
                        <w:left w:val="none" w:sz="0" w:space="0" w:color="auto"/>
                        <w:bottom w:val="none" w:sz="0" w:space="0" w:color="auto"/>
                        <w:right w:val="none" w:sz="0" w:space="0" w:color="auto"/>
                      </w:divBdr>
                      <w:divsChild>
                        <w:div w:id="173081525">
                          <w:marLeft w:val="0"/>
                          <w:marRight w:val="0"/>
                          <w:marTop w:val="0"/>
                          <w:marBottom w:val="0"/>
                          <w:divBdr>
                            <w:top w:val="none" w:sz="0" w:space="0" w:color="auto"/>
                            <w:left w:val="none" w:sz="0" w:space="0" w:color="auto"/>
                            <w:bottom w:val="none" w:sz="0" w:space="0" w:color="auto"/>
                            <w:right w:val="none" w:sz="0" w:space="0" w:color="auto"/>
                          </w:divBdr>
                          <w:divsChild>
                            <w:div w:id="298537283">
                              <w:marLeft w:val="0"/>
                              <w:marRight w:val="0"/>
                              <w:marTop w:val="0"/>
                              <w:marBottom w:val="0"/>
                              <w:divBdr>
                                <w:top w:val="none" w:sz="0" w:space="0" w:color="auto"/>
                                <w:left w:val="none" w:sz="0" w:space="0" w:color="auto"/>
                                <w:bottom w:val="none" w:sz="0" w:space="0" w:color="auto"/>
                                <w:right w:val="none" w:sz="0" w:space="0" w:color="auto"/>
                              </w:divBdr>
                            </w:div>
                            <w:div w:id="14125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60974">
      <w:bodyDiv w:val="1"/>
      <w:marLeft w:val="0"/>
      <w:marRight w:val="0"/>
      <w:marTop w:val="0"/>
      <w:marBottom w:val="0"/>
      <w:divBdr>
        <w:top w:val="none" w:sz="0" w:space="0" w:color="auto"/>
        <w:left w:val="none" w:sz="0" w:space="0" w:color="auto"/>
        <w:bottom w:val="none" w:sz="0" w:space="0" w:color="auto"/>
        <w:right w:val="none" w:sz="0" w:space="0" w:color="auto"/>
      </w:divBdr>
    </w:div>
    <w:div w:id="889532802">
      <w:bodyDiv w:val="1"/>
      <w:marLeft w:val="0"/>
      <w:marRight w:val="0"/>
      <w:marTop w:val="0"/>
      <w:marBottom w:val="0"/>
      <w:divBdr>
        <w:top w:val="none" w:sz="0" w:space="0" w:color="auto"/>
        <w:left w:val="none" w:sz="0" w:space="0" w:color="auto"/>
        <w:bottom w:val="none" w:sz="0" w:space="0" w:color="auto"/>
        <w:right w:val="none" w:sz="0" w:space="0" w:color="auto"/>
      </w:divBdr>
      <w:divsChild>
        <w:div w:id="1758093136">
          <w:marLeft w:val="0"/>
          <w:marRight w:val="0"/>
          <w:marTop w:val="0"/>
          <w:marBottom w:val="0"/>
          <w:divBdr>
            <w:top w:val="none" w:sz="0" w:space="0" w:color="auto"/>
            <w:left w:val="none" w:sz="0" w:space="0" w:color="auto"/>
            <w:bottom w:val="none" w:sz="0" w:space="0" w:color="auto"/>
            <w:right w:val="none" w:sz="0" w:space="0" w:color="auto"/>
          </w:divBdr>
          <w:divsChild>
            <w:div w:id="1962150792">
              <w:marLeft w:val="0"/>
              <w:marRight w:val="0"/>
              <w:marTop w:val="0"/>
              <w:marBottom w:val="0"/>
              <w:divBdr>
                <w:top w:val="none" w:sz="0" w:space="0" w:color="auto"/>
                <w:left w:val="none" w:sz="0" w:space="0" w:color="auto"/>
                <w:bottom w:val="none" w:sz="0" w:space="0" w:color="auto"/>
                <w:right w:val="none" w:sz="0" w:space="0" w:color="auto"/>
              </w:divBdr>
              <w:divsChild>
                <w:div w:id="720635283">
                  <w:marLeft w:val="0"/>
                  <w:marRight w:val="0"/>
                  <w:marTop w:val="0"/>
                  <w:marBottom w:val="0"/>
                  <w:divBdr>
                    <w:top w:val="none" w:sz="0" w:space="0" w:color="auto"/>
                    <w:left w:val="none" w:sz="0" w:space="0" w:color="auto"/>
                    <w:bottom w:val="none" w:sz="0" w:space="0" w:color="auto"/>
                    <w:right w:val="none" w:sz="0" w:space="0" w:color="auto"/>
                  </w:divBdr>
                  <w:divsChild>
                    <w:div w:id="405226552">
                      <w:marLeft w:val="0"/>
                      <w:marRight w:val="0"/>
                      <w:marTop w:val="0"/>
                      <w:marBottom w:val="0"/>
                      <w:divBdr>
                        <w:top w:val="none" w:sz="0" w:space="0" w:color="auto"/>
                        <w:left w:val="none" w:sz="0" w:space="0" w:color="auto"/>
                        <w:bottom w:val="none" w:sz="0" w:space="0" w:color="auto"/>
                        <w:right w:val="none" w:sz="0" w:space="0" w:color="auto"/>
                      </w:divBdr>
                      <w:divsChild>
                        <w:div w:id="1197500050">
                          <w:marLeft w:val="0"/>
                          <w:marRight w:val="0"/>
                          <w:marTop w:val="0"/>
                          <w:marBottom w:val="0"/>
                          <w:divBdr>
                            <w:top w:val="none" w:sz="0" w:space="0" w:color="auto"/>
                            <w:left w:val="none" w:sz="0" w:space="0" w:color="auto"/>
                            <w:bottom w:val="none" w:sz="0" w:space="0" w:color="auto"/>
                            <w:right w:val="none" w:sz="0" w:space="0" w:color="auto"/>
                          </w:divBdr>
                          <w:divsChild>
                            <w:div w:id="25535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778570">
      <w:bodyDiv w:val="1"/>
      <w:marLeft w:val="0"/>
      <w:marRight w:val="0"/>
      <w:marTop w:val="0"/>
      <w:marBottom w:val="0"/>
      <w:divBdr>
        <w:top w:val="none" w:sz="0" w:space="0" w:color="auto"/>
        <w:left w:val="none" w:sz="0" w:space="0" w:color="auto"/>
        <w:bottom w:val="none" w:sz="0" w:space="0" w:color="auto"/>
        <w:right w:val="none" w:sz="0" w:space="0" w:color="auto"/>
      </w:divBdr>
    </w:div>
    <w:div w:id="899827137">
      <w:bodyDiv w:val="1"/>
      <w:marLeft w:val="0"/>
      <w:marRight w:val="0"/>
      <w:marTop w:val="0"/>
      <w:marBottom w:val="0"/>
      <w:divBdr>
        <w:top w:val="none" w:sz="0" w:space="0" w:color="auto"/>
        <w:left w:val="none" w:sz="0" w:space="0" w:color="auto"/>
        <w:bottom w:val="none" w:sz="0" w:space="0" w:color="auto"/>
        <w:right w:val="none" w:sz="0" w:space="0" w:color="auto"/>
      </w:divBdr>
      <w:divsChild>
        <w:div w:id="349138094">
          <w:marLeft w:val="0"/>
          <w:marRight w:val="0"/>
          <w:marTop w:val="0"/>
          <w:marBottom w:val="0"/>
          <w:divBdr>
            <w:top w:val="none" w:sz="0" w:space="0" w:color="auto"/>
            <w:left w:val="none" w:sz="0" w:space="0" w:color="auto"/>
            <w:bottom w:val="none" w:sz="0" w:space="0" w:color="auto"/>
            <w:right w:val="none" w:sz="0" w:space="0" w:color="auto"/>
          </w:divBdr>
        </w:div>
        <w:div w:id="1535726112">
          <w:marLeft w:val="0"/>
          <w:marRight w:val="0"/>
          <w:marTop w:val="0"/>
          <w:marBottom w:val="0"/>
          <w:divBdr>
            <w:top w:val="none" w:sz="0" w:space="0" w:color="auto"/>
            <w:left w:val="none" w:sz="0" w:space="0" w:color="auto"/>
            <w:bottom w:val="none" w:sz="0" w:space="0" w:color="auto"/>
            <w:right w:val="none" w:sz="0" w:space="0" w:color="auto"/>
          </w:divBdr>
        </w:div>
        <w:div w:id="1992785714">
          <w:marLeft w:val="0"/>
          <w:marRight w:val="0"/>
          <w:marTop w:val="0"/>
          <w:marBottom w:val="0"/>
          <w:divBdr>
            <w:top w:val="none" w:sz="0" w:space="0" w:color="auto"/>
            <w:left w:val="none" w:sz="0" w:space="0" w:color="auto"/>
            <w:bottom w:val="none" w:sz="0" w:space="0" w:color="auto"/>
            <w:right w:val="none" w:sz="0" w:space="0" w:color="auto"/>
          </w:divBdr>
        </w:div>
      </w:divsChild>
    </w:div>
    <w:div w:id="909121424">
      <w:bodyDiv w:val="1"/>
      <w:marLeft w:val="0"/>
      <w:marRight w:val="0"/>
      <w:marTop w:val="0"/>
      <w:marBottom w:val="0"/>
      <w:divBdr>
        <w:top w:val="none" w:sz="0" w:space="0" w:color="auto"/>
        <w:left w:val="none" w:sz="0" w:space="0" w:color="auto"/>
        <w:bottom w:val="none" w:sz="0" w:space="0" w:color="auto"/>
        <w:right w:val="none" w:sz="0" w:space="0" w:color="auto"/>
      </w:divBdr>
    </w:div>
    <w:div w:id="915549066">
      <w:bodyDiv w:val="1"/>
      <w:marLeft w:val="0"/>
      <w:marRight w:val="0"/>
      <w:marTop w:val="0"/>
      <w:marBottom w:val="0"/>
      <w:divBdr>
        <w:top w:val="none" w:sz="0" w:space="0" w:color="auto"/>
        <w:left w:val="none" w:sz="0" w:space="0" w:color="auto"/>
        <w:bottom w:val="none" w:sz="0" w:space="0" w:color="auto"/>
        <w:right w:val="none" w:sz="0" w:space="0" w:color="auto"/>
      </w:divBdr>
    </w:div>
    <w:div w:id="946422477">
      <w:bodyDiv w:val="1"/>
      <w:marLeft w:val="0"/>
      <w:marRight w:val="0"/>
      <w:marTop w:val="0"/>
      <w:marBottom w:val="0"/>
      <w:divBdr>
        <w:top w:val="none" w:sz="0" w:space="0" w:color="auto"/>
        <w:left w:val="none" w:sz="0" w:space="0" w:color="auto"/>
        <w:bottom w:val="none" w:sz="0" w:space="0" w:color="auto"/>
        <w:right w:val="none" w:sz="0" w:space="0" w:color="auto"/>
      </w:divBdr>
    </w:div>
    <w:div w:id="961107728">
      <w:bodyDiv w:val="1"/>
      <w:marLeft w:val="0"/>
      <w:marRight w:val="0"/>
      <w:marTop w:val="0"/>
      <w:marBottom w:val="0"/>
      <w:divBdr>
        <w:top w:val="none" w:sz="0" w:space="0" w:color="auto"/>
        <w:left w:val="none" w:sz="0" w:space="0" w:color="auto"/>
        <w:bottom w:val="none" w:sz="0" w:space="0" w:color="auto"/>
        <w:right w:val="none" w:sz="0" w:space="0" w:color="auto"/>
      </w:divBdr>
    </w:div>
    <w:div w:id="985547645">
      <w:bodyDiv w:val="1"/>
      <w:marLeft w:val="0"/>
      <w:marRight w:val="0"/>
      <w:marTop w:val="0"/>
      <w:marBottom w:val="0"/>
      <w:divBdr>
        <w:top w:val="none" w:sz="0" w:space="0" w:color="auto"/>
        <w:left w:val="none" w:sz="0" w:space="0" w:color="auto"/>
        <w:bottom w:val="none" w:sz="0" w:space="0" w:color="auto"/>
        <w:right w:val="none" w:sz="0" w:space="0" w:color="auto"/>
      </w:divBdr>
    </w:div>
    <w:div w:id="1003707131">
      <w:bodyDiv w:val="1"/>
      <w:marLeft w:val="0"/>
      <w:marRight w:val="0"/>
      <w:marTop w:val="0"/>
      <w:marBottom w:val="0"/>
      <w:divBdr>
        <w:top w:val="none" w:sz="0" w:space="0" w:color="auto"/>
        <w:left w:val="none" w:sz="0" w:space="0" w:color="auto"/>
        <w:bottom w:val="none" w:sz="0" w:space="0" w:color="auto"/>
        <w:right w:val="none" w:sz="0" w:space="0" w:color="auto"/>
      </w:divBdr>
    </w:div>
    <w:div w:id="1010763422">
      <w:bodyDiv w:val="1"/>
      <w:marLeft w:val="0"/>
      <w:marRight w:val="0"/>
      <w:marTop w:val="0"/>
      <w:marBottom w:val="0"/>
      <w:divBdr>
        <w:top w:val="none" w:sz="0" w:space="0" w:color="auto"/>
        <w:left w:val="none" w:sz="0" w:space="0" w:color="auto"/>
        <w:bottom w:val="none" w:sz="0" w:space="0" w:color="auto"/>
        <w:right w:val="none" w:sz="0" w:space="0" w:color="auto"/>
      </w:divBdr>
    </w:div>
    <w:div w:id="1011251648">
      <w:bodyDiv w:val="1"/>
      <w:marLeft w:val="0"/>
      <w:marRight w:val="0"/>
      <w:marTop w:val="0"/>
      <w:marBottom w:val="0"/>
      <w:divBdr>
        <w:top w:val="none" w:sz="0" w:space="0" w:color="auto"/>
        <w:left w:val="none" w:sz="0" w:space="0" w:color="auto"/>
        <w:bottom w:val="none" w:sz="0" w:space="0" w:color="auto"/>
        <w:right w:val="none" w:sz="0" w:space="0" w:color="auto"/>
      </w:divBdr>
    </w:div>
    <w:div w:id="1011564397">
      <w:bodyDiv w:val="1"/>
      <w:marLeft w:val="0"/>
      <w:marRight w:val="0"/>
      <w:marTop w:val="0"/>
      <w:marBottom w:val="0"/>
      <w:divBdr>
        <w:top w:val="none" w:sz="0" w:space="0" w:color="auto"/>
        <w:left w:val="none" w:sz="0" w:space="0" w:color="auto"/>
        <w:bottom w:val="none" w:sz="0" w:space="0" w:color="auto"/>
        <w:right w:val="none" w:sz="0" w:space="0" w:color="auto"/>
      </w:divBdr>
    </w:div>
    <w:div w:id="1011881056">
      <w:bodyDiv w:val="1"/>
      <w:marLeft w:val="0"/>
      <w:marRight w:val="0"/>
      <w:marTop w:val="0"/>
      <w:marBottom w:val="0"/>
      <w:divBdr>
        <w:top w:val="none" w:sz="0" w:space="0" w:color="auto"/>
        <w:left w:val="none" w:sz="0" w:space="0" w:color="auto"/>
        <w:bottom w:val="none" w:sz="0" w:space="0" w:color="auto"/>
        <w:right w:val="none" w:sz="0" w:space="0" w:color="auto"/>
      </w:divBdr>
    </w:div>
    <w:div w:id="1017849088">
      <w:bodyDiv w:val="1"/>
      <w:marLeft w:val="0"/>
      <w:marRight w:val="0"/>
      <w:marTop w:val="0"/>
      <w:marBottom w:val="0"/>
      <w:divBdr>
        <w:top w:val="none" w:sz="0" w:space="0" w:color="auto"/>
        <w:left w:val="none" w:sz="0" w:space="0" w:color="auto"/>
        <w:bottom w:val="none" w:sz="0" w:space="0" w:color="auto"/>
        <w:right w:val="none" w:sz="0" w:space="0" w:color="auto"/>
      </w:divBdr>
      <w:divsChild>
        <w:div w:id="2089233149">
          <w:marLeft w:val="0"/>
          <w:marRight w:val="0"/>
          <w:marTop w:val="0"/>
          <w:marBottom w:val="0"/>
          <w:divBdr>
            <w:top w:val="none" w:sz="0" w:space="0" w:color="auto"/>
            <w:left w:val="none" w:sz="0" w:space="0" w:color="auto"/>
            <w:bottom w:val="none" w:sz="0" w:space="0" w:color="auto"/>
            <w:right w:val="none" w:sz="0" w:space="0" w:color="auto"/>
          </w:divBdr>
          <w:divsChild>
            <w:div w:id="1518351537">
              <w:marLeft w:val="0"/>
              <w:marRight w:val="0"/>
              <w:marTop w:val="0"/>
              <w:marBottom w:val="0"/>
              <w:divBdr>
                <w:top w:val="none" w:sz="0" w:space="0" w:color="auto"/>
                <w:left w:val="none" w:sz="0" w:space="0" w:color="auto"/>
                <w:bottom w:val="none" w:sz="0" w:space="0" w:color="auto"/>
                <w:right w:val="none" w:sz="0" w:space="0" w:color="auto"/>
              </w:divBdr>
              <w:divsChild>
                <w:div w:id="1443843737">
                  <w:marLeft w:val="0"/>
                  <w:marRight w:val="0"/>
                  <w:marTop w:val="0"/>
                  <w:marBottom w:val="0"/>
                  <w:divBdr>
                    <w:top w:val="none" w:sz="0" w:space="0" w:color="auto"/>
                    <w:left w:val="none" w:sz="0" w:space="0" w:color="auto"/>
                    <w:bottom w:val="none" w:sz="0" w:space="0" w:color="auto"/>
                    <w:right w:val="none" w:sz="0" w:space="0" w:color="auto"/>
                  </w:divBdr>
                  <w:divsChild>
                    <w:div w:id="1104955960">
                      <w:marLeft w:val="0"/>
                      <w:marRight w:val="0"/>
                      <w:marTop w:val="0"/>
                      <w:marBottom w:val="0"/>
                      <w:divBdr>
                        <w:top w:val="none" w:sz="0" w:space="0" w:color="auto"/>
                        <w:left w:val="none" w:sz="0" w:space="0" w:color="auto"/>
                        <w:bottom w:val="none" w:sz="0" w:space="0" w:color="auto"/>
                        <w:right w:val="none" w:sz="0" w:space="0" w:color="auto"/>
                      </w:divBdr>
                      <w:divsChild>
                        <w:div w:id="560290310">
                          <w:marLeft w:val="0"/>
                          <w:marRight w:val="0"/>
                          <w:marTop w:val="0"/>
                          <w:marBottom w:val="0"/>
                          <w:divBdr>
                            <w:top w:val="none" w:sz="0" w:space="0" w:color="auto"/>
                            <w:left w:val="none" w:sz="0" w:space="0" w:color="auto"/>
                            <w:bottom w:val="none" w:sz="0" w:space="0" w:color="auto"/>
                            <w:right w:val="none" w:sz="0" w:space="0" w:color="auto"/>
                          </w:divBdr>
                          <w:divsChild>
                            <w:div w:id="2521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711763">
      <w:bodyDiv w:val="1"/>
      <w:marLeft w:val="0"/>
      <w:marRight w:val="0"/>
      <w:marTop w:val="0"/>
      <w:marBottom w:val="0"/>
      <w:divBdr>
        <w:top w:val="none" w:sz="0" w:space="0" w:color="auto"/>
        <w:left w:val="none" w:sz="0" w:space="0" w:color="auto"/>
        <w:bottom w:val="none" w:sz="0" w:space="0" w:color="auto"/>
        <w:right w:val="none" w:sz="0" w:space="0" w:color="auto"/>
      </w:divBdr>
    </w:div>
    <w:div w:id="1035349727">
      <w:bodyDiv w:val="1"/>
      <w:marLeft w:val="0"/>
      <w:marRight w:val="0"/>
      <w:marTop w:val="0"/>
      <w:marBottom w:val="0"/>
      <w:divBdr>
        <w:top w:val="none" w:sz="0" w:space="0" w:color="auto"/>
        <w:left w:val="none" w:sz="0" w:space="0" w:color="auto"/>
        <w:bottom w:val="none" w:sz="0" w:space="0" w:color="auto"/>
        <w:right w:val="none" w:sz="0" w:space="0" w:color="auto"/>
      </w:divBdr>
      <w:divsChild>
        <w:div w:id="1529179469">
          <w:marLeft w:val="547"/>
          <w:marRight w:val="0"/>
          <w:marTop w:val="0"/>
          <w:marBottom w:val="0"/>
          <w:divBdr>
            <w:top w:val="none" w:sz="0" w:space="0" w:color="auto"/>
            <w:left w:val="none" w:sz="0" w:space="0" w:color="auto"/>
            <w:bottom w:val="none" w:sz="0" w:space="0" w:color="auto"/>
            <w:right w:val="none" w:sz="0" w:space="0" w:color="auto"/>
          </w:divBdr>
        </w:div>
      </w:divsChild>
    </w:div>
    <w:div w:id="1039091899">
      <w:bodyDiv w:val="1"/>
      <w:marLeft w:val="0"/>
      <w:marRight w:val="0"/>
      <w:marTop w:val="0"/>
      <w:marBottom w:val="0"/>
      <w:divBdr>
        <w:top w:val="none" w:sz="0" w:space="0" w:color="auto"/>
        <w:left w:val="none" w:sz="0" w:space="0" w:color="auto"/>
        <w:bottom w:val="none" w:sz="0" w:space="0" w:color="auto"/>
        <w:right w:val="none" w:sz="0" w:space="0" w:color="auto"/>
      </w:divBdr>
    </w:div>
    <w:div w:id="1042754366">
      <w:bodyDiv w:val="1"/>
      <w:marLeft w:val="0"/>
      <w:marRight w:val="0"/>
      <w:marTop w:val="0"/>
      <w:marBottom w:val="0"/>
      <w:divBdr>
        <w:top w:val="none" w:sz="0" w:space="0" w:color="auto"/>
        <w:left w:val="none" w:sz="0" w:space="0" w:color="auto"/>
        <w:bottom w:val="none" w:sz="0" w:space="0" w:color="auto"/>
        <w:right w:val="none" w:sz="0" w:space="0" w:color="auto"/>
      </w:divBdr>
      <w:divsChild>
        <w:div w:id="1916012599">
          <w:marLeft w:val="0"/>
          <w:marRight w:val="0"/>
          <w:marTop w:val="0"/>
          <w:marBottom w:val="0"/>
          <w:divBdr>
            <w:top w:val="none" w:sz="0" w:space="0" w:color="auto"/>
            <w:left w:val="none" w:sz="0" w:space="0" w:color="auto"/>
            <w:bottom w:val="none" w:sz="0" w:space="0" w:color="auto"/>
            <w:right w:val="none" w:sz="0" w:space="0" w:color="auto"/>
          </w:divBdr>
          <w:divsChild>
            <w:div w:id="977535990">
              <w:marLeft w:val="0"/>
              <w:marRight w:val="0"/>
              <w:marTop w:val="0"/>
              <w:marBottom w:val="0"/>
              <w:divBdr>
                <w:top w:val="none" w:sz="0" w:space="0" w:color="auto"/>
                <w:left w:val="none" w:sz="0" w:space="0" w:color="auto"/>
                <w:bottom w:val="none" w:sz="0" w:space="0" w:color="auto"/>
                <w:right w:val="none" w:sz="0" w:space="0" w:color="auto"/>
              </w:divBdr>
              <w:divsChild>
                <w:div w:id="1371492049">
                  <w:marLeft w:val="0"/>
                  <w:marRight w:val="0"/>
                  <w:marTop w:val="0"/>
                  <w:marBottom w:val="0"/>
                  <w:divBdr>
                    <w:top w:val="none" w:sz="0" w:space="0" w:color="auto"/>
                    <w:left w:val="none" w:sz="0" w:space="0" w:color="auto"/>
                    <w:bottom w:val="none" w:sz="0" w:space="0" w:color="auto"/>
                    <w:right w:val="none" w:sz="0" w:space="0" w:color="auto"/>
                  </w:divBdr>
                  <w:divsChild>
                    <w:div w:id="610941141">
                      <w:marLeft w:val="0"/>
                      <w:marRight w:val="0"/>
                      <w:marTop w:val="0"/>
                      <w:marBottom w:val="0"/>
                      <w:divBdr>
                        <w:top w:val="none" w:sz="0" w:space="0" w:color="auto"/>
                        <w:left w:val="none" w:sz="0" w:space="0" w:color="auto"/>
                        <w:bottom w:val="none" w:sz="0" w:space="0" w:color="auto"/>
                        <w:right w:val="none" w:sz="0" w:space="0" w:color="auto"/>
                      </w:divBdr>
                      <w:divsChild>
                        <w:div w:id="1080902722">
                          <w:marLeft w:val="0"/>
                          <w:marRight w:val="0"/>
                          <w:marTop w:val="0"/>
                          <w:marBottom w:val="0"/>
                          <w:divBdr>
                            <w:top w:val="none" w:sz="0" w:space="0" w:color="auto"/>
                            <w:left w:val="none" w:sz="0" w:space="0" w:color="auto"/>
                            <w:bottom w:val="none" w:sz="0" w:space="0" w:color="auto"/>
                            <w:right w:val="none" w:sz="0" w:space="0" w:color="auto"/>
                          </w:divBdr>
                          <w:divsChild>
                            <w:div w:id="569579470">
                              <w:marLeft w:val="0"/>
                              <w:marRight w:val="0"/>
                              <w:marTop w:val="0"/>
                              <w:marBottom w:val="0"/>
                              <w:divBdr>
                                <w:top w:val="none" w:sz="0" w:space="0" w:color="auto"/>
                                <w:left w:val="none" w:sz="0" w:space="0" w:color="auto"/>
                                <w:bottom w:val="none" w:sz="0" w:space="0" w:color="auto"/>
                                <w:right w:val="none" w:sz="0" w:space="0" w:color="auto"/>
                              </w:divBdr>
                              <w:divsChild>
                                <w:div w:id="1489592434">
                                  <w:marLeft w:val="0"/>
                                  <w:marRight w:val="0"/>
                                  <w:marTop w:val="0"/>
                                  <w:marBottom w:val="0"/>
                                  <w:divBdr>
                                    <w:top w:val="none" w:sz="0" w:space="0" w:color="auto"/>
                                    <w:left w:val="none" w:sz="0" w:space="0" w:color="auto"/>
                                    <w:bottom w:val="none" w:sz="0" w:space="0" w:color="auto"/>
                                    <w:right w:val="none" w:sz="0" w:space="0" w:color="auto"/>
                                  </w:divBdr>
                                  <w:divsChild>
                                    <w:div w:id="51471229">
                                      <w:marLeft w:val="0"/>
                                      <w:marRight w:val="0"/>
                                      <w:marTop w:val="0"/>
                                      <w:marBottom w:val="0"/>
                                      <w:divBdr>
                                        <w:top w:val="none" w:sz="0" w:space="0" w:color="auto"/>
                                        <w:left w:val="none" w:sz="0" w:space="0" w:color="auto"/>
                                        <w:bottom w:val="none" w:sz="0" w:space="0" w:color="auto"/>
                                        <w:right w:val="none" w:sz="0" w:space="0" w:color="auto"/>
                                      </w:divBdr>
                                      <w:divsChild>
                                        <w:div w:id="2707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603258">
      <w:bodyDiv w:val="1"/>
      <w:marLeft w:val="0"/>
      <w:marRight w:val="0"/>
      <w:marTop w:val="0"/>
      <w:marBottom w:val="0"/>
      <w:divBdr>
        <w:top w:val="none" w:sz="0" w:space="0" w:color="auto"/>
        <w:left w:val="none" w:sz="0" w:space="0" w:color="auto"/>
        <w:bottom w:val="none" w:sz="0" w:space="0" w:color="auto"/>
        <w:right w:val="none" w:sz="0" w:space="0" w:color="auto"/>
      </w:divBdr>
    </w:div>
    <w:div w:id="1046220772">
      <w:bodyDiv w:val="1"/>
      <w:marLeft w:val="0"/>
      <w:marRight w:val="0"/>
      <w:marTop w:val="0"/>
      <w:marBottom w:val="0"/>
      <w:divBdr>
        <w:top w:val="none" w:sz="0" w:space="0" w:color="auto"/>
        <w:left w:val="none" w:sz="0" w:space="0" w:color="auto"/>
        <w:bottom w:val="none" w:sz="0" w:space="0" w:color="auto"/>
        <w:right w:val="none" w:sz="0" w:space="0" w:color="auto"/>
      </w:divBdr>
    </w:div>
    <w:div w:id="1060635756">
      <w:bodyDiv w:val="1"/>
      <w:marLeft w:val="0"/>
      <w:marRight w:val="0"/>
      <w:marTop w:val="0"/>
      <w:marBottom w:val="0"/>
      <w:divBdr>
        <w:top w:val="none" w:sz="0" w:space="0" w:color="auto"/>
        <w:left w:val="none" w:sz="0" w:space="0" w:color="auto"/>
        <w:bottom w:val="none" w:sz="0" w:space="0" w:color="auto"/>
        <w:right w:val="none" w:sz="0" w:space="0" w:color="auto"/>
      </w:divBdr>
      <w:divsChild>
        <w:div w:id="991326734">
          <w:marLeft w:val="547"/>
          <w:marRight w:val="0"/>
          <w:marTop w:val="0"/>
          <w:marBottom w:val="0"/>
          <w:divBdr>
            <w:top w:val="none" w:sz="0" w:space="0" w:color="auto"/>
            <w:left w:val="none" w:sz="0" w:space="0" w:color="auto"/>
            <w:bottom w:val="none" w:sz="0" w:space="0" w:color="auto"/>
            <w:right w:val="none" w:sz="0" w:space="0" w:color="auto"/>
          </w:divBdr>
        </w:div>
      </w:divsChild>
    </w:div>
    <w:div w:id="1068108859">
      <w:bodyDiv w:val="1"/>
      <w:marLeft w:val="0"/>
      <w:marRight w:val="0"/>
      <w:marTop w:val="0"/>
      <w:marBottom w:val="0"/>
      <w:divBdr>
        <w:top w:val="none" w:sz="0" w:space="0" w:color="auto"/>
        <w:left w:val="none" w:sz="0" w:space="0" w:color="auto"/>
        <w:bottom w:val="none" w:sz="0" w:space="0" w:color="auto"/>
        <w:right w:val="none" w:sz="0" w:space="0" w:color="auto"/>
      </w:divBdr>
      <w:divsChild>
        <w:div w:id="449980384">
          <w:marLeft w:val="0"/>
          <w:marRight w:val="0"/>
          <w:marTop w:val="0"/>
          <w:marBottom w:val="0"/>
          <w:divBdr>
            <w:top w:val="none" w:sz="0" w:space="0" w:color="auto"/>
            <w:left w:val="none" w:sz="0" w:space="0" w:color="auto"/>
            <w:bottom w:val="none" w:sz="0" w:space="0" w:color="auto"/>
            <w:right w:val="none" w:sz="0" w:space="0" w:color="auto"/>
          </w:divBdr>
          <w:divsChild>
            <w:div w:id="1987320251">
              <w:marLeft w:val="0"/>
              <w:marRight w:val="0"/>
              <w:marTop w:val="0"/>
              <w:marBottom w:val="0"/>
              <w:divBdr>
                <w:top w:val="none" w:sz="0" w:space="0" w:color="auto"/>
                <w:left w:val="none" w:sz="0" w:space="0" w:color="auto"/>
                <w:bottom w:val="none" w:sz="0" w:space="0" w:color="auto"/>
                <w:right w:val="none" w:sz="0" w:space="0" w:color="auto"/>
              </w:divBdr>
              <w:divsChild>
                <w:div w:id="858665650">
                  <w:marLeft w:val="0"/>
                  <w:marRight w:val="0"/>
                  <w:marTop w:val="0"/>
                  <w:marBottom w:val="0"/>
                  <w:divBdr>
                    <w:top w:val="none" w:sz="0" w:space="0" w:color="auto"/>
                    <w:left w:val="none" w:sz="0" w:space="0" w:color="auto"/>
                    <w:bottom w:val="none" w:sz="0" w:space="0" w:color="auto"/>
                    <w:right w:val="none" w:sz="0" w:space="0" w:color="auto"/>
                  </w:divBdr>
                  <w:divsChild>
                    <w:div w:id="1341815411">
                      <w:marLeft w:val="0"/>
                      <w:marRight w:val="0"/>
                      <w:marTop w:val="0"/>
                      <w:marBottom w:val="0"/>
                      <w:divBdr>
                        <w:top w:val="none" w:sz="0" w:space="0" w:color="auto"/>
                        <w:left w:val="none" w:sz="0" w:space="0" w:color="auto"/>
                        <w:bottom w:val="none" w:sz="0" w:space="0" w:color="auto"/>
                        <w:right w:val="none" w:sz="0" w:space="0" w:color="auto"/>
                      </w:divBdr>
                      <w:divsChild>
                        <w:div w:id="1721901471">
                          <w:marLeft w:val="0"/>
                          <w:marRight w:val="0"/>
                          <w:marTop w:val="0"/>
                          <w:marBottom w:val="0"/>
                          <w:divBdr>
                            <w:top w:val="none" w:sz="0" w:space="0" w:color="auto"/>
                            <w:left w:val="none" w:sz="0" w:space="0" w:color="auto"/>
                            <w:bottom w:val="none" w:sz="0" w:space="0" w:color="auto"/>
                            <w:right w:val="none" w:sz="0" w:space="0" w:color="auto"/>
                          </w:divBdr>
                          <w:divsChild>
                            <w:div w:id="7199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4849">
      <w:bodyDiv w:val="1"/>
      <w:marLeft w:val="0"/>
      <w:marRight w:val="0"/>
      <w:marTop w:val="0"/>
      <w:marBottom w:val="0"/>
      <w:divBdr>
        <w:top w:val="none" w:sz="0" w:space="0" w:color="auto"/>
        <w:left w:val="none" w:sz="0" w:space="0" w:color="auto"/>
        <w:bottom w:val="none" w:sz="0" w:space="0" w:color="auto"/>
        <w:right w:val="none" w:sz="0" w:space="0" w:color="auto"/>
      </w:divBdr>
    </w:div>
    <w:div w:id="1096369287">
      <w:bodyDiv w:val="1"/>
      <w:marLeft w:val="0"/>
      <w:marRight w:val="0"/>
      <w:marTop w:val="0"/>
      <w:marBottom w:val="0"/>
      <w:divBdr>
        <w:top w:val="none" w:sz="0" w:space="0" w:color="auto"/>
        <w:left w:val="none" w:sz="0" w:space="0" w:color="auto"/>
        <w:bottom w:val="none" w:sz="0" w:space="0" w:color="auto"/>
        <w:right w:val="none" w:sz="0" w:space="0" w:color="auto"/>
      </w:divBdr>
      <w:divsChild>
        <w:div w:id="1445923379">
          <w:marLeft w:val="0"/>
          <w:marRight w:val="0"/>
          <w:marTop w:val="0"/>
          <w:marBottom w:val="0"/>
          <w:divBdr>
            <w:top w:val="none" w:sz="0" w:space="0" w:color="auto"/>
            <w:left w:val="none" w:sz="0" w:space="0" w:color="auto"/>
            <w:bottom w:val="none" w:sz="0" w:space="0" w:color="auto"/>
            <w:right w:val="none" w:sz="0" w:space="0" w:color="auto"/>
          </w:divBdr>
        </w:div>
        <w:div w:id="1622028674">
          <w:marLeft w:val="0"/>
          <w:marRight w:val="0"/>
          <w:marTop w:val="0"/>
          <w:marBottom w:val="0"/>
          <w:divBdr>
            <w:top w:val="none" w:sz="0" w:space="0" w:color="auto"/>
            <w:left w:val="none" w:sz="0" w:space="0" w:color="auto"/>
            <w:bottom w:val="none" w:sz="0" w:space="0" w:color="auto"/>
            <w:right w:val="none" w:sz="0" w:space="0" w:color="auto"/>
          </w:divBdr>
        </w:div>
        <w:div w:id="1800949554">
          <w:marLeft w:val="0"/>
          <w:marRight w:val="0"/>
          <w:marTop w:val="0"/>
          <w:marBottom w:val="0"/>
          <w:divBdr>
            <w:top w:val="none" w:sz="0" w:space="0" w:color="auto"/>
            <w:left w:val="none" w:sz="0" w:space="0" w:color="auto"/>
            <w:bottom w:val="none" w:sz="0" w:space="0" w:color="auto"/>
            <w:right w:val="none" w:sz="0" w:space="0" w:color="auto"/>
          </w:divBdr>
        </w:div>
      </w:divsChild>
    </w:div>
    <w:div w:id="1111125192">
      <w:bodyDiv w:val="1"/>
      <w:marLeft w:val="0"/>
      <w:marRight w:val="0"/>
      <w:marTop w:val="0"/>
      <w:marBottom w:val="0"/>
      <w:divBdr>
        <w:top w:val="none" w:sz="0" w:space="0" w:color="auto"/>
        <w:left w:val="none" w:sz="0" w:space="0" w:color="auto"/>
        <w:bottom w:val="none" w:sz="0" w:space="0" w:color="auto"/>
        <w:right w:val="none" w:sz="0" w:space="0" w:color="auto"/>
      </w:divBdr>
    </w:div>
    <w:div w:id="1120144754">
      <w:bodyDiv w:val="1"/>
      <w:marLeft w:val="0"/>
      <w:marRight w:val="0"/>
      <w:marTop w:val="0"/>
      <w:marBottom w:val="0"/>
      <w:divBdr>
        <w:top w:val="none" w:sz="0" w:space="0" w:color="auto"/>
        <w:left w:val="none" w:sz="0" w:space="0" w:color="auto"/>
        <w:bottom w:val="none" w:sz="0" w:space="0" w:color="auto"/>
        <w:right w:val="none" w:sz="0" w:space="0" w:color="auto"/>
      </w:divBdr>
    </w:div>
    <w:div w:id="1130980070">
      <w:bodyDiv w:val="1"/>
      <w:marLeft w:val="0"/>
      <w:marRight w:val="0"/>
      <w:marTop w:val="0"/>
      <w:marBottom w:val="0"/>
      <w:divBdr>
        <w:top w:val="none" w:sz="0" w:space="0" w:color="auto"/>
        <w:left w:val="none" w:sz="0" w:space="0" w:color="auto"/>
        <w:bottom w:val="none" w:sz="0" w:space="0" w:color="auto"/>
        <w:right w:val="none" w:sz="0" w:space="0" w:color="auto"/>
      </w:divBdr>
      <w:divsChild>
        <w:div w:id="750586428">
          <w:marLeft w:val="0"/>
          <w:marRight w:val="0"/>
          <w:marTop w:val="0"/>
          <w:marBottom w:val="0"/>
          <w:divBdr>
            <w:top w:val="none" w:sz="0" w:space="0" w:color="auto"/>
            <w:left w:val="none" w:sz="0" w:space="0" w:color="auto"/>
            <w:bottom w:val="none" w:sz="0" w:space="0" w:color="auto"/>
            <w:right w:val="none" w:sz="0" w:space="0" w:color="auto"/>
          </w:divBdr>
        </w:div>
        <w:div w:id="905531587">
          <w:marLeft w:val="0"/>
          <w:marRight w:val="0"/>
          <w:marTop w:val="0"/>
          <w:marBottom w:val="0"/>
          <w:divBdr>
            <w:top w:val="none" w:sz="0" w:space="0" w:color="auto"/>
            <w:left w:val="none" w:sz="0" w:space="0" w:color="auto"/>
            <w:bottom w:val="none" w:sz="0" w:space="0" w:color="auto"/>
            <w:right w:val="none" w:sz="0" w:space="0" w:color="auto"/>
          </w:divBdr>
        </w:div>
        <w:div w:id="1932544914">
          <w:marLeft w:val="0"/>
          <w:marRight w:val="0"/>
          <w:marTop w:val="0"/>
          <w:marBottom w:val="0"/>
          <w:divBdr>
            <w:top w:val="none" w:sz="0" w:space="0" w:color="auto"/>
            <w:left w:val="none" w:sz="0" w:space="0" w:color="auto"/>
            <w:bottom w:val="none" w:sz="0" w:space="0" w:color="auto"/>
            <w:right w:val="none" w:sz="0" w:space="0" w:color="auto"/>
          </w:divBdr>
        </w:div>
      </w:divsChild>
    </w:div>
    <w:div w:id="1137334097">
      <w:bodyDiv w:val="1"/>
      <w:marLeft w:val="0"/>
      <w:marRight w:val="0"/>
      <w:marTop w:val="0"/>
      <w:marBottom w:val="0"/>
      <w:divBdr>
        <w:top w:val="none" w:sz="0" w:space="0" w:color="auto"/>
        <w:left w:val="none" w:sz="0" w:space="0" w:color="auto"/>
        <w:bottom w:val="none" w:sz="0" w:space="0" w:color="auto"/>
        <w:right w:val="none" w:sz="0" w:space="0" w:color="auto"/>
      </w:divBdr>
      <w:divsChild>
        <w:div w:id="128326916">
          <w:marLeft w:val="0"/>
          <w:marRight w:val="0"/>
          <w:marTop w:val="0"/>
          <w:marBottom w:val="0"/>
          <w:divBdr>
            <w:top w:val="none" w:sz="0" w:space="0" w:color="auto"/>
            <w:left w:val="none" w:sz="0" w:space="0" w:color="auto"/>
            <w:bottom w:val="none" w:sz="0" w:space="0" w:color="auto"/>
            <w:right w:val="none" w:sz="0" w:space="0" w:color="auto"/>
          </w:divBdr>
          <w:divsChild>
            <w:div w:id="1042369134">
              <w:marLeft w:val="0"/>
              <w:marRight w:val="0"/>
              <w:marTop w:val="435"/>
              <w:marBottom w:val="502"/>
              <w:divBdr>
                <w:top w:val="none" w:sz="0" w:space="0" w:color="auto"/>
                <w:left w:val="none" w:sz="0" w:space="0" w:color="auto"/>
                <w:bottom w:val="none" w:sz="0" w:space="0" w:color="auto"/>
                <w:right w:val="none" w:sz="0" w:space="0" w:color="auto"/>
              </w:divBdr>
              <w:divsChild>
                <w:div w:id="126893742">
                  <w:marLeft w:val="0"/>
                  <w:marRight w:val="0"/>
                  <w:marTop w:val="0"/>
                  <w:marBottom w:val="0"/>
                  <w:divBdr>
                    <w:top w:val="none" w:sz="0" w:space="0" w:color="auto"/>
                    <w:left w:val="none" w:sz="0" w:space="0" w:color="auto"/>
                    <w:bottom w:val="none" w:sz="0" w:space="0" w:color="auto"/>
                    <w:right w:val="none" w:sz="0" w:space="0" w:color="auto"/>
                  </w:divBdr>
                  <w:divsChild>
                    <w:div w:id="1384870703">
                      <w:marLeft w:val="0"/>
                      <w:marRight w:val="0"/>
                      <w:marTop w:val="0"/>
                      <w:marBottom w:val="0"/>
                      <w:divBdr>
                        <w:top w:val="none" w:sz="0" w:space="0" w:color="auto"/>
                        <w:left w:val="none" w:sz="0" w:space="0" w:color="auto"/>
                        <w:bottom w:val="none" w:sz="0" w:space="0" w:color="auto"/>
                        <w:right w:val="none" w:sz="0" w:space="0" w:color="auto"/>
                      </w:divBdr>
                      <w:divsChild>
                        <w:div w:id="15653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291270">
      <w:bodyDiv w:val="1"/>
      <w:marLeft w:val="0"/>
      <w:marRight w:val="0"/>
      <w:marTop w:val="0"/>
      <w:marBottom w:val="0"/>
      <w:divBdr>
        <w:top w:val="none" w:sz="0" w:space="0" w:color="auto"/>
        <w:left w:val="none" w:sz="0" w:space="0" w:color="auto"/>
        <w:bottom w:val="none" w:sz="0" w:space="0" w:color="auto"/>
        <w:right w:val="none" w:sz="0" w:space="0" w:color="auto"/>
      </w:divBdr>
    </w:div>
    <w:div w:id="1158963171">
      <w:bodyDiv w:val="1"/>
      <w:marLeft w:val="0"/>
      <w:marRight w:val="0"/>
      <w:marTop w:val="0"/>
      <w:marBottom w:val="0"/>
      <w:divBdr>
        <w:top w:val="none" w:sz="0" w:space="0" w:color="auto"/>
        <w:left w:val="none" w:sz="0" w:space="0" w:color="auto"/>
        <w:bottom w:val="none" w:sz="0" w:space="0" w:color="auto"/>
        <w:right w:val="none" w:sz="0" w:space="0" w:color="auto"/>
      </w:divBdr>
    </w:div>
    <w:div w:id="1164977889">
      <w:bodyDiv w:val="1"/>
      <w:marLeft w:val="0"/>
      <w:marRight w:val="0"/>
      <w:marTop w:val="0"/>
      <w:marBottom w:val="0"/>
      <w:divBdr>
        <w:top w:val="none" w:sz="0" w:space="0" w:color="auto"/>
        <w:left w:val="none" w:sz="0" w:space="0" w:color="auto"/>
        <w:bottom w:val="none" w:sz="0" w:space="0" w:color="auto"/>
        <w:right w:val="none" w:sz="0" w:space="0" w:color="auto"/>
      </w:divBdr>
      <w:divsChild>
        <w:div w:id="1248883638">
          <w:marLeft w:val="547"/>
          <w:marRight w:val="0"/>
          <w:marTop w:val="0"/>
          <w:marBottom w:val="0"/>
          <w:divBdr>
            <w:top w:val="none" w:sz="0" w:space="0" w:color="auto"/>
            <w:left w:val="none" w:sz="0" w:space="0" w:color="auto"/>
            <w:bottom w:val="none" w:sz="0" w:space="0" w:color="auto"/>
            <w:right w:val="none" w:sz="0" w:space="0" w:color="auto"/>
          </w:divBdr>
        </w:div>
      </w:divsChild>
    </w:div>
    <w:div w:id="1166479859">
      <w:bodyDiv w:val="1"/>
      <w:marLeft w:val="0"/>
      <w:marRight w:val="0"/>
      <w:marTop w:val="0"/>
      <w:marBottom w:val="0"/>
      <w:divBdr>
        <w:top w:val="none" w:sz="0" w:space="0" w:color="auto"/>
        <w:left w:val="none" w:sz="0" w:space="0" w:color="auto"/>
        <w:bottom w:val="none" w:sz="0" w:space="0" w:color="auto"/>
        <w:right w:val="none" w:sz="0" w:space="0" w:color="auto"/>
      </w:divBdr>
    </w:div>
    <w:div w:id="1166507127">
      <w:bodyDiv w:val="1"/>
      <w:marLeft w:val="0"/>
      <w:marRight w:val="0"/>
      <w:marTop w:val="0"/>
      <w:marBottom w:val="0"/>
      <w:divBdr>
        <w:top w:val="none" w:sz="0" w:space="0" w:color="auto"/>
        <w:left w:val="none" w:sz="0" w:space="0" w:color="auto"/>
        <w:bottom w:val="none" w:sz="0" w:space="0" w:color="auto"/>
        <w:right w:val="none" w:sz="0" w:space="0" w:color="auto"/>
      </w:divBdr>
    </w:div>
    <w:div w:id="1171990743">
      <w:bodyDiv w:val="1"/>
      <w:marLeft w:val="0"/>
      <w:marRight w:val="0"/>
      <w:marTop w:val="0"/>
      <w:marBottom w:val="0"/>
      <w:divBdr>
        <w:top w:val="none" w:sz="0" w:space="0" w:color="auto"/>
        <w:left w:val="none" w:sz="0" w:space="0" w:color="auto"/>
        <w:bottom w:val="none" w:sz="0" w:space="0" w:color="auto"/>
        <w:right w:val="none" w:sz="0" w:space="0" w:color="auto"/>
      </w:divBdr>
    </w:div>
    <w:div w:id="1174760654">
      <w:bodyDiv w:val="1"/>
      <w:marLeft w:val="0"/>
      <w:marRight w:val="0"/>
      <w:marTop w:val="0"/>
      <w:marBottom w:val="0"/>
      <w:divBdr>
        <w:top w:val="none" w:sz="0" w:space="0" w:color="auto"/>
        <w:left w:val="none" w:sz="0" w:space="0" w:color="auto"/>
        <w:bottom w:val="none" w:sz="0" w:space="0" w:color="auto"/>
        <w:right w:val="none" w:sz="0" w:space="0" w:color="auto"/>
      </w:divBdr>
    </w:div>
    <w:div w:id="1178928333">
      <w:bodyDiv w:val="1"/>
      <w:marLeft w:val="0"/>
      <w:marRight w:val="0"/>
      <w:marTop w:val="0"/>
      <w:marBottom w:val="0"/>
      <w:divBdr>
        <w:top w:val="none" w:sz="0" w:space="0" w:color="auto"/>
        <w:left w:val="none" w:sz="0" w:space="0" w:color="auto"/>
        <w:bottom w:val="none" w:sz="0" w:space="0" w:color="auto"/>
        <w:right w:val="none" w:sz="0" w:space="0" w:color="auto"/>
      </w:divBdr>
      <w:divsChild>
        <w:div w:id="634608311">
          <w:marLeft w:val="0"/>
          <w:marRight w:val="0"/>
          <w:marTop w:val="0"/>
          <w:marBottom w:val="0"/>
          <w:divBdr>
            <w:top w:val="none" w:sz="0" w:space="0" w:color="auto"/>
            <w:left w:val="none" w:sz="0" w:space="0" w:color="auto"/>
            <w:bottom w:val="none" w:sz="0" w:space="0" w:color="auto"/>
            <w:right w:val="none" w:sz="0" w:space="0" w:color="auto"/>
          </w:divBdr>
          <w:divsChild>
            <w:div w:id="323749019">
              <w:marLeft w:val="0"/>
              <w:marRight w:val="0"/>
              <w:marTop w:val="435"/>
              <w:marBottom w:val="502"/>
              <w:divBdr>
                <w:top w:val="none" w:sz="0" w:space="0" w:color="auto"/>
                <w:left w:val="none" w:sz="0" w:space="0" w:color="auto"/>
                <w:bottom w:val="none" w:sz="0" w:space="0" w:color="auto"/>
                <w:right w:val="none" w:sz="0" w:space="0" w:color="auto"/>
              </w:divBdr>
              <w:divsChild>
                <w:div w:id="1843735042">
                  <w:marLeft w:val="0"/>
                  <w:marRight w:val="0"/>
                  <w:marTop w:val="0"/>
                  <w:marBottom w:val="0"/>
                  <w:divBdr>
                    <w:top w:val="none" w:sz="0" w:space="0" w:color="auto"/>
                    <w:left w:val="none" w:sz="0" w:space="0" w:color="auto"/>
                    <w:bottom w:val="none" w:sz="0" w:space="0" w:color="auto"/>
                    <w:right w:val="none" w:sz="0" w:space="0" w:color="auto"/>
                  </w:divBdr>
                  <w:divsChild>
                    <w:div w:id="578251052">
                      <w:marLeft w:val="0"/>
                      <w:marRight w:val="0"/>
                      <w:marTop w:val="0"/>
                      <w:marBottom w:val="0"/>
                      <w:divBdr>
                        <w:top w:val="none" w:sz="0" w:space="0" w:color="auto"/>
                        <w:left w:val="none" w:sz="0" w:space="0" w:color="auto"/>
                        <w:bottom w:val="none" w:sz="0" w:space="0" w:color="auto"/>
                        <w:right w:val="none" w:sz="0" w:space="0" w:color="auto"/>
                      </w:divBdr>
                      <w:divsChild>
                        <w:div w:id="8452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714203">
      <w:bodyDiv w:val="1"/>
      <w:marLeft w:val="0"/>
      <w:marRight w:val="0"/>
      <w:marTop w:val="0"/>
      <w:marBottom w:val="0"/>
      <w:divBdr>
        <w:top w:val="none" w:sz="0" w:space="0" w:color="auto"/>
        <w:left w:val="none" w:sz="0" w:space="0" w:color="auto"/>
        <w:bottom w:val="none" w:sz="0" w:space="0" w:color="auto"/>
        <w:right w:val="none" w:sz="0" w:space="0" w:color="auto"/>
      </w:divBdr>
    </w:div>
    <w:div w:id="1191600527">
      <w:bodyDiv w:val="1"/>
      <w:marLeft w:val="0"/>
      <w:marRight w:val="0"/>
      <w:marTop w:val="0"/>
      <w:marBottom w:val="0"/>
      <w:divBdr>
        <w:top w:val="none" w:sz="0" w:space="0" w:color="auto"/>
        <w:left w:val="none" w:sz="0" w:space="0" w:color="auto"/>
        <w:bottom w:val="none" w:sz="0" w:space="0" w:color="auto"/>
        <w:right w:val="none" w:sz="0" w:space="0" w:color="auto"/>
      </w:divBdr>
    </w:div>
    <w:div w:id="1196970197">
      <w:bodyDiv w:val="1"/>
      <w:marLeft w:val="0"/>
      <w:marRight w:val="0"/>
      <w:marTop w:val="0"/>
      <w:marBottom w:val="0"/>
      <w:divBdr>
        <w:top w:val="none" w:sz="0" w:space="0" w:color="auto"/>
        <w:left w:val="none" w:sz="0" w:space="0" w:color="auto"/>
        <w:bottom w:val="none" w:sz="0" w:space="0" w:color="auto"/>
        <w:right w:val="none" w:sz="0" w:space="0" w:color="auto"/>
      </w:divBdr>
      <w:divsChild>
        <w:div w:id="672223500">
          <w:marLeft w:val="0"/>
          <w:marRight w:val="0"/>
          <w:marTop w:val="0"/>
          <w:marBottom w:val="0"/>
          <w:divBdr>
            <w:top w:val="none" w:sz="0" w:space="0" w:color="auto"/>
            <w:left w:val="none" w:sz="0" w:space="0" w:color="auto"/>
            <w:bottom w:val="none" w:sz="0" w:space="0" w:color="auto"/>
            <w:right w:val="none" w:sz="0" w:space="0" w:color="auto"/>
          </w:divBdr>
        </w:div>
        <w:div w:id="1713646793">
          <w:marLeft w:val="0"/>
          <w:marRight w:val="0"/>
          <w:marTop w:val="0"/>
          <w:marBottom w:val="0"/>
          <w:divBdr>
            <w:top w:val="none" w:sz="0" w:space="0" w:color="auto"/>
            <w:left w:val="none" w:sz="0" w:space="0" w:color="auto"/>
            <w:bottom w:val="none" w:sz="0" w:space="0" w:color="auto"/>
            <w:right w:val="none" w:sz="0" w:space="0" w:color="auto"/>
          </w:divBdr>
        </w:div>
      </w:divsChild>
    </w:div>
    <w:div w:id="1210722941">
      <w:bodyDiv w:val="1"/>
      <w:marLeft w:val="0"/>
      <w:marRight w:val="0"/>
      <w:marTop w:val="0"/>
      <w:marBottom w:val="0"/>
      <w:divBdr>
        <w:top w:val="none" w:sz="0" w:space="0" w:color="auto"/>
        <w:left w:val="none" w:sz="0" w:space="0" w:color="auto"/>
        <w:bottom w:val="none" w:sz="0" w:space="0" w:color="auto"/>
        <w:right w:val="none" w:sz="0" w:space="0" w:color="auto"/>
      </w:divBdr>
    </w:div>
    <w:div w:id="1221939753">
      <w:bodyDiv w:val="1"/>
      <w:marLeft w:val="0"/>
      <w:marRight w:val="0"/>
      <w:marTop w:val="0"/>
      <w:marBottom w:val="0"/>
      <w:divBdr>
        <w:top w:val="none" w:sz="0" w:space="0" w:color="auto"/>
        <w:left w:val="none" w:sz="0" w:space="0" w:color="auto"/>
        <w:bottom w:val="none" w:sz="0" w:space="0" w:color="auto"/>
        <w:right w:val="none" w:sz="0" w:space="0" w:color="auto"/>
      </w:divBdr>
    </w:div>
    <w:div w:id="1222130356">
      <w:bodyDiv w:val="1"/>
      <w:marLeft w:val="0"/>
      <w:marRight w:val="0"/>
      <w:marTop w:val="0"/>
      <w:marBottom w:val="0"/>
      <w:divBdr>
        <w:top w:val="none" w:sz="0" w:space="0" w:color="auto"/>
        <w:left w:val="none" w:sz="0" w:space="0" w:color="auto"/>
        <w:bottom w:val="none" w:sz="0" w:space="0" w:color="auto"/>
        <w:right w:val="none" w:sz="0" w:space="0" w:color="auto"/>
      </w:divBdr>
    </w:div>
    <w:div w:id="1235118252">
      <w:bodyDiv w:val="1"/>
      <w:marLeft w:val="0"/>
      <w:marRight w:val="0"/>
      <w:marTop w:val="0"/>
      <w:marBottom w:val="0"/>
      <w:divBdr>
        <w:top w:val="none" w:sz="0" w:space="0" w:color="auto"/>
        <w:left w:val="none" w:sz="0" w:space="0" w:color="auto"/>
        <w:bottom w:val="none" w:sz="0" w:space="0" w:color="auto"/>
        <w:right w:val="none" w:sz="0" w:space="0" w:color="auto"/>
      </w:divBdr>
    </w:div>
    <w:div w:id="1254899921">
      <w:bodyDiv w:val="1"/>
      <w:marLeft w:val="0"/>
      <w:marRight w:val="0"/>
      <w:marTop w:val="0"/>
      <w:marBottom w:val="0"/>
      <w:divBdr>
        <w:top w:val="none" w:sz="0" w:space="0" w:color="auto"/>
        <w:left w:val="none" w:sz="0" w:space="0" w:color="auto"/>
        <w:bottom w:val="none" w:sz="0" w:space="0" w:color="auto"/>
        <w:right w:val="none" w:sz="0" w:space="0" w:color="auto"/>
      </w:divBdr>
    </w:div>
    <w:div w:id="1266503559">
      <w:bodyDiv w:val="1"/>
      <w:marLeft w:val="0"/>
      <w:marRight w:val="0"/>
      <w:marTop w:val="0"/>
      <w:marBottom w:val="0"/>
      <w:divBdr>
        <w:top w:val="none" w:sz="0" w:space="0" w:color="auto"/>
        <w:left w:val="none" w:sz="0" w:space="0" w:color="auto"/>
        <w:bottom w:val="none" w:sz="0" w:space="0" w:color="auto"/>
        <w:right w:val="none" w:sz="0" w:space="0" w:color="auto"/>
      </w:divBdr>
      <w:divsChild>
        <w:div w:id="2098332090">
          <w:marLeft w:val="0"/>
          <w:marRight w:val="0"/>
          <w:marTop w:val="0"/>
          <w:marBottom w:val="0"/>
          <w:divBdr>
            <w:top w:val="none" w:sz="0" w:space="0" w:color="auto"/>
            <w:left w:val="none" w:sz="0" w:space="0" w:color="auto"/>
            <w:bottom w:val="none" w:sz="0" w:space="0" w:color="auto"/>
            <w:right w:val="none" w:sz="0" w:space="0" w:color="auto"/>
          </w:divBdr>
        </w:div>
      </w:divsChild>
    </w:div>
    <w:div w:id="1276596205">
      <w:bodyDiv w:val="1"/>
      <w:marLeft w:val="0"/>
      <w:marRight w:val="0"/>
      <w:marTop w:val="0"/>
      <w:marBottom w:val="0"/>
      <w:divBdr>
        <w:top w:val="none" w:sz="0" w:space="0" w:color="auto"/>
        <w:left w:val="none" w:sz="0" w:space="0" w:color="auto"/>
        <w:bottom w:val="none" w:sz="0" w:space="0" w:color="auto"/>
        <w:right w:val="none" w:sz="0" w:space="0" w:color="auto"/>
      </w:divBdr>
    </w:div>
    <w:div w:id="1286156910">
      <w:bodyDiv w:val="1"/>
      <w:marLeft w:val="0"/>
      <w:marRight w:val="0"/>
      <w:marTop w:val="0"/>
      <w:marBottom w:val="0"/>
      <w:divBdr>
        <w:top w:val="none" w:sz="0" w:space="0" w:color="auto"/>
        <w:left w:val="none" w:sz="0" w:space="0" w:color="auto"/>
        <w:bottom w:val="none" w:sz="0" w:space="0" w:color="auto"/>
        <w:right w:val="none" w:sz="0" w:space="0" w:color="auto"/>
      </w:divBdr>
    </w:div>
    <w:div w:id="1306928103">
      <w:bodyDiv w:val="1"/>
      <w:marLeft w:val="0"/>
      <w:marRight w:val="0"/>
      <w:marTop w:val="0"/>
      <w:marBottom w:val="0"/>
      <w:divBdr>
        <w:top w:val="none" w:sz="0" w:space="0" w:color="auto"/>
        <w:left w:val="none" w:sz="0" w:space="0" w:color="auto"/>
        <w:bottom w:val="none" w:sz="0" w:space="0" w:color="auto"/>
        <w:right w:val="none" w:sz="0" w:space="0" w:color="auto"/>
      </w:divBdr>
    </w:div>
    <w:div w:id="1317417932">
      <w:bodyDiv w:val="1"/>
      <w:marLeft w:val="0"/>
      <w:marRight w:val="0"/>
      <w:marTop w:val="0"/>
      <w:marBottom w:val="0"/>
      <w:divBdr>
        <w:top w:val="none" w:sz="0" w:space="0" w:color="auto"/>
        <w:left w:val="none" w:sz="0" w:space="0" w:color="auto"/>
        <w:bottom w:val="none" w:sz="0" w:space="0" w:color="auto"/>
        <w:right w:val="none" w:sz="0" w:space="0" w:color="auto"/>
      </w:divBdr>
    </w:div>
    <w:div w:id="1321618849">
      <w:bodyDiv w:val="1"/>
      <w:marLeft w:val="0"/>
      <w:marRight w:val="0"/>
      <w:marTop w:val="0"/>
      <w:marBottom w:val="0"/>
      <w:divBdr>
        <w:top w:val="none" w:sz="0" w:space="0" w:color="auto"/>
        <w:left w:val="none" w:sz="0" w:space="0" w:color="auto"/>
        <w:bottom w:val="none" w:sz="0" w:space="0" w:color="auto"/>
        <w:right w:val="none" w:sz="0" w:space="0" w:color="auto"/>
      </w:divBdr>
    </w:div>
    <w:div w:id="1329676868">
      <w:bodyDiv w:val="1"/>
      <w:marLeft w:val="0"/>
      <w:marRight w:val="0"/>
      <w:marTop w:val="0"/>
      <w:marBottom w:val="0"/>
      <w:divBdr>
        <w:top w:val="none" w:sz="0" w:space="0" w:color="auto"/>
        <w:left w:val="none" w:sz="0" w:space="0" w:color="auto"/>
        <w:bottom w:val="none" w:sz="0" w:space="0" w:color="auto"/>
        <w:right w:val="none" w:sz="0" w:space="0" w:color="auto"/>
      </w:divBdr>
    </w:div>
    <w:div w:id="1348024647">
      <w:bodyDiv w:val="1"/>
      <w:marLeft w:val="0"/>
      <w:marRight w:val="0"/>
      <w:marTop w:val="0"/>
      <w:marBottom w:val="0"/>
      <w:divBdr>
        <w:top w:val="none" w:sz="0" w:space="0" w:color="auto"/>
        <w:left w:val="none" w:sz="0" w:space="0" w:color="auto"/>
        <w:bottom w:val="none" w:sz="0" w:space="0" w:color="auto"/>
        <w:right w:val="none" w:sz="0" w:space="0" w:color="auto"/>
      </w:divBdr>
      <w:divsChild>
        <w:div w:id="969747775">
          <w:marLeft w:val="0"/>
          <w:marRight w:val="0"/>
          <w:marTop w:val="0"/>
          <w:marBottom w:val="0"/>
          <w:divBdr>
            <w:top w:val="none" w:sz="0" w:space="0" w:color="auto"/>
            <w:left w:val="none" w:sz="0" w:space="0" w:color="auto"/>
            <w:bottom w:val="none" w:sz="0" w:space="0" w:color="auto"/>
            <w:right w:val="none" w:sz="0" w:space="0" w:color="auto"/>
          </w:divBdr>
        </w:div>
        <w:div w:id="1289972798">
          <w:marLeft w:val="0"/>
          <w:marRight w:val="0"/>
          <w:marTop w:val="0"/>
          <w:marBottom w:val="0"/>
          <w:divBdr>
            <w:top w:val="none" w:sz="0" w:space="0" w:color="auto"/>
            <w:left w:val="none" w:sz="0" w:space="0" w:color="auto"/>
            <w:bottom w:val="none" w:sz="0" w:space="0" w:color="auto"/>
            <w:right w:val="none" w:sz="0" w:space="0" w:color="auto"/>
          </w:divBdr>
        </w:div>
        <w:div w:id="2082831544">
          <w:marLeft w:val="0"/>
          <w:marRight w:val="0"/>
          <w:marTop w:val="0"/>
          <w:marBottom w:val="0"/>
          <w:divBdr>
            <w:top w:val="none" w:sz="0" w:space="0" w:color="auto"/>
            <w:left w:val="none" w:sz="0" w:space="0" w:color="auto"/>
            <w:bottom w:val="none" w:sz="0" w:space="0" w:color="auto"/>
            <w:right w:val="none" w:sz="0" w:space="0" w:color="auto"/>
          </w:divBdr>
        </w:div>
      </w:divsChild>
    </w:div>
    <w:div w:id="1349136532">
      <w:bodyDiv w:val="1"/>
      <w:marLeft w:val="0"/>
      <w:marRight w:val="0"/>
      <w:marTop w:val="0"/>
      <w:marBottom w:val="0"/>
      <w:divBdr>
        <w:top w:val="none" w:sz="0" w:space="0" w:color="auto"/>
        <w:left w:val="none" w:sz="0" w:space="0" w:color="auto"/>
        <w:bottom w:val="none" w:sz="0" w:space="0" w:color="auto"/>
        <w:right w:val="none" w:sz="0" w:space="0" w:color="auto"/>
      </w:divBdr>
    </w:div>
    <w:div w:id="1354653196">
      <w:bodyDiv w:val="1"/>
      <w:marLeft w:val="0"/>
      <w:marRight w:val="0"/>
      <w:marTop w:val="0"/>
      <w:marBottom w:val="0"/>
      <w:divBdr>
        <w:top w:val="none" w:sz="0" w:space="0" w:color="auto"/>
        <w:left w:val="none" w:sz="0" w:space="0" w:color="auto"/>
        <w:bottom w:val="none" w:sz="0" w:space="0" w:color="auto"/>
        <w:right w:val="none" w:sz="0" w:space="0" w:color="auto"/>
      </w:divBdr>
    </w:div>
    <w:div w:id="1357345372">
      <w:bodyDiv w:val="1"/>
      <w:marLeft w:val="0"/>
      <w:marRight w:val="0"/>
      <w:marTop w:val="0"/>
      <w:marBottom w:val="0"/>
      <w:divBdr>
        <w:top w:val="none" w:sz="0" w:space="0" w:color="auto"/>
        <w:left w:val="none" w:sz="0" w:space="0" w:color="auto"/>
        <w:bottom w:val="none" w:sz="0" w:space="0" w:color="auto"/>
        <w:right w:val="none" w:sz="0" w:space="0" w:color="auto"/>
      </w:divBdr>
      <w:divsChild>
        <w:div w:id="19824180">
          <w:marLeft w:val="0"/>
          <w:marRight w:val="0"/>
          <w:marTop w:val="0"/>
          <w:marBottom w:val="0"/>
          <w:divBdr>
            <w:top w:val="none" w:sz="0" w:space="0" w:color="auto"/>
            <w:left w:val="none" w:sz="0" w:space="0" w:color="auto"/>
            <w:bottom w:val="none" w:sz="0" w:space="0" w:color="auto"/>
            <w:right w:val="none" w:sz="0" w:space="0" w:color="auto"/>
          </w:divBdr>
          <w:divsChild>
            <w:div w:id="1817141158">
              <w:marLeft w:val="0"/>
              <w:marRight w:val="0"/>
              <w:marTop w:val="0"/>
              <w:marBottom w:val="0"/>
              <w:divBdr>
                <w:top w:val="none" w:sz="0" w:space="0" w:color="auto"/>
                <w:left w:val="none" w:sz="0" w:space="0" w:color="auto"/>
                <w:bottom w:val="none" w:sz="0" w:space="0" w:color="auto"/>
                <w:right w:val="none" w:sz="0" w:space="0" w:color="auto"/>
              </w:divBdr>
              <w:divsChild>
                <w:div w:id="1221792031">
                  <w:marLeft w:val="0"/>
                  <w:marRight w:val="0"/>
                  <w:marTop w:val="0"/>
                  <w:marBottom w:val="0"/>
                  <w:divBdr>
                    <w:top w:val="none" w:sz="0" w:space="0" w:color="auto"/>
                    <w:left w:val="none" w:sz="0" w:space="0" w:color="auto"/>
                    <w:bottom w:val="none" w:sz="0" w:space="0" w:color="auto"/>
                    <w:right w:val="none" w:sz="0" w:space="0" w:color="auto"/>
                  </w:divBdr>
                  <w:divsChild>
                    <w:div w:id="426006536">
                      <w:marLeft w:val="0"/>
                      <w:marRight w:val="0"/>
                      <w:marTop w:val="0"/>
                      <w:marBottom w:val="0"/>
                      <w:divBdr>
                        <w:top w:val="none" w:sz="0" w:space="0" w:color="auto"/>
                        <w:left w:val="none" w:sz="0" w:space="0" w:color="auto"/>
                        <w:bottom w:val="none" w:sz="0" w:space="0" w:color="auto"/>
                        <w:right w:val="none" w:sz="0" w:space="0" w:color="auto"/>
                      </w:divBdr>
                      <w:divsChild>
                        <w:div w:id="1219586756">
                          <w:marLeft w:val="0"/>
                          <w:marRight w:val="0"/>
                          <w:marTop w:val="0"/>
                          <w:marBottom w:val="0"/>
                          <w:divBdr>
                            <w:top w:val="none" w:sz="0" w:space="0" w:color="auto"/>
                            <w:left w:val="none" w:sz="0" w:space="0" w:color="auto"/>
                            <w:bottom w:val="none" w:sz="0" w:space="0" w:color="auto"/>
                            <w:right w:val="none" w:sz="0" w:space="0" w:color="auto"/>
                          </w:divBdr>
                          <w:divsChild>
                            <w:div w:id="11568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515497">
      <w:bodyDiv w:val="1"/>
      <w:marLeft w:val="0"/>
      <w:marRight w:val="0"/>
      <w:marTop w:val="0"/>
      <w:marBottom w:val="0"/>
      <w:divBdr>
        <w:top w:val="none" w:sz="0" w:space="0" w:color="auto"/>
        <w:left w:val="none" w:sz="0" w:space="0" w:color="auto"/>
        <w:bottom w:val="none" w:sz="0" w:space="0" w:color="auto"/>
        <w:right w:val="none" w:sz="0" w:space="0" w:color="auto"/>
      </w:divBdr>
      <w:divsChild>
        <w:div w:id="734207160">
          <w:marLeft w:val="0"/>
          <w:marRight w:val="0"/>
          <w:marTop w:val="0"/>
          <w:marBottom w:val="0"/>
          <w:divBdr>
            <w:top w:val="none" w:sz="0" w:space="0" w:color="auto"/>
            <w:left w:val="none" w:sz="0" w:space="0" w:color="auto"/>
            <w:bottom w:val="none" w:sz="0" w:space="0" w:color="auto"/>
            <w:right w:val="none" w:sz="0" w:space="0" w:color="auto"/>
          </w:divBdr>
        </w:div>
        <w:div w:id="1233203114">
          <w:marLeft w:val="0"/>
          <w:marRight w:val="0"/>
          <w:marTop w:val="0"/>
          <w:marBottom w:val="0"/>
          <w:divBdr>
            <w:top w:val="none" w:sz="0" w:space="0" w:color="auto"/>
            <w:left w:val="none" w:sz="0" w:space="0" w:color="auto"/>
            <w:bottom w:val="none" w:sz="0" w:space="0" w:color="auto"/>
            <w:right w:val="none" w:sz="0" w:space="0" w:color="auto"/>
          </w:divBdr>
        </w:div>
        <w:div w:id="1874802217">
          <w:marLeft w:val="0"/>
          <w:marRight w:val="0"/>
          <w:marTop w:val="0"/>
          <w:marBottom w:val="0"/>
          <w:divBdr>
            <w:top w:val="none" w:sz="0" w:space="0" w:color="auto"/>
            <w:left w:val="none" w:sz="0" w:space="0" w:color="auto"/>
            <w:bottom w:val="none" w:sz="0" w:space="0" w:color="auto"/>
            <w:right w:val="none" w:sz="0" w:space="0" w:color="auto"/>
          </w:divBdr>
        </w:div>
      </w:divsChild>
    </w:div>
    <w:div w:id="1367679297">
      <w:bodyDiv w:val="1"/>
      <w:marLeft w:val="0"/>
      <w:marRight w:val="0"/>
      <w:marTop w:val="0"/>
      <w:marBottom w:val="0"/>
      <w:divBdr>
        <w:top w:val="none" w:sz="0" w:space="0" w:color="auto"/>
        <w:left w:val="none" w:sz="0" w:space="0" w:color="auto"/>
        <w:bottom w:val="none" w:sz="0" w:space="0" w:color="auto"/>
        <w:right w:val="none" w:sz="0" w:space="0" w:color="auto"/>
      </w:divBdr>
    </w:div>
    <w:div w:id="1370494253">
      <w:bodyDiv w:val="1"/>
      <w:marLeft w:val="0"/>
      <w:marRight w:val="0"/>
      <w:marTop w:val="0"/>
      <w:marBottom w:val="0"/>
      <w:divBdr>
        <w:top w:val="none" w:sz="0" w:space="0" w:color="auto"/>
        <w:left w:val="none" w:sz="0" w:space="0" w:color="auto"/>
        <w:bottom w:val="none" w:sz="0" w:space="0" w:color="auto"/>
        <w:right w:val="none" w:sz="0" w:space="0" w:color="auto"/>
      </w:divBdr>
    </w:div>
    <w:div w:id="1383865751">
      <w:bodyDiv w:val="1"/>
      <w:marLeft w:val="0"/>
      <w:marRight w:val="0"/>
      <w:marTop w:val="0"/>
      <w:marBottom w:val="0"/>
      <w:divBdr>
        <w:top w:val="none" w:sz="0" w:space="0" w:color="auto"/>
        <w:left w:val="none" w:sz="0" w:space="0" w:color="auto"/>
        <w:bottom w:val="none" w:sz="0" w:space="0" w:color="auto"/>
        <w:right w:val="none" w:sz="0" w:space="0" w:color="auto"/>
      </w:divBdr>
    </w:div>
    <w:div w:id="1394348192">
      <w:bodyDiv w:val="1"/>
      <w:marLeft w:val="0"/>
      <w:marRight w:val="0"/>
      <w:marTop w:val="0"/>
      <w:marBottom w:val="0"/>
      <w:divBdr>
        <w:top w:val="none" w:sz="0" w:space="0" w:color="auto"/>
        <w:left w:val="none" w:sz="0" w:space="0" w:color="auto"/>
        <w:bottom w:val="none" w:sz="0" w:space="0" w:color="auto"/>
        <w:right w:val="none" w:sz="0" w:space="0" w:color="auto"/>
      </w:divBdr>
    </w:div>
    <w:div w:id="1408305654">
      <w:bodyDiv w:val="1"/>
      <w:marLeft w:val="0"/>
      <w:marRight w:val="0"/>
      <w:marTop w:val="0"/>
      <w:marBottom w:val="0"/>
      <w:divBdr>
        <w:top w:val="none" w:sz="0" w:space="0" w:color="auto"/>
        <w:left w:val="none" w:sz="0" w:space="0" w:color="auto"/>
        <w:bottom w:val="none" w:sz="0" w:space="0" w:color="auto"/>
        <w:right w:val="none" w:sz="0" w:space="0" w:color="auto"/>
      </w:divBdr>
      <w:divsChild>
        <w:div w:id="1427723953">
          <w:marLeft w:val="0"/>
          <w:marRight w:val="0"/>
          <w:marTop w:val="0"/>
          <w:marBottom w:val="0"/>
          <w:divBdr>
            <w:top w:val="none" w:sz="0" w:space="0" w:color="auto"/>
            <w:left w:val="none" w:sz="0" w:space="0" w:color="auto"/>
            <w:bottom w:val="none" w:sz="0" w:space="0" w:color="auto"/>
            <w:right w:val="none" w:sz="0" w:space="0" w:color="auto"/>
          </w:divBdr>
          <w:divsChild>
            <w:div w:id="1844002939">
              <w:marLeft w:val="0"/>
              <w:marRight w:val="0"/>
              <w:marTop w:val="0"/>
              <w:marBottom w:val="0"/>
              <w:divBdr>
                <w:top w:val="none" w:sz="0" w:space="0" w:color="auto"/>
                <w:left w:val="none" w:sz="0" w:space="0" w:color="auto"/>
                <w:bottom w:val="none" w:sz="0" w:space="0" w:color="auto"/>
                <w:right w:val="none" w:sz="0" w:space="0" w:color="auto"/>
              </w:divBdr>
              <w:divsChild>
                <w:div w:id="1366563111">
                  <w:marLeft w:val="0"/>
                  <w:marRight w:val="0"/>
                  <w:marTop w:val="0"/>
                  <w:marBottom w:val="0"/>
                  <w:divBdr>
                    <w:top w:val="none" w:sz="0" w:space="0" w:color="auto"/>
                    <w:left w:val="none" w:sz="0" w:space="0" w:color="auto"/>
                    <w:bottom w:val="none" w:sz="0" w:space="0" w:color="auto"/>
                    <w:right w:val="none" w:sz="0" w:space="0" w:color="auto"/>
                  </w:divBdr>
                  <w:divsChild>
                    <w:div w:id="1382051600">
                      <w:marLeft w:val="0"/>
                      <w:marRight w:val="0"/>
                      <w:marTop w:val="0"/>
                      <w:marBottom w:val="0"/>
                      <w:divBdr>
                        <w:top w:val="none" w:sz="0" w:space="0" w:color="auto"/>
                        <w:left w:val="none" w:sz="0" w:space="0" w:color="auto"/>
                        <w:bottom w:val="none" w:sz="0" w:space="0" w:color="auto"/>
                        <w:right w:val="none" w:sz="0" w:space="0" w:color="auto"/>
                      </w:divBdr>
                      <w:divsChild>
                        <w:div w:id="25482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16707">
      <w:bodyDiv w:val="1"/>
      <w:marLeft w:val="0"/>
      <w:marRight w:val="0"/>
      <w:marTop w:val="0"/>
      <w:marBottom w:val="0"/>
      <w:divBdr>
        <w:top w:val="none" w:sz="0" w:space="0" w:color="auto"/>
        <w:left w:val="none" w:sz="0" w:space="0" w:color="auto"/>
        <w:bottom w:val="none" w:sz="0" w:space="0" w:color="auto"/>
        <w:right w:val="none" w:sz="0" w:space="0" w:color="auto"/>
      </w:divBdr>
      <w:divsChild>
        <w:div w:id="1540820471">
          <w:marLeft w:val="0"/>
          <w:marRight w:val="0"/>
          <w:marTop w:val="0"/>
          <w:marBottom w:val="0"/>
          <w:divBdr>
            <w:top w:val="none" w:sz="0" w:space="0" w:color="auto"/>
            <w:left w:val="none" w:sz="0" w:space="0" w:color="auto"/>
            <w:bottom w:val="none" w:sz="0" w:space="0" w:color="auto"/>
            <w:right w:val="none" w:sz="0" w:space="0" w:color="auto"/>
          </w:divBdr>
          <w:divsChild>
            <w:div w:id="1825395633">
              <w:marLeft w:val="0"/>
              <w:marRight w:val="0"/>
              <w:marTop w:val="0"/>
              <w:marBottom w:val="0"/>
              <w:divBdr>
                <w:top w:val="none" w:sz="0" w:space="0" w:color="auto"/>
                <w:left w:val="none" w:sz="0" w:space="0" w:color="auto"/>
                <w:bottom w:val="none" w:sz="0" w:space="0" w:color="auto"/>
                <w:right w:val="none" w:sz="0" w:space="0" w:color="auto"/>
              </w:divBdr>
              <w:divsChild>
                <w:div w:id="1798403310">
                  <w:marLeft w:val="0"/>
                  <w:marRight w:val="0"/>
                  <w:marTop w:val="0"/>
                  <w:marBottom w:val="0"/>
                  <w:divBdr>
                    <w:top w:val="none" w:sz="0" w:space="0" w:color="auto"/>
                    <w:left w:val="none" w:sz="0" w:space="0" w:color="auto"/>
                    <w:bottom w:val="none" w:sz="0" w:space="0" w:color="auto"/>
                    <w:right w:val="none" w:sz="0" w:space="0" w:color="auto"/>
                  </w:divBdr>
                  <w:divsChild>
                    <w:div w:id="876818108">
                      <w:marLeft w:val="0"/>
                      <w:marRight w:val="0"/>
                      <w:marTop w:val="0"/>
                      <w:marBottom w:val="0"/>
                      <w:divBdr>
                        <w:top w:val="none" w:sz="0" w:space="0" w:color="auto"/>
                        <w:left w:val="none" w:sz="0" w:space="0" w:color="auto"/>
                        <w:bottom w:val="none" w:sz="0" w:space="0" w:color="auto"/>
                        <w:right w:val="none" w:sz="0" w:space="0" w:color="auto"/>
                      </w:divBdr>
                      <w:divsChild>
                        <w:div w:id="824323920">
                          <w:marLeft w:val="0"/>
                          <w:marRight w:val="0"/>
                          <w:marTop w:val="0"/>
                          <w:marBottom w:val="0"/>
                          <w:divBdr>
                            <w:top w:val="none" w:sz="0" w:space="0" w:color="auto"/>
                            <w:left w:val="none" w:sz="0" w:space="0" w:color="auto"/>
                            <w:bottom w:val="none" w:sz="0" w:space="0" w:color="auto"/>
                            <w:right w:val="none" w:sz="0" w:space="0" w:color="auto"/>
                          </w:divBdr>
                          <w:divsChild>
                            <w:div w:id="649091380">
                              <w:marLeft w:val="0"/>
                              <w:marRight w:val="0"/>
                              <w:marTop w:val="0"/>
                              <w:marBottom w:val="0"/>
                              <w:divBdr>
                                <w:top w:val="none" w:sz="0" w:space="0" w:color="auto"/>
                                <w:left w:val="none" w:sz="0" w:space="0" w:color="auto"/>
                                <w:bottom w:val="none" w:sz="0" w:space="0" w:color="auto"/>
                                <w:right w:val="none" w:sz="0" w:space="0" w:color="auto"/>
                              </w:divBdr>
                            </w:div>
                            <w:div w:id="1323121130">
                              <w:marLeft w:val="0"/>
                              <w:marRight w:val="0"/>
                              <w:marTop w:val="0"/>
                              <w:marBottom w:val="0"/>
                              <w:divBdr>
                                <w:top w:val="none" w:sz="0" w:space="0" w:color="auto"/>
                                <w:left w:val="none" w:sz="0" w:space="0" w:color="auto"/>
                                <w:bottom w:val="none" w:sz="0" w:space="0" w:color="auto"/>
                                <w:right w:val="none" w:sz="0" w:space="0" w:color="auto"/>
                              </w:divBdr>
                            </w:div>
                            <w:div w:id="14649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362984">
      <w:bodyDiv w:val="1"/>
      <w:marLeft w:val="0"/>
      <w:marRight w:val="0"/>
      <w:marTop w:val="0"/>
      <w:marBottom w:val="0"/>
      <w:divBdr>
        <w:top w:val="none" w:sz="0" w:space="0" w:color="auto"/>
        <w:left w:val="none" w:sz="0" w:space="0" w:color="auto"/>
        <w:bottom w:val="none" w:sz="0" w:space="0" w:color="auto"/>
        <w:right w:val="none" w:sz="0" w:space="0" w:color="auto"/>
      </w:divBdr>
    </w:div>
    <w:div w:id="1422146775">
      <w:bodyDiv w:val="1"/>
      <w:marLeft w:val="0"/>
      <w:marRight w:val="0"/>
      <w:marTop w:val="0"/>
      <w:marBottom w:val="0"/>
      <w:divBdr>
        <w:top w:val="none" w:sz="0" w:space="0" w:color="auto"/>
        <w:left w:val="none" w:sz="0" w:space="0" w:color="auto"/>
        <w:bottom w:val="none" w:sz="0" w:space="0" w:color="auto"/>
        <w:right w:val="none" w:sz="0" w:space="0" w:color="auto"/>
      </w:divBdr>
      <w:divsChild>
        <w:div w:id="348334408">
          <w:marLeft w:val="0"/>
          <w:marRight w:val="0"/>
          <w:marTop w:val="0"/>
          <w:marBottom w:val="0"/>
          <w:divBdr>
            <w:top w:val="none" w:sz="0" w:space="0" w:color="auto"/>
            <w:left w:val="none" w:sz="0" w:space="0" w:color="auto"/>
            <w:bottom w:val="none" w:sz="0" w:space="0" w:color="auto"/>
            <w:right w:val="none" w:sz="0" w:space="0" w:color="auto"/>
          </w:divBdr>
          <w:divsChild>
            <w:div w:id="2079010846">
              <w:marLeft w:val="0"/>
              <w:marRight w:val="0"/>
              <w:marTop w:val="0"/>
              <w:marBottom w:val="0"/>
              <w:divBdr>
                <w:top w:val="none" w:sz="0" w:space="0" w:color="auto"/>
                <w:left w:val="none" w:sz="0" w:space="0" w:color="auto"/>
                <w:bottom w:val="none" w:sz="0" w:space="0" w:color="auto"/>
                <w:right w:val="none" w:sz="0" w:space="0" w:color="auto"/>
              </w:divBdr>
              <w:divsChild>
                <w:div w:id="1974287">
                  <w:marLeft w:val="0"/>
                  <w:marRight w:val="0"/>
                  <w:marTop w:val="0"/>
                  <w:marBottom w:val="0"/>
                  <w:divBdr>
                    <w:top w:val="none" w:sz="0" w:space="0" w:color="auto"/>
                    <w:left w:val="none" w:sz="0" w:space="0" w:color="auto"/>
                    <w:bottom w:val="none" w:sz="0" w:space="0" w:color="auto"/>
                    <w:right w:val="none" w:sz="0" w:space="0" w:color="auto"/>
                  </w:divBdr>
                  <w:divsChild>
                    <w:div w:id="1308240969">
                      <w:marLeft w:val="0"/>
                      <w:marRight w:val="0"/>
                      <w:marTop w:val="0"/>
                      <w:marBottom w:val="0"/>
                      <w:divBdr>
                        <w:top w:val="none" w:sz="0" w:space="0" w:color="auto"/>
                        <w:left w:val="none" w:sz="0" w:space="0" w:color="auto"/>
                        <w:bottom w:val="none" w:sz="0" w:space="0" w:color="auto"/>
                        <w:right w:val="none" w:sz="0" w:space="0" w:color="auto"/>
                      </w:divBdr>
                      <w:divsChild>
                        <w:div w:id="354157707">
                          <w:marLeft w:val="0"/>
                          <w:marRight w:val="0"/>
                          <w:marTop w:val="0"/>
                          <w:marBottom w:val="0"/>
                          <w:divBdr>
                            <w:top w:val="none" w:sz="0" w:space="0" w:color="auto"/>
                            <w:left w:val="none" w:sz="0" w:space="0" w:color="auto"/>
                            <w:bottom w:val="none" w:sz="0" w:space="0" w:color="auto"/>
                            <w:right w:val="none" w:sz="0" w:space="0" w:color="auto"/>
                          </w:divBdr>
                          <w:divsChild>
                            <w:div w:id="15881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850256">
      <w:bodyDiv w:val="1"/>
      <w:marLeft w:val="0"/>
      <w:marRight w:val="0"/>
      <w:marTop w:val="0"/>
      <w:marBottom w:val="0"/>
      <w:divBdr>
        <w:top w:val="none" w:sz="0" w:space="0" w:color="auto"/>
        <w:left w:val="none" w:sz="0" w:space="0" w:color="auto"/>
        <w:bottom w:val="none" w:sz="0" w:space="0" w:color="auto"/>
        <w:right w:val="none" w:sz="0" w:space="0" w:color="auto"/>
      </w:divBdr>
    </w:div>
    <w:div w:id="1435710706">
      <w:bodyDiv w:val="1"/>
      <w:marLeft w:val="0"/>
      <w:marRight w:val="0"/>
      <w:marTop w:val="0"/>
      <w:marBottom w:val="0"/>
      <w:divBdr>
        <w:top w:val="none" w:sz="0" w:space="0" w:color="auto"/>
        <w:left w:val="none" w:sz="0" w:space="0" w:color="auto"/>
        <w:bottom w:val="none" w:sz="0" w:space="0" w:color="auto"/>
        <w:right w:val="none" w:sz="0" w:space="0" w:color="auto"/>
      </w:divBdr>
      <w:divsChild>
        <w:div w:id="265581972">
          <w:marLeft w:val="0"/>
          <w:marRight w:val="0"/>
          <w:marTop w:val="0"/>
          <w:marBottom w:val="0"/>
          <w:divBdr>
            <w:top w:val="none" w:sz="0" w:space="0" w:color="auto"/>
            <w:left w:val="none" w:sz="0" w:space="0" w:color="auto"/>
            <w:bottom w:val="none" w:sz="0" w:space="0" w:color="auto"/>
            <w:right w:val="none" w:sz="0" w:space="0" w:color="auto"/>
          </w:divBdr>
          <w:divsChild>
            <w:div w:id="704450161">
              <w:marLeft w:val="0"/>
              <w:marRight w:val="0"/>
              <w:marTop w:val="0"/>
              <w:marBottom w:val="0"/>
              <w:divBdr>
                <w:top w:val="none" w:sz="0" w:space="0" w:color="auto"/>
                <w:left w:val="none" w:sz="0" w:space="0" w:color="auto"/>
                <w:bottom w:val="none" w:sz="0" w:space="0" w:color="auto"/>
                <w:right w:val="none" w:sz="0" w:space="0" w:color="auto"/>
              </w:divBdr>
              <w:divsChild>
                <w:div w:id="439496685">
                  <w:marLeft w:val="0"/>
                  <w:marRight w:val="0"/>
                  <w:marTop w:val="0"/>
                  <w:marBottom w:val="0"/>
                  <w:divBdr>
                    <w:top w:val="none" w:sz="0" w:space="0" w:color="auto"/>
                    <w:left w:val="none" w:sz="0" w:space="0" w:color="auto"/>
                    <w:bottom w:val="none" w:sz="0" w:space="0" w:color="auto"/>
                    <w:right w:val="none" w:sz="0" w:space="0" w:color="auto"/>
                  </w:divBdr>
                  <w:divsChild>
                    <w:div w:id="501630288">
                      <w:marLeft w:val="0"/>
                      <w:marRight w:val="0"/>
                      <w:marTop w:val="0"/>
                      <w:marBottom w:val="0"/>
                      <w:divBdr>
                        <w:top w:val="none" w:sz="0" w:space="0" w:color="auto"/>
                        <w:left w:val="none" w:sz="0" w:space="0" w:color="auto"/>
                        <w:bottom w:val="none" w:sz="0" w:space="0" w:color="auto"/>
                        <w:right w:val="none" w:sz="0" w:space="0" w:color="auto"/>
                      </w:divBdr>
                      <w:divsChild>
                        <w:div w:id="1844776168">
                          <w:marLeft w:val="0"/>
                          <w:marRight w:val="0"/>
                          <w:marTop w:val="0"/>
                          <w:marBottom w:val="0"/>
                          <w:divBdr>
                            <w:top w:val="none" w:sz="0" w:space="0" w:color="auto"/>
                            <w:left w:val="none" w:sz="0" w:space="0" w:color="auto"/>
                            <w:bottom w:val="none" w:sz="0" w:space="0" w:color="auto"/>
                            <w:right w:val="none" w:sz="0" w:space="0" w:color="auto"/>
                          </w:divBdr>
                          <w:divsChild>
                            <w:div w:id="18585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940829">
      <w:bodyDiv w:val="1"/>
      <w:marLeft w:val="0"/>
      <w:marRight w:val="0"/>
      <w:marTop w:val="0"/>
      <w:marBottom w:val="0"/>
      <w:divBdr>
        <w:top w:val="none" w:sz="0" w:space="0" w:color="auto"/>
        <w:left w:val="none" w:sz="0" w:space="0" w:color="auto"/>
        <w:bottom w:val="none" w:sz="0" w:space="0" w:color="auto"/>
        <w:right w:val="none" w:sz="0" w:space="0" w:color="auto"/>
      </w:divBdr>
    </w:div>
    <w:div w:id="1449741817">
      <w:bodyDiv w:val="1"/>
      <w:marLeft w:val="0"/>
      <w:marRight w:val="0"/>
      <w:marTop w:val="0"/>
      <w:marBottom w:val="0"/>
      <w:divBdr>
        <w:top w:val="none" w:sz="0" w:space="0" w:color="auto"/>
        <w:left w:val="none" w:sz="0" w:space="0" w:color="auto"/>
        <w:bottom w:val="none" w:sz="0" w:space="0" w:color="auto"/>
        <w:right w:val="none" w:sz="0" w:space="0" w:color="auto"/>
      </w:divBdr>
      <w:divsChild>
        <w:div w:id="969867850">
          <w:marLeft w:val="0"/>
          <w:marRight w:val="0"/>
          <w:marTop w:val="0"/>
          <w:marBottom w:val="0"/>
          <w:divBdr>
            <w:top w:val="none" w:sz="0" w:space="0" w:color="auto"/>
            <w:left w:val="none" w:sz="0" w:space="0" w:color="auto"/>
            <w:bottom w:val="none" w:sz="0" w:space="0" w:color="auto"/>
            <w:right w:val="none" w:sz="0" w:space="0" w:color="auto"/>
          </w:divBdr>
        </w:div>
        <w:div w:id="1279528444">
          <w:marLeft w:val="0"/>
          <w:marRight w:val="0"/>
          <w:marTop w:val="0"/>
          <w:marBottom w:val="0"/>
          <w:divBdr>
            <w:top w:val="none" w:sz="0" w:space="0" w:color="auto"/>
            <w:left w:val="none" w:sz="0" w:space="0" w:color="auto"/>
            <w:bottom w:val="none" w:sz="0" w:space="0" w:color="auto"/>
            <w:right w:val="none" w:sz="0" w:space="0" w:color="auto"/>
          </w:divBdr>
        </w:div>
        <w:div w:id="2099865278">
          <w:marLeft w:val="0"/>
          <w:marRight w:val="0"/>
          <w:marTop w:val="0"/>
          <w:marBottom w:val="0"/>
          <w:divBdr>
            <w:top w:val="none" w:sz="0" w:space="0" w:color="auto"/>
            <w:left w:val="none" w:sz="0" w:space="0" w:color="auto"/>
            <w:bottom w:val="none" w:sz="0" w:space="0" w:color="auto"/>
            <w:right w:val="none" w:sz="0" w:space="0" w:color="auto"/>
          </w:divBdr>
        </w:div>
      </w:divsChild>
    </w:div>
    <w:div w:id="1455908680">
      <w:bodyDiv w:val="1"/>
      <w:marLeft w:val="0"/>
      <w:marRight w:val="0"/>
      <w:marTop w:val="0"/>
      <w:marBottom w:val="0"/>
      <w:divBdr>
        <w:top w:val="none" w:sz="0" w:space="0" w:color="auto"/>
        <w:left w:val="none" w:sz="0" w:space="0" w:color="auto"/>
        <w:bottom w:val="none" w:sz="0" w:space="0" w:color="auto"/>
        <w:right w:val="none" w:sz="0" w:space="0" w:color="auto"/>
      </w:divBdr>
    </w:div>
    <w:div w:id="1461729195">
      <w:bodyDiv w:val="1"/>
      <w:marLeft w:val="0"/>
      <w:marRight w:val="0"/>
      <w:marTop w:val="0"/>
      <w:marBottom w:val="0"/>
      <w:divBdr>
        <w:top w:val="none" w:sz="0" w:space="0" w:color="auto"/>
        <w:left w:val="none" w:sz="0" w:space="0" w:color="auto"/>
        <w:bottom w:val="none" w:sz="0" w:space="0" w:color="auto"/>
        <w:right w:val="none" w:sz="0" w:space="0" w:color="auto"/>
      </w:divBdr>
      <w:divsChild>
        <w:div w:id="1067921587">
          <w:marLeft w:val="547"/>
          <w:marRight w:val="0"/>
          <w:marTop w:val="160"/>
          <w:marBottom w:val="0"/>
          <w:divBdr>
            <w:top w:val="none" w:sz="0" w:space="0" w:color="auto"/>
            <w:left w:val="none" w:sz="0" w:space="0" w:color="auto"/>
            <w:bottom w:val="none" w:sz="0" w:space="0" w:color="auto"/>
            <w:right w:val="none" w:sz="0" w:space="0" w:color="auto"/>
          </w:divBdr>
        </w:div>
        <w:div w:id="1324048283">
          <w:marLeft w:val="547"/>
          <w:marRight w:val="0"/>
          <w:marTop w:val="160"/>
          <w:marBottom w:val="0"/>
          <w:divBdr>
            <w:top w:val="none" w:sz="0" w:space="0" w:color="auto"/>
            <w:left w:val="none" w:sz="0" w:space="0" w:color="auto"/>
            <w:bottom w:val="none" w:sz="0" w:space="0" w:color="auto"/>
            <w:right w:val="none" w:sz="0" w:space="0" w:color="auto"/>
          </w:divBdr>
        </w:div>
        <w:div w:id="1604848362">
          <w:marLeft w:val="547"/>
          <w:marRight w:val="0"/>
          <w:marTop w:val="160"/>
          <w:marBottom w:val="0"/>
          <w:divBdr>
            <w:top w:val="none" w:sz="0" w:space="0" w:color="auto"/>
            <w:left w:val="none" w:sz="0" w:space="0" w:color="auto"/>
            <w:bottom w:val="none" w:sz="0" w:space="0" w:color="auto"/>
            <w:right w:val="none" w:sz="0" w:space="0" w:color="auto"/>
          </w:divBdr>
        </w:div>
        <w:div w:id="1642535436">
          <w:marLeft w:val="547"/>
          <w:marRight w:val="0"/>
          <w:marTop w:val="160"/>
          <w:marBottom w:val="0"/>
          <w:divBdr>
            <w:top w:val="none" w:sz="0" w:space="0" w:color="auto"/>
            <w:left w:val="none" w:sz="0" w:space="0" w:color="auto"/>
            <w:bottom w:val="none" w:sz="0" w:space="0" w:color="auto"/>
            <w:right w:val="none" w:sz="0" w:space="0" w:color="auto"/>
          </w:divBdr>
        </w:div>
        <w:div w:id="1941985072">
          <w:marLeft w:val="547"/>
          <w:marRight w:val="0"/>
          <w:marTop w:val="160"/>
          <w:marBottom w:val="0"/>
          <w:divBdr>
            <w:top w:val="none" w:sz="0" w:space="0" w:color="auto"/>
            <w:left w:val="none" w:sz="0" w:space="0" w:color="auto"/>
            <w:bottom w:val="none" w:sz="0" w:space="0" w:color="auto"/>
            <w:right w:val="none" w:sz="0" w:space="0" w:color="auto"/>
          </w:divBdr>
        </w:div>
      </w:divsChild>
    </w:div>
    <w:div w:id="1497916870">
      <w:bodyDiv w:val="1"/>
      <w:marLeft w:val="0"/>
      <w:marRight w:val="0"/>
      <w:marTop w:val="0"/>
      <w:marBottom w:val="0"/>
      <w:divBdr>
        <w:top w:val="none" w:sz="0" w:space="0" w:color="auto"/>
        <w:left w:val="none" w:sz="0" w:space="0" w:color="auto"/>
        <w:bottom w:val="none" w:sz="0" w:space="0" w:color="auto"/>
        <w:right w:val="none" w:sz="0" w:space="0" w:color="auto"/>
      </w:divBdr>
    </w:div>
    <w:div w:id="1503355311">
      <w:bodyDiv w:val="1"/>
      <w:marLeft w:val="0"/>
      <w:marRight w:val="0"/>
      <w:marTop w:val="0"/>
      <w:marBottom w:val="0"/>
      <w:divBdr>
        <w:top w:val="none" w:sz="0" w:space="0" w:color="auto"/>
        <w:left w:val="none" w:sz="0" w:space="0" w:color="auto"/>
        <w:bottom w:val="none" w:sz="0" w:space="0" w:color="auto"/>
        <w:right w:val="none" w:sz="0" w:space="0" w:color="auto"/>
      </w:divBdr>
    </w:div>
    <w:div w:id="1522277699">
      <w:bodyDiv w:val="1"/>
      <w:marLeft w:val="0"/>
      <w:marRight w:val="0"/>
      <w:marTop w:val="0"/>
      <w:marBottom w:val="0"/>
      <w:divBdr>
        <w:top w:val="none" w:sz="0" w:space="0" w:color="auto"/>
        <w:left w:val="none" w:sz="0" w:space="0" w:color="auto"/>
        <w:bottom w:val="none" w:sz="0" w:space="0" w:color="auto"/>
        <w:right w:val="none" w:sz="0" w:space="0" w:color="auto"/>
      </w:divBdr>
    </w:div>
    <w:div w:id="1551842904">
      <w:bodyDiv w:val="1"/>
      <w:marLeft w:val="0"/>
      <w:marRight w:val="0"/>
      <w:marTop w:val="0"/>
      <w:marBottom w:val="0"/>
      <w:divBdr>
        <w:top w:val="none" w:sz="0" w:space="0" w:color="auto"/>
        <w:left w:val="none" w:sz="0" w:space="0" w:color="auto"/>
        <w:bottom w:val="none" w:sz="0" w:space="0" w:color="auto"/>
        <w:right w:val="none" w:sz="0" w:space="0" w:color="auto"/>
      </w:divBdr>
    </w:div>
    <w:div w:id="1552574500">
      <w:bodyDiv w:val="1"/>
      <w:marLeft w:val="0"/>
      <w:marRight w:val="0"/>
      <w:marTop w:val="0"/>
      <w:marBottom w:val="0"/>
      <w:divBdr>
        <w:top w:val="none" w:sz="0" w:space="0" w:color="auto"/>
        <w:left w:val="none" w:sz="0" w:space="0" w:color="auto"/>
        <w:bottom w:val="none" w:sz="0" w:space="0" w:color="auto"/>
        <w:right w:val="none" w:sz="0" w:space="0" w:color="auto"/>
      </w:divBdr>
    </w:div>
    <w:div w:id="1556964844">
      <w:bodyDiv w:val="1"/>
      <w:marLeft w:val="0"/>
      <w:marRight w:val="0"/>
      <w:marTop w:val="0"/>
      <w:marBottom w:val="0"/>
      <w:divBdr>
        <w:top w:val="none" w:sz="0" w:space="0" w:color="auto"/>
        <w:left w:val="none" w:sz="0" w:space="0" w:color="auto"/>
        <w:bottom w:val="none" w:sz="0" w:space="0" w:color="auto"/>
        <w:right w:val="none" w:sz="0" w:space="0" w:color="auto"/>
      </w:divBdr>
    </w:div>
    <w:div w:id="1579828091">
      <w:bodyDiv w:val="1"/>
      <w:marLeft w:val="0"/>
      <w:marRight w:val="0"/>
      <w:marTop w:val="0"/>
      <w:marBottom w:val="0"/>
      <w:divBdr>
        <w:top w:val="none" w:sz="0" w:space="0" w:color="auto"/>
        <w:left w:val="none" w:sz="0" w:space="0" w:color="auto"/>
        <w:bottom w:val="none" w:sz="0" w:space="0" w:color="auto"/>
        <w:right w:val="none" w:sz="0" w:space="0" w:color="auto"/>
      </w:divBdr>
    </w:div>
    <w:div w:id="1592424580">
      <w:bodyDiv w:val="1"/>
      <w:marLeft w:val="0"/>
      <w:marRight w:val="0"/>
      <w:marTop w:val="0"/>
      <w:marBottom w:val="0"/>
      <w:divBdr>
        <w:top w:val="none" w:sz="0" w:space="0" w:color="auto"/>
        <w:left w:val="none" w:sz="0" w:space="0" w:color="auto"/>
        <w:bottom w:val="none" w:sz="0" w:space="0" w:color="auto"/>
        <w:right w:val="none" w:sz="0" w:space="0" w:color="auto"/>
      </w:divBdr>
    </w:div>
    <w:div w:id="1595898658">
      <w:bodyDiv w:val="1"/>
      <w:marLeft w:val="0"/>
      <w:marRight w:val="0"/>
      <w:marTop w:val="0"/>
      <w:marBottom w:val="0"/>
      <w:divBdr>
        <w:top w:val="none" w:sz="0" w:space="0" w:color="auto"/>
        <w:left w:val="none" w:sz="0" w:space="0" w:color="auto"/>
        <w:bottom w:val="none" w:sz="0" w:space="0" w:color="auto"/>
        <w:right w:val="none" w:sz="0" w:space="0" w:color="auto"/>
      </w:divBdr>
    </w:div>
    <w:div w:id="1601259897">
      <w:bodyDiv w:val="1"/>
      <w:marLeft w:val="0"/>
      <w:marRight w:val="0"/>
      <w:marTop w:val="0"/>
      <w:marBottom w:val="0"/>
      <w:divBdr>
        <w:top w:val="none" w:sz="0" w:space="0" w:color="auto"/>
        <w:left w:val="none" w:sz="0" w:space="0" w:color="auto"/>
        <w:bottom w:val="none" w:sz="0" w:space="0" w:color="auto"/>
        <w:right w:val="none" w:sz="0" w:space="0" w:color="auto"/>
      </w:divBdr>
      <w:divsChild>
        <w:div w:id="847213562">
          <w:marLeft w:val="0"/>
          <w:marRight w:val="0"/>
          <w:marTop w:val="0"/>
          <w:marBottom w:val="0"/>
          <w:divBdr>
            <w:top w:val="none" w:sz="0" w:space="0" w:color="auto"/>
            <w:left w:val="none" w:sz="0" w:space="0" w:color="auto"/>
            <w:bottom w:val="none" w:sz="0" w:space="0" w:color="auto"/>
            <w:right w:val="none" w:sz="0" w:space="0" w:color="auto"/>
          </w:divBdr>
          <w:divsChild>
            <w:div w:id="1162428802">
              <w:marLeft w:val="0"/>
              <w:marRight w:val="0"/>
              <w:marTop w:val="0"/>
              <w:marBottom w:val="0"/>
              <w:divBdr>
                <w:top w:val="none" w:sz="0" w:space="0" w:color="auto"/>
                <w:left w:val="none" w:sz="0" w:space="0" w:color="auto"/>
                <w:bottom w:val="none" w:sz="0" w:space="0" w:color="auto"/>
                <w:right w:val="none" w:sz="0" w:space="0" w:color="auto"/>
              </w:divBdr>
              <w:divsChild>
                <w:div w:id="18989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7671">
          <w:marLeft w:val="0"/>
          <w:marRight w:val="0"/>
          <w:marTop w:val="0"/>
          <w:marBottom w:val="0"/>
          <w:divBdr>
            <w:top w:val="none" w:sz="0" w:space="0" w:color="auto"/>
            <w:left w:val="none" w:sz="0" w:space="0" w:color="auto"/>
            <w:bottom w:val="none" w:sz="0" w:space="0" w:color="auto"/>
            <w:right w:val="none" w:sz="0" w:space="0" w:color="auto"/>
          </w:divBdr>
          <w:divsChild>
            <w:div w:id="413598849">
              <w:marLeft w:val="0"/>
              <w:marRight w:val="0"/>
              <w:marTop w:val="0"/>
              <w:marBottom w:val="0"/>
              <w:divBdr>
                <w:top w:val="none" w:sz="0" w:space="0" w:color="auto"/>
                <w:left w:val="none" w:sz="0" w:space="0" w:color="auto"/>
                <w:bottom w:val="none" w:sz="0" w:space="0" w:color="auto"/>
                <w:right w:val="none" w:sz="0" w:space="0" w:color="auto"/>
              </w:divBdr>
              <w:divsChild>
                <w:div w:id="313535218">
                  <w:marLeft w:val="0"/>
                  <w:marRight w:val="0"/>
                  <w:marTop w:val="0"/>
                  <w:marBottom w:val="0"/>
                  <w:divBdr>
                    <w:top w:val="none" w:sz="0" w:space="0" w:color="auto"/>
                    <w:left w:val="none" w:sz="0" w:space="0" w:color="auto"/>
                    <w:bottom w:val="none" w:sz="0" w:space="0" w:color="auto"/>
                    <w:right w:val="none" w:sz="0" w:space="0" w:color="auto"/>
                  </w:divBdr>
                </w:div>
                <w:div w:id="1070540826">
                  <w:marLeft w:val="0"/>
                  <w:marRight w:val="0"/>
                  <w:marTop w:val="0"/>
                  <w:marBottom w:val="0"/>
                  <w:divBdr>
                    <w:top w:val="none" w:sz="0" w:space="0" w:color="auto"/>
                    <w:left w:val="none" w:sz="0" w:space="0" w:color="auto"/>
                    <w:bottom w:val="none" w:sz="0" w:space="0" w:color="auto"/>
                    <w:right w:val="none" w:sz="0" w:space="0" w:color="auto"/>
                  </w:divBdr>
                </w:div>
              </w:divsChild>
            </w:div>
            <w:div w:id="669332440">
              <w:marLeft w:val="0"/>
              <w:marRight w:val="0"/>
              <w:marTop w:val="0"/>
              <w:marBottom w:val="0"/>
              <w:divBdr>
                <w:top w:val="none" w:sz="0" w:space="0" w:color="auto"/>
                <w:left w:val="none" w:sz="0" w:space="0" w:color="auto"/>
                <w:bottom w:val="none" w:sz="0" w:space="0" w:color="auto"/>
                <w:right w:val="none" w:sz="0" w:space="0" w:color="auto"/>
              </w:divBdr>
              <w:divsChild>
                <w:div w:id="153838723">
                  <w:marLeft w:val="0"/>
                  <w:marRight w:val="0"/>
                  <w:marTop w:val="0"/>
                  <w:marBottom w:val="0"/>
                  <w:divBdr>
                    <w:top w:val="none" w:sz="0" w:space="0" w:color="auto"/>
                    <w:left w:val="none" w:sz="0" w:space="0" w:color="auto"/>
                    <w:bottom w:val="none" w:sz="0" w:space="0" w:color="auto"/>
                    <w:right w:val="none" w:sz="0" w:space="0" w:color="auto"/>
                  </w:divBdr>
                </w:div>
                <w:div w:id="261685941">
                  <w:marLeft w:val="0"/>
                  <w:marRight w:val="0"/>
                  <w:marTop w:val="0"/>
                  <w:marBottom w:val="0"/>
                  <w:divBdr>
                    <w:top w:val="none" w:sz="0" w:space="0" w:color="auto"/>
                    <w:left w:val="none" w:sz="0" w:space="0" w:color="auto"/>
                    <w:bottom w:val="none" w:sz="0" w:space="0" w:color="auto"/>
                    <w:right w:val="none" w:sz="0" w:space="0" w:color="auto"/>
                  </w:divBdr>
                </w:div>
                <w:div w:id="1803451794">
                  <w:marLeft w:val="0"/>
                  <w:marRight w:val="0"/>
                  <w:marTop w:val="0"/>
                  <w:marBottom w:val="0"/>
                  <w:divBdr>
                    <w:top w:val="none" w:sz="0" w:space="0" w:color="auto"/>
                    <w:left w:val="none" w:sz="0" w:space="0" w:color="auto"/>
                    <w:bottom w:val="none" w:sz="0" w:space="0" w:color="auto"/>
                    <w:right w:val="none" w:sz="0" w:space="0" w:color="auto"/>
                  </w:divBdr>
                </w:div>
                <w:div w:id="1805385996">
                  <w:marLeft w:val="0"/>
                  <w:marRight w:val="0"/>
                  <w:marTop w:val="0"/>
                  <w:marBottom w:val="0"/>
                  <w:divBdr>
                    <w:top w:val="none" w:sz="0" w:space="0" w:color="auto"/>
                    <w:left w:val="none" w:sz="0" w:space="0" w:color="auto"/>
                    <w:bottom w:val="none" w:sz="0" w:space="0" w:color="auto"/>
                    <w:right w:val="none" w:sz="0" w:space="0" w:color="auto"/>
                  </w:divBdr>
                </w:div>
              </w:divsChild>
            </w:div>
            <w:div w:id="866719834">
              <w:marLeft w:val="0"/>
              <w:marRight w:val="0"/>
              <w:marTop w:val="0"/>
              <w:marBottom w:val="0"/>
              <w:divBdr>
                <w:top w:val="none" w:sz="0" w:space="0" w:color="auto"/>
                <w:left w:val="none" w:sz="0" w:space="0" w:color="auto"/>
                <w:bottom w:val="none" w:sz="0" w:space="0" w:color="auto"/>
                <w:right w:val="none" w:sz="0" w:space="0" w:color="auto"/>
              </w:divBdr>
              <w:divsChild>
                <w:div w:id="384447226">
                  <w:marLeft w:val="0"/>
                  <w:marRight w:val="0"/>
                  <w:marTop w:val="0"/>
                  <w:marBottom w:val="0"/>
                  <w:divBdr>
                    <w:top w:val="none" w:sz="0" w:space="0" w:color="auto"/>
                    <w:left w:val="none" w:sz="0" w:space="0" w:color="auto"/>
                    <w:bottom w:val="none" w:sz="0" w:space="0" w:color="auto"/>
                    <w:right w:val="none" w:sz="0" w:space="0" w:color="auto"/>
                  </w:divBdr>
                </w:div>
                <w:div w:id="1103913891">
                  <w:marLeft w:val="0"/>
                  <w:marRight w:val="0"/>
                  <w:marTop w:val="0"/>
                  <w:marBottom w:val="0"/>
                  <w:divBdr>
                    <w:top w:val="none" w:sz="0" w:space="0" w:color="auto"/>
                    <w:left w:val="none" w:sz="0" w:space="0" w:color="auto"/>
                    <w:bottom w:val="none" w:sz="0" w:space="0" w:color="auto"/>
                    <w:right w:val="none" w:sz="0" w:space="0" w:color="auto"/>
                  </w:divBdr>
                </w:div>
              </w:divsChild>
            </w:div>
            <w:div w:id="1114324439">
              <w:marLeft w:val="0"/>
              <w:marRight w:val="0"/>
              <w:marTop w:val="0"/>
              <w:marBottom w:val="0"/>
              <w:divBdr>
                <w:top w:val="none" w:sz="0" w:space="0" w:color="auto"/>
                <w:left w:val="none" w:sz="0" w:space="0" w:color="auto"/>
                <w:bottom w:val="none" w:sz="0" w:space="0" w:color="auto"/>
                <w:right w:val="none" w:sz="0" w:space="0" w:color="auto"/>
              </w:divBdr>
              <w:divsChild>
                <w:div w:id="388498657">
                  <w:marLeft w:val="0"/>
                  <w:marRight w:val="0"/>
                  <w:marTop w:val="0"/>
                  <w:marBottom w:val="0"/>
                  <w:divBdr>
                    <w:top w:val="none" w:sz="0" w:space="0" w:color="auto"/>
                    <w:left w:val="none" w:sz="0" w:space="0" w:color="auto"/>
                    <w:bottom w:val="none" w:sz="0" w:space="0" w:color="auto"/>
                    <w:right w:val="none" w:sz="0" w:space="0" w:color="auto"/>
                  </w:divBdr>
                </w:div>
                <w:div w:id="1855654336">
                  <w:marLeft w:val="0"/>
                  <w:marRight w:val="0"/>
                  <w:marTop w:val="0"/>
                  <w:marBottom w:val="0"/>
                  <w:divBdr>
                    <w:top w:val="none" w:sz="0" w:space="0" w:color="auto"/>
                    <w:left w:val="none" w:sz="0" w:space="0" w:color="auto"/>
                    <w:bottom w:val="none" w:sz="0" w:space="0" w:color="auto"/>
                    <w:right w:val="none" w:sz="0" w:space="0" w:color="auto"/>
                  </w:divBdr>
                </w:div>
              </w:divsChild>
            </w:div>
            <w:div w:id="1517501274">
              <w:marLeft w:val="0"/>
              <w:marRight w:val="0"/>
              <w:marTop w:val="0"/>
              <w:marBottom w:val="0"/>
              <w:divBdr>
                <w:top w:val="none" w:sz="0" w:space="0" w:color="auto"/>
                <w:left w:val="none" w:sz="0" w:space="0" w:color="auto"/>
                <w:bottom w:val="none" w:sz="0" w:space="0" w:color="auto"/>
                <w:right w:val="none" w:sz="0" w:space="0" w:color="auto"/>
              </w:divBdr>
              <w:divsChild>
                <w:div w:id="1261796383">
                  <w:marLeft w:val="0"/>
                  <w:marRight w:val="0"/>
                  <w:marTop w:val="0"/>
                  <w:marBottom w:val="0"/>
                  <w:divBdr>
                    <w:top w:val="none" w:sz="0" w:space="0" w:color="auto"/>
                    <w:left w:val="none" w:sz="0" w:space="0" w:color="auto"/>
                    <w:bottom w:val="none" w:sz="0" w:space="0" w:color="auto"/>
                    <w:right w:val="none" w:sz="0" w:space="0" w:color="auto"/>
                  </w:divBdr>
                </w:div>
                <w:div w:id="1818840549">
                  <w:marLeft w:val="0"/>
                  <w:marRight w:val="0"/>
                  <w:marTop w:val="0"/>
                  <w:marBottom w:val="0"/>
                  <w:divBdr>
                    <w:top w:val="none" w:sz="0" w:space="0" w:color="auto"/>
                    <w:left w:val="none" w:sz="0" w:space="0" w:color="auto"/>
                    <w:bottom w:val="none" w:sz="0" w:space="0" w:color="auto"/>
                    <w:right w:val="none" w:sz="0" w:space="0" w:color="auto"/>
                  </w:divBdr>
                </w:div>
              </w:divsChild>
            </w:div>
            <w:div w:id="1603031357">
              <w:marLeft w:val="0"/>
              <w:marRight w:val="0"/>
              <w:marTop w:val="0"/>
              <w:marBottom w:val="0"/>
              <w:divBdr>
                <w:top w:val="none" w:sz="0" w:space="0" w:color="auto"/>
                <w:left w:val="none" w:sz="0" w:space="0" w:color="auto"/>
                <w:bottom w:val="none" w:sz="0" w:space="0" w:color="auto"/>
                <w:right w:val="none" w:sz="0" w:space="0" w:color="auto"/>
              </w:divBdr>
              <w:divsChild>
                <w:div w:id="151065500">
                  <w:marLeft w:val="0"/>
                  <w:marRight w:val="0"/>
                  <w:marTop w:val="0"/>
                  <w:marBottom w:val="0"/>
                  <w:divBdr>
                    <w:top w:val="none" w:sz="0" w:space="0" w:color="auto"/>
                    <w:left w:val="none" w:sz="0" w:space="0" w:color="auto"/>
                    <w:bottom w:val="none" w:sz="0" w:space="0" w:color="auto"/>
                    <w:right w:val="none" w:sz="0" w:space="0" w:color="auto"/>
                  </w:divBdr>
                </w:div>
                <w:div w:id="20543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76150">
      <w:bodyDiv w:val="1"/>
      <w:marLeft w:val="0"/>
      <w:marRight w:val="0"/>
      <w:marTop w:val="0"/>
      <w:marBottom w:val="0"/>
      <w:divBdr>
        <w:top w:val="none" w:sz="0" w:space="0" w:color="auto"/>
        <w:left w:val="none" w:sz="0" w:space="0" w:color="auto"/>
        <w:bottom w:val="none" w:sz="0" w:space="0" w:color="auto"/>
        <w:right w:val="none" w:sz="0" w:space="0" w:color="auto"/>
      </w:divBdr>
    </w:div>
    <w:div w:id="1638683169">
      <w:bodyDiv w:val="1"/>
      <w:marLeft w:val="0"/>
      <w:marRight w:val="0"/>
      <w:marTop w:val="0"/>
      <w:marBottom w:val="0"/>
      <w:divBdr>
        <w:top w:val="none" w:sz="0" w:space="0" w:color="auto"/>
        <w:left w:val="none" w:sz="0" w:space="0" w:color="auto"/>
        <w:bottom w:val="none" w:sz="0" w:space="0" w:color="auto"/>
        <w:right w:val="none" w:sz="0" w:space="0" w:color="auto"/>
      </w:divBdr>
    </w:div>
    <w:div w:id="1643805036">
      <w:bodyDiv w:val="1"/>
      <w:marLeft w:val="0"/>
      <w:marRight w:val="0"/>
      <w:marTop w:val="0"/>
      <w:marBottom w:val="0"/>
      <w:divBdr>
        <w:top w:val="none" w:sz="0" w:space="0" w:color="auto"/>
        <w:left w:val="none" w:sz="0" w:space="0" w:color="auto"/>
        <w:bottom w:val="none" w:sz="0" w:space="0" w:color="auto"/>
        <w:right w:val="none" w:sz="0" w:space="0" w:color="auto"/>
      </w:divBdr>
    </w:div>
    <w:div w:id="1647317914">
      <w:bodyDiv w:val="1"/>
      <w:marLeft w:val="0"/>
      <w:marRight w:val="0"/>
      <w:marTop w:val="0"/>
      <w:marBottom w:val="0"/>
      <w:divBdr>
        <w:top w:val="none" w:sz="0" w:space="0" w:color="auto"/>
        <w:left w:val="none" w:sz="0" w:space="0" w:color="auto"/>
        <w:bottom w:val="none" w:sz="0" w:space="0" w:color="auto"/>
        <w:right w:val="none" w:sz="0" w:space="0" w:color="auto"/>
      </w:divBdr>
    </w:div>
    <w:div w:id="1664503173">
      <w:bodyDiv w:val="1"/>
      <w:marLeft w:val="0"/>
      <w:marRight w:val="0"/>
      <w:marTop w:val="0"/>
      <w:marBottom w:val="0"/>
      <w:divBdr>
        <w:top w:val="none" w:sz="0" w:space="0" w:color="auto"/>
        <w:left w:val="none" w:sz="0" w:space="0" w:color="auto"/>
        <w:bottom w:val="none" w:sz="0" w:space="0" w:color="auto"/>
        <w:right w:val="none" w:sz="0" w:space="0" w:color="auto"/>
      </w:divBdr>
    </w:div>
    <w:div w:id="1681083665">
      <w:bodyDiv w:val="1"/>
      <w:marLeft w:val="0"/>
      <w:marRight w:val="0"/>
      <w:marTop w:val="0"/>
      <w:marBottom w:val="0"/>
      <w:divBdr>
        <w:top w:val="none" w:sz="0" w:space="0" w:color="auto"/>
        <w:left w:val="none" w:sz="0" w:space="0" w:color="auto"/>
        <w:bottom w:val="none" w:sz="0" w:space="0" w:color="auto"/>
        <w:right w:val="none" w:sz="0" w:space="0" w:color="auto"/>
      </w:divBdr>
    </w:div>
    <w:div w:id="1691376939">
      <w:bodyDiv w:val="1"/>
      <w:marLeft w:val="0"/>
      <w:marRight w:val="0"/>
      <w:marTop w:val="0"/>
      <w:marBottom w:val="0"/>
      <w:divBdr>
        <w:top w:val="none" w:sz="0" w:space="0" w:color="auto"/>
        <w:left w:val="none" w:sz="0" w:space="0" w:color="auto"/>
        <w:bottom w:val="none" w:sz="0" w:space="0" w:color="auto"/>
        <w:right w:val="none" w:sz="0" w:space="0" w:color="auto"/>
      </w:divBdr>
    </w:div>
    <w:div w:id="1700086720">
      <w:bodyDiv w:val="1"/>
      <w:marLeft w:val="0"/>
      <w:marRight w:val="0"/>
      <w:marTop w:val="0"/>
      <w:marBottom w:val="0"/>
      <w:divBdr>
        <w:top w:val="none" w:sz="0" w:space="0" w:color="auto"/>
        <w:left w:val="none" w:sz="0" w:space="0" w:color="auto"/>
        <w:bottom w:val="none" w:sz="0" w:space="0" w:color="auto"/>
        <w:right w:val="none" w:sz="0" w:space="0" w:color="auto"/>
      </w:divBdr>
      <w:divsChild>
        <w:div w:id="487864103">
          <w:marLeft w:val="0"/>
          <w:marRight w:val="0"/>
          <w:marTop w:val="0"/>
          <w:marBottom w:val="0"/>
          <w:divBdr>
            <w:top w:val="none" w:sz="0" w:space="0" w:color="auto"/>
            <w:left w:val="none" w:sz="0" w:space="0" w:color="auto"/>
            <w:bottom w:val="none" w:sz="0" w:space="0" w:color="auto"/>
            <w:right w:val="none" w:sz="0" w:space="0" w:color="auto"/>
          </w:divBdr>
          <w:divsChild>
            <w:div w:id="1145857726">
              <w:marLeft w:val="0"/>
              <w:marRight w:val="0"/>
              <w:marTop w:val="0"/>
              <w:marBottom w:val="0"/>
              <w:divBdr>
                <w:top w:val="none" w:sz="0" w:space="0" w:color="auto"/>
                <w:left w:val="none" w:sz="0" w:space="0" w:color="auto"/>
                <w:bottom w:val="none" w:sz="0" w:space="0" w:color="auto"/>
                <w:right w:val="none" w:sz="0" w:space="0" w:color="auto"/>
              </w:divBdr>
              <w:divsChild>
                <w:div w:id="693116588">
                  <w:marLeft w:val="0"/>
                  <w:marRight w:val="0"/>
                  <w:marTop w:val="0"/>
                  <w:marBottom w:val="0"/>
                  <w:divBdr>
                    <w:top w:val="none" w:sz="0" w:space="0" w:color="auto"/>
                    <w:left w:val="none" w:sz="0" w:space="0" w:color="auto"/>
                    <w:bottom w:val="none" w:sz="0" w:space="0" w:color="auto"/>
                    <w:right w:val="none" w:sz="0" w:space="0" w:color="auto"/>
                  </w:divBdr>
                  <w:divsChild>
                    <w:div w:id="1814979118">
                      <w:marLeft w:val="0"/>
                      <w:marRight w:val="0"/>
                      <w:marTop w:val="0"/>
                      <w:marBottom w:val="0"/>
                      <w:divBdr>
                        <w:top w:val="none" w:sz="0" w:space="0" w:color="auto"/>
                        <w:left w:val="none" w:sz="0" w:space="0" w:color="auto"/>
                        <w:bottom w:val="none" w:sz="0" w:space="0" w:color="auto"/>
                        <w:right w:val="none" w:sz="0" w:space="0" w:color="auto"/>
                      </w:divBdr>
                      <w:divsChild>
                        <w:div w:id="1942445676">
                          <w:marLeft w:val="0"/>
                          <w:marRight w:val="0"/>
                          <w:marTop w:val="0"/>
                          <w:marBottom w:val="0"/>
                          <w:divBdr>
                            <w:top w:val="none" w:sz="0" w:space="0" w:color="auto"/>
                            <w:left w:val="none" w:sz="0" w:space="0" w:color="auto"/>
                            <w:bottom w:val="none" w:sz="0" w:space="0" w:color="auto"/>
                            <w:right w:val="none" w:sz="0" w:space="0" w:color="auto"/>
                          </w:divBdr>
                          <w:divsChild>
                            <w:div w:id="4487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011156">
      <w:bodyDiv w:val="1"/>
      <w:marLeft w:val="0"/>
      <w:marRight w:val="0"/>
      <w:marTop w:val="0"/>
      <w:marBottom w:val="0"/>
      <w:divBdr>
        <w:top w:val="none" w:sz="0" w:space="0" w:color="auto"/>
        <w:left w:val="none" w:sz="0" w:space="0" w:color="auto"/>
        <w:bottom w:val="none" w:sz="0" w:space="0" w:color="auto"/>
        <w:right w:val="none" w:sz="0" w:space="0" w:color="auto"/>
      </w:divBdr>
    </w:div>
    <w:div w:id="1720861942">
      <w:bodyDiv w:val="1"/>
      <w:marLeft w:val="0"/>
      <w:marRight w:val="0"/>
      <w:marTop w:val="0"/>
      <w:marBottom w:val="0"/>
      <w:divBdr>
        <w:top w:val="none" w:sz="0" w:space="0" w:color="auto"/>
        <w:left w:val="none" w:sz="0" w:space="0" w:color="auto"/>
        <w:bottom w:val="none" w:sz="0" w:space="0" w:color="auto"/>
        <w:right w:val="none" w:sz="0" w:space="0" w:color="auto"/>
      </w:divBdr>
      <w:divsChild>
        <w:div w:id="345865306">
          <w:marLeft w:val="0"/>
          <w:marRight w:val="0"/>
          <w:marTop w:val="0"/>
          <w:marBottom w:val="0"/>
          <w:divBdr>
            <w:top w:val="none" w:sz="0" w:space="0" w:color="auto"/>
            <w:left w:val="none" w:sz="0" w:space="0" w:color="auto"/>
            <w:bottom w:val="none" w:sz="0" w:space="0" w:color="auto"/>
            <w:right w:val="none" w:sz="0" w:space="0" w:color="auto"/>
          </w:divBdr>
          <w:divsChild>
            <w:div w:id="51931677">
              <w:marLeft w:val="0"/>
              <w:marRight w:val="0"/>
              <w:marTop w:val="0"/>
              <w:marBottom w:val="0"/>
              <w:divBdr>
                <w:top w:val="none" w:sz="0" w:space="0" w:color="auto"/>
                <w:left w:val="none" w:sz="0" w:space="0" w:color="auto"/>
                <w:bottom w:val="none" w:sz="0" w:space="0" w:color="auto"/>
                <w:right w:val="none" w:sz="0" w:space="0" w:color="auto"/>
              </w:divBdr>
              <w:divsChild>
                <w:div w:id="138845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4267">
          <w:marLeft w:val="0"/>
          <w:marRight w:val="0"/>
          <w:marTop w:val="0"/>
          <w:marBottom w:val="0"/>
          <w:divBdr>
            <w:top w:val="none" w:sz="0" w:space="0" w:color="auto"/>
            <w:left w:val="none" w:sz="0" w:space="0" w:color="auto"/>
            <w:bottom w:val="none" w:sz="0" w:space="0" w:color="auto"/>
            <w:right w:val="none" w:sz="0" w:space="0" w:color="auto"/>
          </w:divBdr>
          <w:divsChild>
            <w:div w:id="480078820">
              <w:marLeft w:val="0"/>
              <w:marRight w:val="0"/>
              <w:marTop w:val="0"/>
              <w:marBottom w:val="0"/>
              <w:divBdr>
                <w:top w:val="none" w:sz="0" w:space="0" w:color="auto"/>
                <w:left w:val="none" w:sz="0" w:space="0" w:color="auto"/>
                <w:bottom w:val="none" w:sz="0" w:space="0" w:color="auto"/>
                <w:right w:val="none" w:sz="0" w:space="0" w:color="auto"/>
              </w:divBdr>
              <w:divsChild>
                <w:div w:id="849416444">
                  <w:marLeft w:val="0"/>
                  <w:marRight w:val="0"/>
                  <w:marTop w:val="0"/>
                  <w:marBottom w:val="0"/>
                  <w:divBdr>
                    <w:top w:val="none" w:sz="0" w:space="0" w:color="auto"/>
                    <w:left w:val="none" w:sz="0" w:space="0" w:color="auto"/>
                    <w:bottom w:val="none" w:sz="0" w:space="0" w:color="auto"/>
                    <w:right w:val="none" w:sz="0" w:space="0" w:color="auto"/>
                  </w:divBdr>
                </w:div>
                <w:div w:id="914046234">
                  <w:marLeft w:val="0"/>
                  <w:marRight w:val="0"/>
                  <w:marTop w:val="0"/>
                  <w:marBottom w:val="0"/>
                  <w:divBdr>
                    <w:top w:val="none" w:sz="0" w:space="0" w:color="auto"/>
                    <w:left w:val="none" w:sz="0" w:space="0" w:color="auto"/>
                    <w:bottom w:val="none" w:sz="0" w:space="0" w:color="auto"/>
                    <w:right w:val="none" w:sz="0" w:space="0" w:color="auto"/>
                  </w:divBdr>
                </w:div>
              </w:divsChild>
            </w:div>
            <w:div w:id="607393388">
              <w:marLeft w:val="0"/>
              <w:marRight w:val="0"/>
              <w:marTop w:val="0"/>
              <w:marBottom w:val="0"/>
              <w:divBdr>
                <w:top w:val="none" w:sz="0" w:space="0" w:color="auto"/>
                <w:left w:val="none" w:sz="0" w:space="0" w:color="auto"/>
                <w:bottom w:val="none" w:sz="0" w:space="0" w:color="auto"/>
                <w:right w:val="none" w:sz="0" w:space="0" w:color="auto"/>
              </w:divBdr>
              <w:divsChild>
                <w:div w:id="837765149">
                  <w:marLeft w:val="0"/>
                  <w:marRight w:val="0"/>
                  <w:marTop w:val="0"/>
                  <w:marBottom w:val="0"/>
                  <w:divBdr>
                    <w:top w:val="none" w:sz="0" w:space="0" w:color="auto"/>
                    <w:left w:val="none" w:sz="0" w:space="0" w:color="auto"/>
                    <w:bottom w:val="none" w:sz="0" w:space="0" w:color="auto"/>
                    <w:right w:val="none" w:sz="0" w:space="0" w:color="auto"/>
                  </w:divBdr>
                </w:div>
                <w:div w:id="1655379023">
                  <w:marLeft w:val="0"/>
                  <w:marRight w:val="0"/>
                  <w:marTop w:val="0"/>
                  <w:marBottom w:val="0"/>
                  <w:divBdr>
                    <w:top w:val="none" w:sz="0" w:space="0" w:color="auto"/>
                    <w:left w:val="none" w:sz="0" w:space="0" w:color="auto"/>
                    <w:bottom w:val="none" w:sz="0" w:space="0" w:color="auto"/>
                    <w:right w:val="none" w:sz="0" w:space="0" w:color="auto"/>
                  </w:divBdr>
                </w:div>
              </w:divsChild>
            </w:div>
            <w:div w:id="681662472">
              <w:marLeft w:val="0"/>
              <w:marRight w:val="0"/>
              <w:marTop w:val="0"/>
              <w:marBottom w:val="0"/>
              <w:divBdr>
                <w:top w:val="none" w:sz="0" w:space="0" w:color="auto"/>
                <w:left w:val="none" w:sz="0" w:space="0" w:color="auto"/>
                <w:bottom w:val="none" w:sz="0" w:space="0" w:color="auto"/>
                <w:right w:val="none" w:sz="0" w:space="0" w:color="auto"/>
              </w:divBdr>
              <w:divsChild>
                <w:div w:id="208495140">
                  <w:marLeft w:val="0"/>
                  <w:marRight w:val="0"/>
                  <w:marTop w:val="0"/>
                  <w:marBottom w:val="0"/>
                  <w:divBdr>
                    <w:top w:val="none" w:sz="0" w:space="0" w:color="auto"/>
                    <w:left w:val="none" w:sz="0" w:space="0" w:color="auto"/>
                    <w:bottom w:val="none" w:sz="0" w:space="0" w:color="auto"/>
                    <w:right w:val="none" w:sz="0" w:space="0" w:color="auto"/>
                  </w:divBdr>
                </w:div>
                <w:div w:id="1104181840">
                  <w:marLeft w:val="0"/>
                  <w:marRight w:val="0"/>
                  <w:marTop w:val="0"/>
                  <w:marBottom w:val="0"/>
                  <w:divBdr>
                    <w:top w:val="none" w:sz="0" w:space="0" w:color="auto"/>
                    <w:left w:val="none" w:sz="0" w:space="0" w:color="auto"/>
                    <w:bottom w:val="none" w:sz="0" w:space="0" w:color="auto"/>
                    <w:right w:val="none" w:sz="0" w:space="0" w:color="auto"/>
                  </w:divBdr>
                </w:div>
              </w:divsChild>
            </w:div>
            <w:div w:id="712342685">
              <w:marLeft w:val="0"/>
              <w:marRight w:val="0"/>
              <w:marTop w:val="0"/>
              <w:marBottom w:val="0"/>
              <w:divBdr>
                <w:top w:val="none" w:sz="0" w:space="0" w:color="auto"/>
                <w:left w:val="none" w:sz="0" w:space="0" w:color="auto"/>
                <w:bottom w:val="none" w:sz="0" w:space="0" w:color="auto"/>
                <w:right w:val="none" w:sz="0" w:space="0" w:color="auto"/>
              </w:divBdr>
              <w:divsChild>
                <w:div w:id="997227244">
                  <w:marLeft w:val="0"/>
                  <w:marRight w:val="0"/>
                  <w:marTop w:val="0"/>
                  <w:marBottom w:val="0"/>
                  <w:divBdr>
                    <w:top w:val="none" w:sz="0" w:space="0" w:color="auto"/>
                    <w:left w:val="none" w:sz="0" w:space="0" w:color="auto"/>
                    <w:bottom w:val="none" w:sz="0" w:space="0" w:color="auto"/>
                    <w:right w:val="none" w:sz="0" w:space="0" w:color="auto"/>
                  </w:divBdr>
                </w:div>
                <w:div w:id="1457985503">
                  <w:marLeft w:val="0"/>
                  <w:marRight w:val="0"/>
                  <w:marTop w:val="0"/>
                  <w:marBottom w:val="0"/>
                  <w:divBdr>
                    <w:top w:val="none" w:sz="0" w:space="0" w:color="auto"/>
                    <w:left w:val="none" w:sz="0" w:space="0" w:color="auto"/>
                    <w:bottom w:val="none" w:sz="0" w:space="0" w:color="auto"/>
                    <w:right w:val="none" w:sz="0" w:space="0" w:color="auto"/>
                  </w:divBdr>
                </w:div>
                <w:div w:id="1521355297">
                  <w:marLeft w:val="0"/>
                  <w:marRight w:val="0"/>
                  <w:marTop w:val="0"/>
                  <w:marBottom w:val="0"/>
                  <w:divBdr>
                    <w:top w:val="none" w:sz="0" w:space="0" w:color="auto"/>
                    <w:left w:val="none" w:sz="0" w:space="0" w:color="auto"/>
                    <w:bottom w:val="none" w:sz="0" w:space="0" w:color="auto"/>
                    <w:right w:val="none" w:sz="0" w:space="0" w:color="auto"/>
                  </w:divBdr>
                </w:div>
                <w:div w:id="1656030134">
                  <w:marLeft w:val="0"/>
                  <w:marRight w:val="0"/>
                  <w:marTop w:val="0"/>
                  <w:marBottom w:val="0"/>
                  <w:divBdr>
                    <w:top w:val="none" w:sz="0" w:space="0" w:color="auto"/>
                    <w:left w:val="none" w:sz="0" w:space="0" w:color="auto"/>
                    <w:bottom w:val="none" w:sz="0" w:space="0" w:color="auto"/>
                    <w:right w:val="none" w:sz="0" w:space="0" w:color="auto"/>
                  </w:divBdr>
                </w:div>
              </w:divsChild>
            </w:div>
            <w:div w:id="1656956669">
              <w:marLeft w:val="0"/>
              <w:marRight w:val="0"/>
              <w:marTop w:val="0"/>
              <w:marBottom w:val="0"/>
              <w:divBdr>
                <w:top w:val="none" w:sz="0" w:space="0" w:color="auto"/>
                <w:left w:val="none" w:sz="0" w:space="0" w:color="auto"/>
                <w:bottom w:val="none" w:sz="0" w:space="0" w:color="auto"/>
                <w:right w:val="none" w:sz="0" w:space="0" w:color="auto"/>
              </w:divBdr>
              <w:divsChild>
                <w:div w:id="918365939">
                  <w:marLeft w:val="0"/>
                  <w:marRight w:val="0"/>
                  <w:marTop w:val="0"/>
                  <w:marBottom w:val="0"/>
                  <w:divBdr>
                    <w:top w:val="none" w:sz="0" w:space="0" w:color="auto"/>
                    <w:left w:val="none" w:sz="0" w:space="0" w:color="auto"/>
                    <w:bottom w:val="none" w:sz="0" w:space="0" w:color="auto"/>
                    <w:right w:val="none" w:sz="0" w:space="0" w:color="auto"/>
                  </w:divBdr>
                </w:div>
                <w:div w:id="1300456945">
                  <w:marLeft w:val="0"/>
                  <w:marRight w:val="0"/>
                  <w:marTop w:val="0"/>
                  <w:marBottom w:val="0"/>
                  <w:divBdr>
                    <w:top w:val="none" w:sz="0" w:space="0" w:color="auto"/>
                    <w:left w:val="none" w:sz="0" w:space="0" w:color="auto"/>
                    <w:bottom w:val="none" w:sz="0" w:space="0" w:color="auto"/>
                    <w:right w:val="none" w:sz="0" w:space="0" w:color="auto"/>
                  </w:divBdr>
                </w:div>
              </w:divsChild>
            </w:div>
            <w:div w:id="1815295436">
              <w:marLeft w:val="0"/>
              <w:marRight w:val="0"/>
              <w:marTop w:val="0"/>
              <w:marBottom w:val="0"/>
              <w:divBdr>
                <w:top w:val="none" w:sz="0" w:space="0" w:color="auto"/>
                <w:left w:val="none" w:sz="0" w:space="0" w:color="auto"/>
                <w:bottom w:val="none" w:sz="0" w:space="0" w:color="auto"/>
                <w:right w:val="none" w:sz="0" w:space="0" w:color="auto"/>
              </w:divBdr>
              <w:divsChild>
                <w:div w:id="191193628">
                  <w:marLeft w:val="0"/>
                  <w:marRight w:val="0"/>
                  <w:marTop w:val="0"/>
                  <w:marBottom w:val="0"/>
                  <w:divBdr>
                    <w:top w:val="none" w:sz="0" w:space="0" w:color="auto"/>
                    <w:left w:val="none" w:sz="0" w:space="0" w:color="auto"/>
                    <w:bottom w:val="none" w:sz="0" w:space="0" w:color="auto"/>
                    <w:right w:val="none" w:sz="0" w:space="0" w:color="auto"/>
                  </w:divBdr>
                </w:div>
                <w:div w:id="12834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40867">
      <w:bodyDiv w:val="1"/>
      <w:marLeft w:val="0"/>
      <w:marRight w:val="0"/>
      <w:marTop w:val="0"/>
      <w:marBottom w:val="0"/>
      <w:divBdr>
        <w:top w:val="none" w:sz="0" w:space="0" w:color="auto"/>
        <w:left w:val="none" w:sz="0" w:space="0" w:color="auto"/>
        <w:bottom w:val="none" w:sz="0" w:space="0" w:color="auto"/>
        <w:right w:val="none" w:sz="0" w:space="0" w:color="auto"/>
      </w:divBdr>
      <w:divsChild>
        <w:div w:id="241567830">
          <w:marLeft w:val="0"/>
          <w:marRight w:val="0"/>
          <w:marTop w:val="0"/>
          <w:marBottom w:val="0"/>
          <w:divBdr>
            <w:top w:val="none" w:sz="0" w:space="0" w:color="auto"/>
            <w:left w:val="none" w:sz="0" w:space="0" w:color="auto"/>
            <w:bottom w:val="none" w:sz="0" w:space="0" w:color="auto"/>
            <w:right w:val="none" w:sz="0" w:space="0" w:color="auto"/>
          </w:divBdr>
          <w:divsChild>
            <w:div w:id="424964695">
              <w:marLeft w:val="0"/>
              <w:marRight w:val="0"/>
              <w:marTop w:val="0"/>
              <w:marBottom w:val="0"/>
              <w:divBdr>
                <w:top w:val="none" w:sz="0" w:space="0" w:color="auto"/>
                <w:left w:val="none" w:sz="0" w:space="0" w:color="auto"/>
                <w:bottom w:val="none" w:sz="0" w:space="0" w:color="auto"/>
                <w:right w:val="none" w:sz="0" w:space="0" w:color="auto"/>
              </w:divBdr>
            </w:div>
            <w:div w:id="1485967892">
              <w:marLeft w:val="0"/>
              <w:marRight w:val="0"/>
              <w:marTop w:val="0"/>
              <w:marBottom w:val="0"/>
              <w:divBdr>
                <w:top w:val="none" w:sz="0" w:space="0" w:color="auto"/>
                <w:left w:val="none" w:sz="0" w:space="0" w:color="auto"/>
                <w:bottom w:val="none" w:sz="0" w:space="0" w:color="auto"/>
                <w:right w:val="none" w:sz="0" w:space="0" w:color="auto"/>
              </w:divBdr>
            </w:div>
          </w:divsChild>
        </w:div>
        <w:div w:id="686294171">
          <w:marLeft w:val="0"/>
          <w:marRight w:val="0"/>
          <w:marTop w:val="0"/>
          <w:marBottom w:val="0"/>
          <w:divBdr>
            <w:top w:val="none" w:sz="0" w:space="0" w:color="auto"/>
            <w:left w:val="none" w:sz="0" w:space="0" w:color="auto"/>
            <w:bottom w:val="none" w:sz="0" w:space="0" w:color="auto"/>
            <w:right w:val="none" w:sz="0" w:space="0" w:color="auto"/>
          </w:divBdr>
          <w:divsChild>
            <w:div w:id="1563830908">
              <w:marLeft w:val="0"/>
              <w:marRight w:val="0"/>
              <w:marTop w:val="0"/>
              <w:marBottom w:val="0"/>
              <w:divBdr>
                <w:top w:val="none" w:sz="0" w:space="0" w:color="auto"/>
                <w:left w:val="none" w:sz="0" w:space="0" w:color="auto"/>
                <w:bottom w:val="none" w:sz="0" w:space="0" w:color="auto"/>
                <w:right w:val="none" w:sz="0" w:space="0" w:color="auto"/>
              </w:divBdr>
            </w:div>
            <w:div w:id="1959676781">
              <w:marLeft w:val="0"/>
              <w:marRight w:val="0"/>
              <w:marTop w:val="0"/>
              <w:marBottom w:val="0"/>
              <w:divBdr>
                <w:top w:val="none" w:sz="0" w:space="0" w:color="auto"/>
                <w:left w:val="none" w:sz="0" w:space="0" w:color="auto"/>
                <w:bottom w:val="none" w:sz="0" w:space="0" w:color="auto"/>
                <w:right w:val="none" w:sz="0" w:space="0" w:color="auto"/>
              </w:divBdr>
            </w:div>
          </w:divsChild>
        </w:div>
        <w:div w:id="1403942843">
          <w:marLeft w:val="0"/>
          <w:marRight w:val="0"/>
          <w:marTop w:val="0"/>
          <w:marBottom w:val="0"/>
          <w:divBdr>
            <w:top w:val="none" w:sz="0" w:space="0" w:color="auto"/>
            <w:left w:val="none" w:sz="0" w:space="0" w:color="auto"/>
            <w:bottom w:val="none" w:sz="0" w:space="0" w:color="auto"/>
            <w:right w:val="none" w:sz="0" w:space="0" w:color="auto"/>
          </w:divBdr>
          <w:divsChild>
            <w:div w:id="821311380">
              <w:marLeft w:val="0"/>
              <w:marRight w:val="0"/>
              <w:marTop w:val="0"/>
              <w:marBottom w:val="0"/>
              <w:divBdr>
                <w:top w:val="none" w:sz="0" w:space="0" w:color="auto"/>
                <w:left w:val="none" w:sz="0" w:space="0" w:color="auto"/>
                <w:bottom w:val="none" w:sz="0" w:space="0" w:color="auto"/>
                <w:right w:val="none" w:sz="0" w:space="0" w:color="auto"/>
              </w:divBdr>
            </w:div>
            <w:div w:id="1219436211">
              <w:marLeft w:val="0"/>
              <w:marRight w:val="0"/>
              <w:marTop w:val="0"/>
              <w:marBottom w:val="0"/>
              <w:divBdr>
                <w:top w:val="none" w:sz="0" w:space="0" w:color="auto"/>
                <w:left w:val="none" w:sz="0" w:space="0" w:color="auto"/>
                <w:bottom w:val="none" w:sz="0" w:space="0" w:color="auto"/>
                <w:right w:val="none" w:sz="0" w:space="0" w:color="auto"/>
              </w:divBdr>
            </w:div>
          </w:divsChild>
        </w:div>
        <w:div w:id="1411149297">
          <w:marLeft w:val="0"/>
          <w:marRight w:val="0"/>
          <w:marTop w:val="0"/>
          <w:marBottom w:val="0"/>
          <w:divBdr>
            <w:top w:val="none" w:sz="0" w:space="0" w:color="auto"/>
            <w:left w:val="none" w:sz="0" w:space="0" w:color="auto"/>
            <w:bottom w:val="none" w:sz="0" w:space="0" w:color="auto"/>
            <w:right w:val="none" w:sz="0" w:space="0" w:color="auto"/>
          </w:divBdr>
          <w:divsChild>
            <w:div w:id="797525096">
              <w:marLeft w:val="0"/>
              <w:marRight w:val="0"/>
              <w:marTop w:val="0"/>
              <w:marBottom w:val="0"/>
              <w:divBdr>
                <w:top w:val="none" w:sz="0" w:space="0" w:color="auto"/>
                <w:left w:val="none" w:sz="0" w:space="0" w:color="auto"/>
                <w:bottom w:val="none" w:sz="0" w:space="0" w:color="auto"/>
                <w:right w:val="none" w:sz="0" w:space="0" w:color="auto"/>
              </w:divBdr>
            </w:div>
            <w:div w:id="1480993696">
              <w:marLeft w:val="0"/>
              <w:marRight w:val="0"/>
              <w:marTop w:val="0"/>
              <w:marBottom w:val="0"/>
              <w:divBdr>
                <w:top w:val="none" w:sz="0" w:space="0" w:color="auto"/>
                <w:left w:val="none" w:sz="0" w:space="0" w:color="auto"/>
                <w:bottom w:val="none" w:sz="0" w:space="0" w:color="auto"/>
                <w:right w:val="none" w:sz="0" w:space="0" w:color="auto"/>
              </w:divBdr>
            </w:div>
          </w:divsChild>
        </w:div>
        <w:div w:id="1834442597">
          <w:marLeft w:val="0"/>
          <w:marRight w:val="0"/>
          <w:marTop w:val="0"/>
          <w:marBottom w:val="0"/>
          <w:divBdr>
            <w:top w:val="none" w:sz="0" w:space="0" w:color="auto"/>
            <w:left w:val="none" w:sz="0" w:space="0" w:color="auto"/>
            <w:bottom w:val="none" w:sz="0" w:space="0" w:color="auto"/>
            <w:right w:val="none" w:sz="0" w:space="0" w:color="auto"/>
          </w:divBdr>
          <w:divsChild>
            <w:div w:id="1144466164">
              <w:marLeft w:val="0"/>
              <w:marRight w:val="0"/>
              <w:marTop w:val="0"/>
              <w:marBottom w:val="0"/>
              <w:divBdr>
                <w:top w:val="none" w:sz="0" w:space="0" w:color="auto"/>
                <w:left w:val="none" w:sz="0" w:space="0" w:color="auto"/>
                <w:bottom w:val="none" w:sz="0" w:space="0" w:color="auto"/>
                <w:right w:val="none" w:sz="0" w:space="0" w:color="auto"/>
              </w:divBdr>
            </w:div>
            <w:div w:id="1331637403">
              <w:marLeft w:val="0"/>
              <w:marRight w:val="0"/>
              <w:marTop w:val="0"/>
              <w:marBottom w:val="0"/>
              <w:divBdr>
                <w:top w:val="none" w:sz="0" w:space="0" w:color="auto"/>
                <w:left w:val="none" w:sz="0" w:space="0" w:color="auto"/>
                <w:bottom w:val="none" w:sz="0" w:space="0" w:color="auto"/>
                <w:right w:val="none" w:sz="0" w:space="0" w:color="auto"/>
              </w:divBdr>
            </w:div>
            <w:div w:id="1581599465">
              <w:marLeft w:val="0"/>
              <w:marRight w:val="0"/>
              <w:marTop w:val="0"/>
              <w:marBottom w:val="0"/>
              <w:divBdr>
                <w:top w:val="none" w:sz="0" w:space="0" w:color="auto"/>
                <w:left w:val="none" w:sz="0" w:space="0" w:color="auto"/>
                <w:bottom w:val="none" w:sz="0" w:space="0" w:color="auto"/>
                <w:right w:val="none" w:sz="0" w:space="0" w:color="auto"/>
              </w:divBdr>
            </w:div>
            <w:div w:id="2073311752">
              <w:marLeft w:val="0"/>
              <w:marRight w:val="0"/>
              <w:marTop w:val="0"/>
              <w:marBottom w:val="0"/>
              <w:divBdr>
                <w:top w:val="none" w:sz="0" w:space="0" w:color="auto"/>
                <w:left w:val="none" w:sz="0" w:space="0" w:color="auto"/>
                <w:bottom w:val="none" w:sz="0" w:space="0" w:color="auto"/>
                <w:right w:val="none" w:sz="0" w:space="0" w:color="auto"/>
              </w:divBdr>
            </w:div>
          </w:divsChild>
        </w:div>
        <w:div w:id="2102558351">
          <w:marLeft w:val="0"/>
          <w:marRight w:val="0"/>
          <w:marTop w:val="0"/>
          <w:marBottom w:val="0"/>
          <w:divBdr>
            <w:top w:val="none" w:sz="0" w:space="0" w:color="auto"/>
            <w:left w:val="none" w:sz="0" w:space="0" w:color="auto"/>
            <w:bottom w:val="none" w:sz="0" w:space="0" w:color="auto"/>
            <w:right w:val="none" w:sz="0" w:space="0" w:color="auto"/>
          </w:divBdr>
          <w:divsChild>
            <w:div w:id="1043990778">
              <w:marLeft w:val="0"/>
              <w:marRight w:val="0"/>
              <w:marTop w:val="0"/>
              <w:marBottom w:val="0"/>
              <w:divBdr>
                <w:top w:val="none" w:sz="0" w:space="0" w:color="auto"/>
                <w:left w:val="none" w:sz="0" w:space="0" w:color="auto"/>
                <w:bottom w:val="none" w:sz="0" w:space="0" w:color="auto"/>
                <w:right w:val="none" w:sz="0" w:space="0" w:color="auto"/>
              </w:divBdr>
            </w:div>
            <w:div w:id="18424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24486">
      <w:bodyDiv w:val="1"/>
      <w:marLeft w:val="0"/>
      <w:marRight w:val="0"/>
      <w:marTop w:val="0"/>
      <w:marBottom w:val="0"/>
      <w:divBdr>
        <w:top w:val="none" w:sz="0" w:space="0" w:color="auto"/>
        <w:left w:val="none" w:sz="0" w:space="0" w:color="auto"/>
        <w:bottom w:val="none" w:sz="0" w:space="0" w:color="auto"/>
        <w:right w:val="none" w:sz="0" w:space="0" w:color="auto"/>
      </w:divBdr>
      <w:divsChild>
        <w:div w:id="364451034">
          <w:marLeft w:val="0"/>
          <w:marRight w:val="0"/>
          <w:marTop w:val="0"/>
          <w:marBottom w:val="0"/>
          <w:divBdr>
            <w:top w:val="none" w:sz="0" w:space="0" w:color="auto"/>
            <w:left w:val="none" w:sz="0" w:space="0" w:color="auto"/>
            <w:bottom w:val="none" w:sz="0" w:space="0" w:color="auto"/>
            <w:right w:val="none" w:sz="0" w:space="0" w:color="auto"/>
          </w:divBdr>
          <w:divsChild>
            <w:div w:id="1879928487">
              <w:marLeft w:val="0"/>
              <w:marRight w:val="0"/>
              <w:marTop w:val="0"/>
              <w:marBottom w:val="0"/>
              <w:divBdr>
                <w:top w:val="none" w:sz="0" w:space="0" w:color="auto"/>
                <w:left w:val="none" w:sz="0" w:space="0" w:color="auto"/>
                <w:bottom w:val="none" w:sz="0" w:space="0" w:color="auto"/>
                <w:right w:val="none" w:sz="0" w:space="0" w:color="auto"/>
              </w:divBdr>
              <w:divsChild>
                <w:div w:id="1209495739">
                  <w:marLeft w:val="0"/>
                  <w:marRight w:val="0"/>
                  <w:marTop w:val="0"/>
                  <w:marBottom w:val="0"/>
                  <w:divBdr>
                    <w:top w:val="none" w:sz="0" w:space="0" w:color="auto"/>
                    <w:left w:val="none" w:sz="0" w:space="0" w:color="auto"/>
                    <w:bottom w:val="none" w:sz="0" w:space="0" w:color="auto"/>
                    <w:right w:val="none" w:sz="0" w:space="0" w:color="auto"/>
                  </w:divBdr>
                  <w:divsChild>
                    <w:div w:id="816651688">
                      <w:marLeft w:val="0"/>
                      <w:marRight w:val="0"/>
                      <w:marTop w:val="0"/>
                      <w:marBottom w:val="0"/>
                      <w:divBdr>
                        <w:top w:val="none" w:sz="0" w:space="0" w:color="auto"/>
                        <w:left w:val="none" w:sz="0" w:space="0" w:color="auto"/>
                        <w:bottom w:val="none" w:sz="0" w:space="0" w:color="auto"/>
                        <w:right w:val="none" w:sz="0" w:space="0" w:color="auto"/>
                      </w:divBdr>
                      <w:divsChild>
                        <w:div w:id="408694288">
                          <w:marLeft w:val="0"/>
                          <w:marRight w:val="0"/>
                          <w:marTop w:val="0"/>
                          <w:marBottom w:val="0"/>
                          <w:divBdr>
                            <w:top w:val="none" w:sz="0" w:space="0" w:color="auto"/>
                            <w:left w:val="none" w:sz="0" w:space="0" w:color="auto"/>
                            <w:bottom w:val="none" w:sz="0" w:space="0" w:color="auto"/>
                            <w:right w:val="none" w:sz="0" w:space="0" w:color="auto"/>
                          </w:divBdr>
                          <w:divsChild>
                            <w:div w:id="14653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478928">
      <w:bodyDiv w:val="1"/>
      <w:marLeft w:val="0"/>
      <w:marRight w:val="0"/>
      <w:marTop w:val="0"/>
      <w:marBottom w:val="0"/>
      <w:divBdr>
        <w:top w:val="none" w:sz="0" w:space="0" w:color="auto"/>
        <w:left w:val="none" w:sz="0" w:space="0" w:color="auto"/>
        <w:bottom w:val="none" w:sz="0" w:space="0" w:color="auto"/>
        <w:right w:val="none" w:sz="0" w:space="0" w:color="auto"/>
      </w:divBdr>
    </w:div>
    <w:div w:id="1817184974">
      <w:bodyDiv w:val="1"/>
      <w:marLeft w:val="0"/>
      <w:marRight w:val="0"/>
      <w:marTop w:val="0"/>
      <w:marBottom w:val="0"/>
      <w:divBdr>
        <w:top w:val="none" w:sz="0" w:space="0" w:color="auto"/>
        <w:left w:val="none" w:sz="0" w:space="0" w:color="auto"/>
        <w:bottom w:val="none" w:sz="0" w:space="0" w:color="auto"/>
        <w:right w:val="none" w:sz="0" w:space="0" w:color="auto"/>
      </w:divBdr>
      <w:divsChild>
        <w:div w:id="585310763">
          <w:marLeft w:val="0"/>
          <w:marRight w:val="0"/>
          <w:marTop w:val="0"/>
          <w:marBottom w:val="0"/>
          <w:divBdr>
            <w:top w:val="none" w:sz="0" w:space="0" w:color="auto"/>
            <w:left w:val="none" w:sz="0" w:space="0" w:color="auto"/>
            <w:bottom w:val="none" w:sz="0" w:space="0" w:color="auto"/>
            <w:right w:val="none" w:sz="0" w:space="0" w:color="auto"/>
          </w:divBdr>
          <w:divsChild>
            <w:div w:id="1067076194">
              <w:marLeft w:val="0"/>
              <w:marRight w:val="0"/>
              <w:marTop w:val="0"/>
              <w:marBottom w:val="0"/>
              <w:divBdr>
                <w:top w:val="none" w:sz="0" w:space="0" w:color="auto"/>
                <w:left w:val="none" w:sz="0" w:space="0" w:color="auto"/>
                <w:bottom w:val="none" w:sz="0" w:space="0" w:color="auto"/>
                <w:right w:val="none" w:sz="0" w:space="0" w:color="auto"/>
              </w:divBdr>
              <w:divsChild>
                <w:div w:id="856650158">
                  <w:marLeft w:val="0"/>
                  <w:marRight w:val="0"/>
                  <w:marTop w:val="0"/>
                  <w:marBottom w:val="0"/>
                  <w:divBdr>
                    <w:top w:val="none" w:sz="0" w:space="0" w:color="auto"/>
                    <w:left w:val="none" w:sz="0" w:space="0" w:color="auto"/>
                    <w:bottom w:val="none" w:sz="0" w:space="0" w:color="auto"/>
                    <w:right w:val="none" w:sz="0" w:space="0" w:color="auto"/>
                  </w:divBdr>
                  <w:divsChild>
                    <w:div w:id="2051031409">
                      <w:marLeft w:val="0"/>
                      <w:marRight w:val="0"/>
                      <w:marTop w:val="0"/>
                      <w:marBottom w:val="0"/>
                      <w:divBdr>
                        <w:top w:val="none" w:sz="0" w:space="0" w:color="auto"/>
                        <w:left w:val="none" w:sz="0" w:space="0" w:color="auto"/>
                        <w:bottom w:val="none" w:sz="0" w:space="0" w:color="auto"/>
                        <w:right w:val="none" w:sz="0" w:space="0" w:color="auto"/>
                      </w:divBdr>
                      <w:divsChild>
                        <w:div w:id="129047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188401">
      <w:bodyDiv w:val="1"/>
      <w:marLeft w:val="0"/>
      <w:marRight w:val="0"/>
      <w:marTop w:val="0"/>
      <w:marBottom w:val="0"/>
      <w:divBdr>
        <w:top w:val="none" w:sz="0" w:space="0" w:color="auto"/>
        <w:left w:val="none" w:sz="0" w:space="0" w:color="auto"/>
        <w:bottom w:val="none" w:sz="0" w:space="0" w:color="auto"/>
        <w:right w:val="none" w:sz="0" w:space="0" w:color="auto"/>
      </w:divBdr>
      <w:divsChild>
        <w:div w:id="1289818016">
          <w:marLeft w:val="0"/>
          <w:marRight w:val="0"/>
          <w:marTop w:val="0"/>
          <w:marBottom w:val="0"/>
          <w:divBdr>
            <w:top w:val="none" w:sz="0" w:space="0" w:color="auto"/>
            <w:left w:val="none" w:sz="0" w:space="0" w:color="auto"/>
            <w:bottom w:val="none" w:sz="0" w:space="0" w:color="auto"/>
            <w:right w:val="none" w:sz="0" w:space="0" w:color="auto"/>
          </w:divBdr>
          <w:divsChild>
            <w:div w:id="1932355540">
              <w:marLeft w:val="0"/>
              <w:marRight w:val="0"/>
              <w:marTop w:val="0"/>
              <w:marBottom w:val="0"/>
              <w:divBdr>
                <w:top w:val="none" w:sz="0" w:space="0" w:color="auto"/>
                <w:left w:val="none" w:sz="0" w:space="0" w:color="auto"/>
                <w:bottom w:val="none" w:sz="0" w:space="0" w:color="auto"/>
                <w:right w:val="none" w:sz="0" w:space="0" w:color="auto"/>
              </w:divBdr>
              <w:divsChild>
                <w:div w:id="1874146494">
                  <w:marLeft w:val="0"/>
                  <w:marRight w:val="0"/>
                  <w:marTop w:val="0"/>
                  <w:marBottom w:val="0"/>
                  <w:divBdr>
                    <w:top w:val="none" w:sz="0" w:space="0" w:color="auto"/>
                    <w:left w:val="none" w:sz="0" w:space="0" w:color="auto"/>
                    <w:bottom w:val="none" w:sz="0" w:space="0" w:color="auto"/>
                    <w:right w:val="none" w:sz="0" w:space="0" w:color="auto"/>
                  </w:divBdr>
                  <w:divsChild>
                    <w:div w:id="1230269430">
                      <w:marLeft w:val="0"/>
                      <w:marRight w:val="0"/>
                      <w:marTop w:val="0"/>
                      <w:marBottom w:val="0"/>
                      <w:divBdr>
                        <w:top w:val="none" w:sz="0" w:space="0" w:color="auto"/>
                        <w:left w:val="none" w:sz="0" w:space="0" w:color="auto"/>
                        <w:bottom w:val="none" w:sz="0" w:space="0" w:color="auto"/>
                        <w:right w:val="none" w:sz="0" w:space="0" w:color="auto"/>
                      </w:divBdr>
                      <w:divsChild>
                        <w:div w:id="651910356">
                          <w:marLeft w:val="0"/>
                          <w:marRight w:val="0"/>
                          <w:marTop w:val="0"/>
                          <w:marBottom w:val="0"/>
                          <w:divBdr>
                            <w:top w:val="none" w:sz="0" w:space="0" w:color="auto"/>
                            <w:left w:val="none" w:sz="0" w:space="0" w:color="auto"/>
                            <w:bottom w:val="none" w:sz="0" w:space="0" w:color="auto"/>
                            <w:right w:val="none" w:sz="0" w:space="0" w:color="auto"/>
                          </w:divBdr>
                          <w:divsChild>
                            <w:div w:id="12481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259448">
      <w:bodyDiv w:val="1"/>
      <w:marLeft w:val="0"/>
      <w:marRight w:val="0"/>
      <w:marTop w:val="0"/>
      <w:marBottom w:val="0"/>
      <w:divBdr>
        <w:top w:val="none" w:sz="0" w:space="0" w:color="auto"/>
        <w:left w:val="none" w:sz="0" w:space="0" w:color="auto"/>
        <w:bottom w:val="none" w:sz="0" w:space="0" w:color="auto"/>
        <w:right w:val="none" w:sz="0" w:space="0" w:color="auto"/>
      </w:divBdr>
    </w:div>
    <w:div w:id="1834225484">
      <w:bodyDiv w:val="1"/>
      <w:marLeft w:val="0"/>
      <w:marRight w:val="0"/>
      <w:marTop w:val="0"/>
      <w:marBottom w:val="0"/>
      <w:divBdr>
        <w:top w:val="none" w:sz="0" w:space="0" w:color="auto"/>
        <w:left w:val="none" w:sz="0" w:space="0" w:color="auto"/>
        <w:bottom w:val="none" w:sz="0" w:space="0" w:color="auto"/>
        <w:right w:val="none" w:sz="0" w:space="0" w:color="auto"/>
      </w:divBdr>
    </w:div>
    <w:div w:id="1839079508">
      <w:bodyDiv w:val="1"/>
      <w:marLeft w:val="0"/>
      <w:marRight w:val="0"/>
      <w:marTop w:val="0"/>
      <w:marBottom w:val="0"/>
      <w:divBdr>
        <w:top w:val="none" w:sz="0" w:space="0" w:color="auto"/>
        <w:left w:val="none" w:sz="0" w:space="0" w:color="auto"/>
        <w:bottom w:val="none" w:sz="0" w:space="0" w:color="auto"/>
        <w:right w:val="none" w:sz="0" w:space="0" w:color="auto"/>
      </w:divBdr>
    </w:div>
    <w:div w:id="1844975650">
      <w:bodyDiv w:val="1"/>
      <w:marLeft w:val="0"/>
      <w:marRight w:val="0"/>
      <w:marTop w:val="0"/>
      <w:marBottom w:val="0"/>
      <w:divBdr>
        <w:top w:val="none" w:sz="0" w:space="0" w:color="auto"/>
        <w:left w:val="none" w:sz="0" w:space="0" w:color="auto"/>
        <w:bottom w:val="none" w:sz="0" w:space="0" w:color="auto"/>
        <w:right w:val="none" w:sz="0" w:space="0" w:color="auto"/>
      </w:divBdr>
    </w:div>
    <w:div w:id="1847860710">
      <w:bodyDiv w:val="1"/>
      <w:marLeft w:val="0"/>
      <w:marRight w:val="0"/>
      <w:marTop w:val="0"/>
      <w:marBottom w:val="0"/>
      <w:divBdr>
        <w:top w:val="none" w:sz="0" w:space="0" w:color="auto"/>
        <w:left w:val="none" w:sz="0" w:space="0" w:color="auto"/>
        <w:bottom w:val="none" w:sz="0" w:space="0" w:color="auto"/>
        <w:right w:val="none" w:sz="0" w:space="0" w:color="auto"/>
      </w:divBdr>
      <w:divsChild>
        <w:div w:id="2090038636">
          <w:marLeft w:val="547"/>
          <w:marRight w:val="0"/>
          <w:marTop w:val="0"/>
          <w:marBottom w:val="0"/>
          <w:divBdr>
            <w:top w:val="none" w:sz="0" w:space="0" w:color="auto"/>
            <w:left w:val="none" w:sz="0" w:space="0" w:color="auto"/>
            <w:bottom w:val="none" w:sz="0" w:space="0" w:color="auto"/>
            <w:right w:val="none" w:sz="0" w:space="0" w:color="auto"/>
          </w:divBdr>
        </w:div>
      </w:divsChild>
    </w:div>
    <w:div w:id="1849824951">
      <w:bodyDiv w:val="1"/>
      <w:marLeft w:val="0"/>
      <w:marRight w:val="0"/>
      <w:marTop w:val="0"/>
      <w:marBottom w:val="0"/>
      <w:divBdr>
        <w:top w:val="none" w:sz="0" w:space="0" w:color="auto"/>
        <w:left w:val="none" w:sz="0" w:space="0" w:color="auto"/>
        <w:bottom w:val="none" w:sz="0" w:space="0" w:color="auto"/>
        <w:right w:val="none" w:sz="0" w:space="0" w:color="auto"/>
      </w:divBdr>
      <w:divsChild>
        <w:div w:id="1640988640">
          <w:marLeft w:val="0"/>
          <w:marRight w:val="0"/>
          <w:marTop w:val="0"/>
          <w:marBottom w:val="0"/>
          <w:divBdr>
            <w:top w:val="none" w:sz="0" w:space="0" w:color="auto"/>
            <w:left w:val="none" w:sz="0" w:space="0" w:color="auto"/>
            <w:bottom w:val="none" w:sz="0" w:space="0" w:color="auto"/>
            <w:right w:val="none" w:sz="0" w:space="0" w:color="auto"/>
          </w:divBdr>
          <w:divsChild>
            <w:div w:id="78525876">
              <w:marLeft w:val="0"/>
              <w:marRight w:val="0"/>
              <w:marTop w:val="0"/>
              <w:marBottom w:val="0"/>
              <w:divBdr>
                <w:top w:val="none" w:sz="0" w:space="0" w:color="auto"/>
                <w:left w:val="none" w:sz="0" w:space="0" w:color="auto"/>
                <w:bottom w:val="none" w:sz="0" w:space="0" w:color="auto"/>
                <w:right w:val="none" w:sz="0" w:space="0" w:color="auto"/>
              </w:divBdr>
              <w:divsChild>
                <w:div w:id="148058858">
                  <w:marLeft w:val="0"/>
                  <w:marRight w:val="0"/>
                  <w:marTop w:val="0"/>
                  <w:marBottom w:val="0"/>
                  <w:divBdr>
                    <w:top w:val="none" w:sz="0" w:space="0" w:color="auto"/>
                    <w:left w:val="none" w:sz="0" w:space="0" w:color="auto"/>
                    <w:bottom w:val="none" w:sz="0" w:space="0" w:color="auto"/>
                    <w:right w:val="none" w:sz="0" w:space="0" w:color="auto"/>
                  </w:divBdr>
                </w:div>
                <w:div w:id="1671442022">
                  <w:marLeft w:val="0"/>
                  <w:marRight w:val="0"/>
                  <w:marTop w:val="0"/>
                  <w:marBottom w:val="0"/>
                  <w:divBdr>
                    <w:top w:val="none" w:sz="0" w:space="0" w:color="auto"/>
                    <w:left w:val="none" w:sz="0" w:space="0" w:color="auto"/>
                    <w:bottom w:val="none" w:sz="0" w:space="0" w:color="auto"/>
                    <w:right w:val="none" w:sz="0" w:space="0" w:color="auto"/>
                  </w:divBdr>
                </w:div>
              </w:divsChild>
            </w:div>
            <w:div w:id="229775812">
              <w:marLeft w:val="0"/>
              <w:marRight w:val="0"/>
              <w:marTop w:val="0"/>
              <w:marBottom w:val="0"/>
              <w:divBdr>
                <w:top w:val="none" w:sz="0" w:space="0" w:color="auto"/>
                <w:left w:val="none" w:sz="0" w:space="0" w:color="auto"/>
                <w:bottom w:val="none" w:sz="0" w:space="0" w:color="auto"/>
                <w:right w:val="none" w:sz="0" w:space="0" w:color="auto"/>
              </w:divBdr>
              <w:divsChild>
                <w:div w:id="362556890">
                  <w:marLeft w:val="0"/>
                  <w:marRight w:val="0"/>
                  <w:marTop w:val="0"/>
                  <w:marBottom w:val="0"/>
                  <w:divBdr>
                    <w:top w:val="none" w:sz="0" w:space="0" w:color="auto"/>
                    <w:left w:val="none" w:sz="0" w:space="0" w:color="auto"/>
                    <w:bottom w:val="none" w:sz="0" w:space="0" w:color="auto"/>
                    <w:right w:val="none" w:sz="0" w:space="0" w:color="auto"/>
                  </w:divBdr>
                </w:div>
                <w:div w:id="731076421">
                  <w:marLeft w:val="0"/>
                  <w:marRight w:val="0"/>
                  <w:marTop w:val="0"/>
                  <w:marBottom w:val="0"/>
                  <w:divBdr>
                    <w:top w:val="none" w:sz="0" w:space="0" w:color="auto"/>
                    <w:left w:val="none" w:sz="0" w:space="0" w:color="auto"/>
                    <w:bottom w:val="none" w:sz="0" w:space="0" w:color="auto"/>
                    <w:right w:val="none" w:sz="0" w:space="0" w:color="auto"/>
                  </w:divBdr>
                </w:div>
              </w:divsChild>
            </w:div>
            <w:div w:id="613904419">
              <w:marLeft w:val="0"/>
              <w:marRight w:val="0"/>
              <w:marTop w:val="0"/>
              <w:marBottom w:val="0"/>
              <w:divBdr>
                <w:top w:val="none" w:sz="0" w:space="0" w:color="auto"/>
                <w:left w:val="none" w:sz="0" w:space="0" w:color="auto"/>
                <w:bottom w:val="none" w:sz="0" w:space="0" w:color="auto"/>
                <w:right w:val="none" w:sz="0" w:space="0" w:color="auto"/>
              </w:divBdr>
              <w:divsChild>
                <w:div w:id="743454041">
                  <w:marLeft w:val="0"/>
                  <w:marRight w:val="0"/>
                  <w:marTop w:val="0"/>
                  <w:marBottom w:val="0"/>
                  <w:divBdr>
                    <w:top w:val="none" w:sz="0" w:space="0" w:color="auto"/>
                    <w:left w:val="none" w:sz="0" w:space="0" w:color="auto"/>
                    <w:bottom w:val="none" w:sz="0" w:space="0" w:color="auto"/>
                    <w:right w:val="none" w:sz="0" w:space="0" w:color="auto"/>
                  </w:divBdr>
                </w:div>
                <w:div w:id="1525365211">
                  <w:marLeft w:val="0"/>
                  <w:marRight w:val="0"/>
                  <w:marTop w:val="0"/>
                  <w:marBottom w:val="0"/>
                  <w:divBdr>
                    <w:top w:val="none" w:sz="0" w:space="0" w:color="auto"/>
                    <w:left w:val="none" w:sz="0" w:space="0" w:color="auto"/>
                    <w:bottom w:val="none" w:sz="0" w:space="0" w:color="auto"/>
                    <w:right w:val="none" w:sz="0" w:space="0" w:color="auto"/>
                  </w:divBdr>
                </w:div>
                <w:div w:id="1527863451">
                  <w:marLeft w:val="0"/>
                  <w:marRight w:val="0"/>
                  <w:marTop w:val="0"/>
                  <w:marBottom w:val="0"/>
                  <w:divBdr>
                    <w:top w:val="none" w:sz="0" w:space="0" w:color="auto"/>
                    <w:left w:val="none" w:sz="0" w:space="0" w:color="auto"/>
                    <w:bottom w:val="none" w:sz="0" w:space="0" w:color="auto"/>
                    <w:right w:val="none" w:sz="0" w:space="0" w:color="auto"/>
                  </w:divBdr>
                </w:div>
                <w:div w:id="1585450901">
                  <w:marLeft w:val="0"/>
                  <w:marRight w:val="0"/>
                  <w:marTop w:val="0"/>
                  <w:marBottom w:val="0"/>
                  <w:divBdr>
                    <w:top w:val="none" w:sz="0" w:space="0" w:color="auto"/>
                    <w:left w:val="none" w:sz="0" w:space="0" w:color="auto"/>
                    <w:bottom w:val="none" w:sz="0" w:space="0" w:color="auto"/>
                    <w:right w:val="none" w:sz="0" w:space="0" w:color="auto"/>
                  </w:divBdr>
                </w:div>
              </w:divsChild>
            </w:div>
            <w:div w:id="643698201">
              <w:marLeft w:val="0"/>
              <w:marRight w:val="0"/>
              <w:marTop w:val="0"/>
              <w:marBottom w:val="0"/>
              <w:divBdr>
                <w:top w:val="none" w:sz="0" w:space="0" w:color="auto"/>
                <w:left w:val="none" w:sz="0" w:space="0" w:color="auto"/>
                <w:bottom w:val="none" w:sz="0" w:space="0" w:color="auto"/>
                <w:right w:val="none" w:sz="0" w:space="0" w:color="auto"/>
              </w:divBdr>
              <w:divsChild>
                <w:div w:id="1518346814">
                  <w:marLeft w:val="0"/>
                  <w:marRight w:val="0"/>
                  <w:marTop w:val="0"/>
                  <w:marBottom w:val="0"/>
                  <w:divBdr>
                    <w:top w:val="none" w:sz="0" w:space="0" w:color="auto"/>
                    <w:left w:val="none" w:sz="0" w:space="0" w:color="auto"/>
                    <w:bottom w:val="none" w:sz="0" w:space="0" w:color="auto"/>
                    <w:right w:val="none" w:sz="0" w:space="0" w:color="auto"/>
                  </w:divBdr>
                </w:div>
                <w:div w:id="1609047224">
                  <w:marLeft w:val="0"/>
                  <w:marRight w:val="0"/>
                  <w:marTop w:val="0"/>
                  <w:marBottom w:val="0"/>
                  <w:divBdr>
                    <w:top w:val="none" w:sz="0" w:space="0" w:color="auto"/>
                    <w:left w:val="none" w:sz="0" w:space="0" w:color="auto"/>
                    <w:bottom w:val="none" w:sz="0" w:space="0" w:color="auto"/>
                    <w:right w:val="none" w:sz="0" w:space="0" w:color="auto"/>
                  </w:divBdr>
                </w:div>
              </w:divsChild>
            </w:div>
            <w:div w:id="685594180">
              <w:marLeft w:val="0"/>
              <w:marRight w:val="0"/>
              <w:marTop w:val="0"/>
              <w:marBottom w:val="0"/>
              <w:divBdr>
                <w:top w:val="none" w:sz="0" w:space="0" w:color="auto"/>
                <w:left w:val="none" w:sz="0" w:space="0" w:color="auto"/>
                <w:bottom w:val="none" w:sz="0" w:space="0" w:color="auto"/>
                <w:right w:val="none" w:sz="0" w:space="0" w:color="auto"/>
              </w:divBdr>
              <w:divsChild>
                <w:div w:id="188569814">
                  <w:marLeft w:val="0"/>
                  <w:marRight w:val="0"/>
                  <w:marTop w:val="0"/>
                  <w:marBottom w:val="0"/>
                  <w:divBdr>
                    <w:top w:val="none" w:sz="0" w:space="0" w:color="auto"/>
                    <w:left w:val="none" w:sz="0" w:space="0" w:color="auto"/>
                    <w:bottom w:val="none" w:sz="0" w:space="0" w:color="auto"/>
                    <w:right w:val="none" w:sz="0" w:space="0" w:color="auto"/>
                  </w:divBdr>
                </w:div>
                <w:div w:id="261837670">
                  <w:marLeft w:val="0"/>
                  <w:marRight w:val="0"/>
                  <w:marTop w:val="0"/>
                  <w:marBottom w:val="0"/>
                  <w:divBdr>
                    <w:top w:val="none" w:sz="0" w:space="0" w:color="auto"/>
                    <w:left w:val="none" w:sz="0" w:space="0" w:color="auto"/>
                    <w:bottom w:val="none" w:sz="0" w:space="0" w:color="auto"/>
                    <w:right w:val="none" w:sz="0" w:space="0" w:color="auto"/>
                  </w:divBdr>
                </w:div>
              </w:divsChild>
            </w:div>
            <w:div w:id="2078018241">
              <w:marLeft w:val="0"/>
              <w:marRight w:val="0"/>
              <w:marTop w:val="0"/>
              <w:marBottom w:val="0"/>
              <w:divBdr>
                <w:top w:val="none" w:sz="0" w:space="0" w:color="auto"/>
                <w:left w:val="none" w:sz="0" w:space="0" w:color="auto"/>
                <w:bottom w:val="none" w:sz="0" w:space="0" w:color="auto"/>
                <w:right w:val="none" w:sz="0" w:space="0" w:color="auto"/>
              </w:divBdr>
              <w:divsChild>
                <w:div w:id="1871841427">
                  <w:marLeft w:val="0"/>
                  <w:marRight w:val="0"/>
                  <w:marTop w:val="0"/>
                  <w:marBottom w:val="0"/>
                  <w:divBdr>
                    <w:top w:val="none" w:sz="0" w:space="0" w:color="auto"/>
                    <w:left w:val="none" w:sz="0" w:space="0" w:color="auto"/>
                    <w:bottom w:val="none" w:sz="0" w:space="0" w:color="auto"/>
                    <w:right w:val="none" w:sz="0" w:space="0" w:color="auto"/>
                  </w:divBdr>
                </w:div>
                <w:div w:id="20259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43061">
          <w:marLeft w:val="0"/>
          <w:marRight w:val="0"/>
          <w:marTop w:val="0"/>
          <w:marBottom w:val="0"/>
          <w:divBdr>
            <w:top w:val="none" w:sz="0" w:space="0" w:color="auto"/>
            <w:left w:val="none" w:sz="0" w:space="0" w:color="auto"/>
            <w:bottom w:val="none" w:sz="0" w:space="0" w:color="auto"/>
            <w:right w:val="none" w:sz="0" w:space="0" w:color="auto"/>
          </w:divBdr>
          <w:divsChild>
            <w:div w:id="1313363740">
              <w:marLeft w:val="0"/>
              <w:marRight w:val="0"/>
              <w:marTop w:val="0"/>
              <w:marBottom w:val="0"/>
              <w:divBdr>
                <w:top w:val="none" w:sz="0" w:space="0" w:color="auto"/>
                <w:left w:val="none" w:sz="0" w:space="0" w:color="auto"/>
                <w:bottom w:val="none" w:sz="0" w:space="0" w:color="auto"/>
                <w:right w:val="none" w:sz="0" w:space="0" w:color="auto"/>
              </w:divBdr>
              <w:divsChild>
                <w:div w:id="10058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7337">
      <w:bodyDiv w:val="1"/>
      <w:marLeft w:val="0"/>
      <w:marRight w:val="0"/>
      <w:marTop w:val="0"/>
      <w:marBottom w:val="0"/>
      <w:divBdr>
        <w:top w:val="none" w:sz="0" w:space="0" w:color="auto"/>
        <w:left w:val="none" w:sz="0" w:space="0" w:color="auto"/>
        <w:bottom w:val="none" w:sz="0" w:space="0" w:color="auto"/>
        <w:right w:val="none" w:sz="0" w:space="0" w:color="auto"/>
      </w:divBdr>
    </w:div>
    <w:div w:id="1871917889">
      <w:bodyDiv w:val="1"/>
      <w:marLeft w:val="0"/>
      <w:marRight w:val="0"/>
      <w:marTop w:val="0"/>
      <w:marBottom w:val="0"/>
      <w:divBdr>
        <w:top w:val="none" w:sz="0" w:space="0" w:color="auto"/>
        <w:left w:val="none" w:sz="0" w:space="0" w:color="auto"/>
        <w:bottom w:val="none" w:sz="0" w:space="0" w:color="auto"/>
        <w:right w:val="none" w:sz="0" w:space="0" w:color="auto"/>
      </w:divBdr>
      <w:divsChild>
        <w:div w:id="1960725132">
          <w:marLeft w:val="0"/>
          <w:marRight w:val="0"/>
          <w:marTop w:val="0"/>
          <w:marBottom w:val="0"/>
          <w:divBdr>
            <w:top w:val="none" w:sz="0" w:space="0" w:color="auto"/>
            <w:left w:val="none" w:sz="0" w:space="0" w:color="auto"/>
            <w:bottom w:val="none" w:sz="0" w:space="0" w:color="auto"/>
            <w:right w:val="none" w:sz="0" w:space="0" w:color="auto"/>
          </w:divBdr>
          <w:divsChild>
            <w:div w:id="84956743">
              <w:marLeft w:val="0"/>
              <w:marRight w:val="0"/>
              <w:marTop w:val="0"/>
              <w:marBottom w:val="0"/>
              <w:divBdr>
                <w:top w:val="none" w:sz="0" w:space="0" w:color="auto"/>
                <w:left w:val="none" w:sz="0" w:space="0" w:color="auto"/>
                <w:bottom w:val="none" w:sz="0" w:space="0" w:color="auto"/>
                <w:right w:val="none" w:sz="0" w:space="0" w:color="auto"/>
              </w:divBdr>
              <w:divsChild>
                <w:div w:id="705907230">
                  <w:marLeft w:val="0"/>
                  <w:marRight w:val="0"/>
                  <w:marTop w:val="0"/>
                  <w:marBottom w:val="0"/>
                  <w:divBdr>
                    <w:top w:val="none" w:sz="0" w:space="0" w:color="auto"/>
                    <w:left w:val="none" w:sz="0" w:space="0" w:color="auto"/>
                    <w:bottom w:val="none" w:sz="0" w:space="0" w:color="auto"/>
                    <w:right w:val="none" w:sz="0" w:space="0" w:color="auto"/>
                  </w:divBdr>
                  <w:divsChild>
                    <w:div w:id="1504004706">
                      <w:marLeft w:val="0"/>
                      <w:marRight w:val="0"/>
                      <w:marTop w:val="0"/>
                      <w:marBottom w:val="0"/>
                      <w:divBdr>
                        <w:top w:val="none" w:sz="0" w:space="0" w:color="auto"/>
                        <w:left w:val="none" w:sz="0" w:space="0" w:color="auto"/>
                        <w:bottom w:val="none" w:sz="0" w:space="0" w:color="auto"/>
                        <w:right w:val="none" w:sz="0" w:space="0" w:color="auto"/>
                      </w:divBdr>
                      <w:divsChild>
                        <w:div w:id="379020724">
                          <w:marLeft w:val="0"/>
                          <w:marRight w:val="0"/>
                          <w:marTop w:val="0"/>
                          <w:marBottom w:val="0"/>
                          <w:divBdr>
                            <w:top w:val="none" w:sz="0" w:space="0" w:color="auto"/>
                            <w:left w:val="none" w:sz="0" w:space="0" w:color="auto"/>
                            <w:bottom w:val="none" w:sz="0" w:space="0" w:color="auto"/>
                            <w:right w:val="none" w:sz="0" w:space="0" w:color="auto"/>
                          </w:divBdr>
                          <w:divsChild>
                            <w:div w:id="17742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390460">
      <w:bodyDiv w:val="1"/>
      <w:marLeft w:val="0"/>
      <w:marRight w:val="0"/>
      <w:marTop w:val="0"/>
      <w:marBottom w:val="0"/>
      <w:divBdr>
        <w:top w:val="none" w:sz="0" w:space="0" w:color="auto"/>
        <w:left w:val="none" w:sz="0" w:space="0" w:color="auto"/>
        <w:bottom w:val="none" w:sz="0" w:space="0" w:color="auto"/>
        <w:right w:val="none" w:sz="0" w:space="0" w:color="auto"/>
      </w:divBdr>
      <w:divsChild>
        <w:div w:id="88737338">
          <w:marLeft w:val="0"/>
          <w:marRight w:val="0"/>
          <w:marTop w:val="0"/>
          <w:marBottom w:val="0"/>
          <w:divBdr>
            <w:top w:val="none" w:sz="0" w:space="0" w:color="auto"/>
            <w:left w:val="none" w:sz="0" w:space="0" w:color="auto"/>
            <w:bottom w:val="none" w:sz="0" w:space="0" w:color="auto"/>
            <w:right w:val="none" w:sz="0" w:space="0" w:color="auto"/>
          </w:divBdr>
        </w:div>
        <w:div w:id="815487792">
          <w:marLeft w:val="0"/>
          <w:marRight w:val="0"/>
          <w:marTop w:val="0"/>
          <w:marBottom w:val="0"/>
          <w:divBdr>
            <w:top w:val="none" w:sz="0" w:space="0" w:color="auto"/>
            <w:left w:val="none" w:sz="0" w:space="0" w:color="auto"/>
            <w:bottom w:val="none" w:sz="0" w:space="0" w:color="auto"/>
            <w:right w:val="none" w:sz="0" w:space="0" w:color="auto"/>
          </w:divBdr>
        </w:div>
        <w:div w:id="1636908057">
          <w:marLeft w:val="0"/>
          <w:marRight w:val="0"/>
          <w:marTop w:val="0"/>
          <w:marBottom w:val="0"/>
          <w:divBdr>
            <w:top w:val="none" w:sz="0" w:space="0" w:color="auto"/>
            <w:left w:val="none" w:sz="0" w:space="0" w:color="auto"/>
            <w:bottom w:val="none" w:sz="0" w:space="0" w:color="auto"/>
            <w:right w:val="none" w:sz="0" w:space="0" w:color="auto"/>
          </w:divBdr>
        </w:div>
      </w:divsChild>
    </w:div>
    <w:div w:id="1885408196">
      <w:bodyDiv w:val="1"/>
      <w:marLeft w:val="0"/>
      <w:marRight w:val="0"/>
      <w:marTop w:val="0"/>
      <w:marBottom w:val="0"/>
      <w:divBdr>
        <w:top w:val="none" w:sz="0" w:space="0" w:color="auto"/>
        <w:left w:val="none" w:sz="0" w:space="0" w:color="auto"/>
        <w:bottom w:val="none" w:sz="0" w:space="0" w:color="auto"/>
        <w:right w:val="none" w:sz="0" w:space="0" w:color="auto"/>
      </w:divBdr>
    </w:div>
    <w:div w:id="1889099197">
      <w:bodyDiv w:val="1"/>
      <w:marLeft w:val="0"/>
      <w:marRight w:val="0"/>
      <w:marTop w:val="0"/>
      <w:marBottom w:val="0"/>
      <w:divBdr>
        <w:top w:val="none" w:sz="0" w:space="0" w:color="auto"/>
        <w:left w:val="none" w:sz="0" w:space="0" w:color="auto"/>
        <w:bottom w:val="none" w:sz="0" w:space="0" w:color="auto"/>
        <w:right w:val="none" w:sz="0" w:space="0" w:color="auto"/>
      </w:divBdr>
      <w:divsChild>
        <w:div w:id="2133940390">
          <w:marLeft w:val="0"/>
          <w:marRight w:val="0"/>
          <w:marTop w:val="0"/>
          <w:marBottom w:val="0"/>
          <w:divBdr>
            <w:top w:val="none" w:sz="0" w:space="0" w:color="auto"/>
            <w:left w:val="none" w:sz="0" w:space="0" w:color="auto"/>
            <w:bottom w:val="none" w:sz="0" w:space="0" w:color="auto"/>
            <w:right w:val="none" w:sz="0" w:space="0" w:color="auto"/>
          </w:divBdr>
          <w:divsChild>
            <w:div w:id="360784068">
              <w:marLeft w:val="0"/>
              <w:marRight w:val="0"/>
              <w:marTop w:val="435"/>
              <w:marBottom w:val="502"/>
              <w:divBdr>
                <w:top w:val="none" w:sz="0" w:space="0" w:color="auto"/>
                <w:left w:val="none" w:sz="0" w:space="0" w:color="auto"/>
                <w:bottom w:val="none" w:sz="0" w:space="0" w:color="auto"/>
                <w:right w:val="none" w:sz="0" w:space="0" w:color="auto"/>
              </w:divBdr>
              <w:divsChild>
                <w:div w:id="1424494677">
                  <w:marLeft w:val="0"/>
                  <w:marRight w:val="0"/>
                  <w:marTop w:val="0"/>
                  <w:marBottom w:val="0"/>
                  <w:divBdr>
                    <w:top w:val="none" w:sz="0" w:space="0" w:color="auto"/>
                    <w:left w:val="none" w:sz="0" w:space="0" w:color="auto"/>
                    <w:bottom w:val="none" w:sz="0" w:space="0" w:color="auto"/>
                    <w:right w:val="none" w:sz="0" w:space="0" w:color="auto"/>
                  </w:divBdr>
                  <w:divsChild>
                    <w:div w:id="17509671">
                      <w:marLeft w:val="0"/>
                      <w:marRight w:val="0"/>
                      <w:marTop w:val="0"/>
                      <w:marBottom w:val="0"/>
                      <w:divBdr>
                        <w:top w:val="none" w:sz="0" w:space="0" w:color="auto"/>
                        <w:left w:val="none" w:sz="0" w:space="0" w:color="auto"/>
                        <w:bottom w:val="none" w:sz="0" w:space="0" w:color="auto"/>
                        <w:right w:val="none" w:sz="0" w:space="0" w:color="auto"/>
                      </w:divBdr>
                      <w:divsChild>
                        <w:div w:id="14041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696785">
      <w:bodyDiv w:val="1"/>
      <w:marLeft w:val="0"/>
      <w:marRight w:val="0"/>
      <w:marTop w:val="0"/>
      <w:marBottom w:val="0"/>
      <w:divBdr>
        <w:top w:val="none" w:sz="0" w:space="0" w:color="auto"/>
        <w:left w:val="none" w:sz="0" w:space="0" w:color="auto"/>
        <w:bottom w:val="none" w:sz="0" w:space="0" w:color="auto"/>
        <w:right w:val="none" w:sz="0" w:space="0" w:color="auto"/>
      </w:divBdr>
      <w:divsChild>
        <w:div w:id="1827551285">
          <w:marLeft w:val="0"/>
          <w:marRight w:val="0"/>
          <w:marTop w:val="0"/>
          <w:marBottom w:val="0"/>
          <w:divBdr>
            <w:top w:val="none" w:sz="0" w:space="0" w:color="auto"/>
            <w:left w:val="none" w:sz="0" w:space="0" w:color="auto"/>
            <w:bottom w:val="none" w:sz="0" w:space="0" w:color="auto"/>
            <w:right w:val="none" w:sz="0" w:space="0" w:color="auto"/>
          </w:divBdr>
        </w:div>
      </w:divsChild>
    </w:div>
    <w:div w:id="1900362439">
      <w:bodyDiv w:val="1"/>
      <w:marLeft w:val="0"/>
      <w:marRight w:val="0"/>
      <w:marTop w:val="0"/>
      <w:marBottom w:val="0"/>
      <w:divBdr>
        <w:top w:val="none" w:sz="0" w:space="0" w:color="auto"/>
        <w:left w:val="none" w:sz="0" w:space="0" w:color="auto"/>
        <w:bottom w:val="none" w:sz="0" w:space="0" w:color="auto"/>
        <w:right w:val="none" w:sz="0" w:space="0" w:color="auto"/>
      </w:divBdr>
      <w:divsChild>
        <w:div w:id="1974165520">
          <w:marLeft w:val="0"/>
          <w:marRight w:val="0"/>
          <w:marTop w:val="0"/>
          <w:marBottom w:val="0"/>
          <w:divBdr>
            <w:top w:val="none" w:sz="0" w:space="0" w:color="auto"/>
            <w:left w:val="none" w:sz="0" w:space="0" w:color="auto"/>
            <w:bottom w:val="none" w:sz="0" w:space="0" w:color="auto"/>
            <w:right w:val="none" w:sz="0" w:space="0" w:color="auto"/>
          </w:divBdr>
          <w:divsChild>
            <w:div w:id="586308090">
              <w:marLeft w:val="0"/>
              <w:marRight w:val="0"/>
              <w:marTop w:val="0"/>
              <w:marBottom w:val="0"/>
              <w:divBdr>
                <w:top w:val="none" w:sz="0" w:space="0" w:color="auto"/>
                <w:left w:val="none" w:sz="0" w:space="0" w:color="auto"/>
                <w:bottom w:val="none" w:sz="0" w:space="0" w:color="auto"/>
                <w:right w:val="none" w:sz="0" w:space="0" w:color="auto"/>
              </w:divBdr>
              <w:divsChild>
                <w:div w:id="256328773">
                  <w:marLeft w:val="0"/>
                  <w:marRight w:val="0"/>
                  <w:marTop w:val="0"/>
                  <w:marBottom w:val="0"/>
                  <w:divBdr>
                    <w:top w:val="none" w:sz="0" w:space="0" w:color="auto"/>
                    <w:left w:val="none" w:sz="0" w:space="0" w:color="auto"/>
                    <w:bottom w:val="none" w:sz="0" w:space="0" w:color="auto"/>
                    <w:right w:val="none" w:sz="0" w:space="0" w:color="auto"/>
                  </w:divBdr>
                  <w:divsChild>
                    <w:div w:id="1856461300">
                      <w:marLeft w:val="0"/>
                      <w:marRight w:val="0"/>
                      <w:marTop w:val="0"/>
                      <w:marBottom w:val="0"/>
                      <w:divBdr>
                        <w:top w:val="none" w:sz="0" w:space="0" w:color="auto"/>
                        <w:left w:val="none" w:sz="0" w:space="0" w:color="auto"/>
                        <w:bottom w:val="none" w:sz="0" w:space="0" w:color="auto"/>
                        <w:right w:val="none" w:sz="0" w:space="0" w:color="auto"/>
                      </w:divBdr>
                      <w:divsChild>
                        <w:div w:id="955720102">
                          <w:marLeft w:val="0"/>
                          <w:marRight w:val="0"/>
                          <w:marTop w:val="0"/>
                          <w:marBottom w:val="0"/>
                          <w:divBdr>
                            <w:top w:val="none" w:sz="0" w:space="0" w:color="auto"/>
                            <w:left w:val="none" w:sz="0" w:space="0" w:color="auto"/>
                            <w:bottom w:val="none" w:sz="0" w:space="0" w:color="auto"/>
                            <w:right w:val="none" w:sz="0" w:space="0" w:color="auto"/>
                          </w:divBdr>
                          <w:divsChild>
                            <w:div w:id="14360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562622">
      <w:bodyDiv w:val="1"/>
      <w:marLeft w:val="0"/>
      <w:marRight w:val="0"/>
      <w:marTop w:val="0"/>
      <w:marBottom w:val="0"/>
      <w:divBdr>
        <w:top w:val="none" w:sz="0" w:space="0" w:color="auto"/>
        <w:left w:val="none" w:sz="0" w:space="0" w:color="auto"/>
        <w:bottom w:val="none" w:sz="0" w:space="0" w:color="auto"/>
        <w:right w:val="none" w:sz="0" w:space="0" w:color="auto"/>
      </w:divBdr>
    </w:div>
    <w:div w:id="1942449336">
      <w:bodyDiv w:val="1"/>
      <w:marLeft w:val="0"/>
      <w:marRight w:val="0"/>
      <w:marTop w:val="0"/>
      <w:marBottom w:val="0"/>
      <w:divBdr>
        <w:top w:val="none" w:sz="0" w:space="0" w:color="auto"/>
        <w:left w:val="none" w:sz="0" w:space="0" w:color="auto"/>
        <w:bottom w:val="none" w:sz="0" w:space="0" w:color="auto"/>
        <w:right w:val="none" w:sz="0" w:space="0" w:color="auto"/>
      </w:divBdr>
    </w:div>
    <w:div w:id="1949852087">
      <w:bodyDiv w:val="1"/>
      <w:marLeft w:val="0"/>
      <w:marRight w:val="0"/>
      <w:marTop w:val="0"/>
      <w:marBottom w:val="0"/>
      <w:divBdr>
        <w:top w:val="none" w:sz="0" w:space="0" w:color="auto"/>
        <w:left w:val="none" w:sz="0" w:space="0" w:color="auto"/>
        <w:bottom w:val="none" w:sz="0" w:space="0" w:color="auto"/>
        <w:right w:val="none" w:sz="0" w:space="0" w:color="auto"/>
      </w:divBdr>
      <w:divsChild>
        <w:div w:id="24214980">
          <w:marLeft w:val="0"/>
          <w:marRight w:val="0"/>
          <w:marTop w:val="0"/>
          <w:marBottom w:val="0"/>
          <w:divBdr>
            <w:top w:val="none" w:sz="0" w:space="0" w:color="auto"/>
            <w:left w:val="none" w:sz="0" w:space="0" w:color="auto"/>
            <w:bottom w:val="none" w:sz="0" w:space="0" w:color="auto"/>
            <w:right w:val="none" w:sz="0" w:space="0" w:color="auto"/>
          </w:divBdr>
          <w:divsChild>
            <w:div w:id="363992149">
              <w:marLeft w:val="0"/>
              <w:marRight w:val="0"/>
              <w:marTop w:val="0"/>
              <w:marBottom w:val="0"/>
              <w:divBdr>
                <w:top w:val="none" w:sz="0" w:space="0" w:color="auto"/>
                <w:left w:val="none" w:sz="0" w:space="0" w:color="auto"/>
                <w:bottom w:val="none" w:sz="0" w:space="0" w:color="auto"/>
                <w:right w:val="none" w:sz="0" w:space="0" w:color="auto"/>
              </w:divBdr>
              <w:divsChild>
                <w:div w:id="1661886798">
                  <w:marLeft w:val="0"/>
                  <w:marRight w:val="0"/>
                  <w:marTop w:val="0"/>
                  <w:marBottom w:val="0"/>
                  <w:divBdr>
                    <w:top w:val="none" w:sz="0" w:space="0" w:color="auto"/>
                    <w:left w:val="none" w:sz="0" w:space="0" w:color="auto"/>
                    <w:bottom w:val="none" w:sz="0" w:space="0" w:color="auto"/>
                    <w:right w:val="none" w:sz="0" w:space="0" w:color="auto"/>
                  </w:divBdr>
                  <w:divsChild>
                    <w:div w:id="1232959505">
                      <w:marLeft w:val="0"/>
                      <w:marRight w:val="0"/>
                      <w:marTop w:val="0"/>
                      <w:marBottom w:val="0"/>
                      <w:divBdr>
                        <w:top w:val="none" w:sz="0" w:space="0" w:color="auto"/>
                        <w:left w:val="none" w:sz="0" w:space="0" w:color="auto"/>
                        <w:bottom w:val="none" w:sz="0" w:space="0" w:color="auto"/>
                        <w:right w:val="none" w:sz="0" w:space="0" w:color="auto"/>
                      </w:divBdr>
                      <w:divsChild>
                        <w:div w:id="326252183">
                          <w:marLeft w:val="0"/>
                          <w:marRight w:val="0"/>
                          <w:marTop w:val="0"/>
                          <w:marBottom w:val="0"/>
                          <w:divBdr>
                            <w:top w:val="none" w:sz="0" w:space="0" w:color="auto"/>
                            <w:left w:val="none" w:sz="0" w:space="0" w:color="auto"/>
                            <w:bottom w:val="none" w:sz="0" w:space="0" w:color="auto"/>
                            <w:right w:val="none" w:sz="0" w:space="0" w:color="auto"/>
                          </w:divBdr>
                          <w:divsChild>
                            <w:div w:id="7784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5526">
      <w:bodyDiv w:val="1"/>
      <w:marLeft w:val="0"/>
      <w:marRight w:val="0"/>
      <w:marTop w:val="0"/>
      <w:marBottom w:val="0"/>
      <w:divBdr>
        <w:top w:val="none" w:sz="0" w:space="0" w:color="auto"/>
        <w:left w:val="none" w:sz="0" w:space="0" w:color="auto"/>
        <w:bottom w:val="none" w:sz="0" w:space="0" w:color="auto"/>
        <w:right w:val="none" w:sz="0" w:space="0" w:color="auto"/>
      </w:divBdr>
      <w:divsChild>
        <w:div w:id="554198536">
          <w:marLeft w:val="547"/>
          <w:marRight w:val="0"/>
          <w:marTop w:val="0"/>
          <w:marBottom w:val="0"/>
          <w:divBdr>
            <w:top w:val="none" w:sz="0" w:space="0" w:color="auto"/>
            <w:left w:val="none" w:sz="0" w:space="0" w:color="auto"/>
            <w:bottom w:val="none" w:sz="0" w:space="0" w:color="auto"/>
            <w:right w:val="none" w:sz="0" w:space="0" w:color="auto"/>
          </w:divBdr>
        </w:div>
        <w:div w:id="1157725573">
          <w:marLeft w:val="547"/>
          <w:marRight w:val="0"/>
          <w:marTop w:val="0"/>
          <w:marBottom w:val="0"/>
          <w:divBdr>
            <w:top w:val="none" w:sz="0" w:space="0" w:color="auto"/>
            <w:left w:val="none" w:sz="0" w:space="0" w:color="auto"/>
            <w:bottom w:val="none" w:sz="0" w:space="0" w:color="auto"/>
            <w:right w:val="none" w:sz="0" w:space="0" w:color="auto"/>
          </w:divBdr>
        </w:div>
        <w:div w:id="1809200053">
          <w:marLeft w:val="547"/>
          <w:marRight w:val="0"/>
          <w:marTop w:val="0"/>
          <w:marBottom w:val="0"/>
          <w:divBdr>
            <w:top w:val="none" w:sz="0" w:space="0" w:color="auto"/>
            <w:left w:val="none" w:sz="0" w:space="0" w:color="auto"/>
            <w:bottom w:val="none" w:sz="0" w:space="0" w:color="auto"/>
            <w:right w:val="none" w:sz="0" w:space="0" w:color="auto"/>
          </w:divBdr>
        </w:div>
      </w:divsChild>
    </w:div>
    <w:div w:id="1986887495">
      <w:bodyDiv w:val="1"/>
      <w:marLeft w:val="0"/>
      <w:marRight w:val="0"/>
      <w:marTop w:val="0"/>
      <w:marBottom w:val="0"/>
      <w:divBdr>
        <w:top w:val="none" w:sz="0" w:space="0" w:color="auto"/>
        <w:left w:val="none" w:sz="0" w:space="0" w:color="auto"/>
        <w:bottom w:val="none" w:sz="0" w:space="0" w:color="auto"/>
        <w:right w:val="none" w:sz="0" w:space="0" w:color="auto"/>
      </w:divBdr>
      <w:divsChild>
        <w:div w:id="1858229737">
          <w:marLeft w:val="0"/>
          <w:marRight w:val="0"/>
          <w:marTop w:val="0"/>
          <w:marBottom w:val="0"/>
          <w:divBdr>
            <w:top w:val="none" w:sz="0" w:space="0" w:color="auto"/>
            <w:left w:val="none" w:sz="0" w:space="0" w:color="auto"/>
            <w:bottom w:val="none" w:sz="0" w:space="0" w:color="auto"/>
            <w:right w:val="none" w:sz="0" w:space="0" w:color="auto"/>
          </w:divBdr>
          <w:divsChild>
            <w:div w:id="56444309">
              <w:marLeft w:val="0"/>
              <w:marRight w:val="0"/>
              <w:marTop w:val="0"/>
              <w:marBottom w:val="0"/>
              <w:divBdr>
                <w:top w:val="none" w:sz="0" w:space="0" w:color="auto"/>
                <w:left w:val="none" w:sz="0" w:space="0" w:color="auto"/>
                <w:bottom w:val="none" w:sz="0" w:space="0" w:color="auto"/>
                <w:right w:val="none" w:sz="0" w:space="0" w:color="auto"/>
              </w:divBdr>
              <w:divsChild>
                <w:div w:id="538274723">
                  <w:marLeft w:val="0"/>
                  <w:marRight w:val="0"/>
                  <w:marTop w:val="0"/>
                  <w:marBottom w:val="0"/>
                  <w:divBdr>
                    <w:top w:val="none" w:sz="0" w:space="0" w:color="auto"/>
                    <w:left w:val="none" w:sz="0" w:space="0" w:color="auto"/>
                    <w:bottom w:val="none" w:sz="0" w:space="0" w:color="auto"/>
                    <w:right w:val="none" w:sz="0" w:space="0" w:color="auto"/>
                  </w:divBdr>
                </w:div>
                <w:div w:id="1506244951">
                  <w:marLeft w:val="0"/>
                  <w:marRight w:val="0"/>
                  <w:marTop w:val="0"/>
                  <w:marBottom w:val="0"/>
                  <w:divBdr>
                    <w:top w:val="none" w:sz="0" w:space="0" w:color="auto"/>
                    <w:left w:val="none" w:sz="0" w:space="0" w:color="auto"/>
                    <w:bottom w:val="none" w:sz="0" w:space="0" w:color="auto"/>
                    <w:right w:val="none" w:sz="0" w:space="0" w:color="auto"/>
                  </w:divBdr>
                </w:div>
              </w:divsChild>
            </w:div>
            <w:div w:id="505096848">
              <w:marLeft w:val="0"/>
              <w:marRight w:val="0"/>
              <w:marTop w:val="0"/>
              <w:marBottom w:val="0"/>
              <w:divBdr>
                <w:top w:val="none" w:sz="0" w:space="0" w:color="auto"/>
                <w:left w:val="none" w:sz="0" w:space="0" w:color="auto"/>
                <w:bottom w:val="none" w:sz="0" w:space="0" w:color="auto"/>
                <w:right w:val="none" w:sz="0" w:space="0" w:color="auto"/>
              </w:divBdr>
              <w:divsChild>
                <w:div w:id="838932537">
                  <w:marLeft w:val="0"/>
                  <w:marRight w:val="0"/>
                  <w:marTop w:val="0"/>
                  <w:marBottom w:val="0"/>
                  <w:divBdr>
                    <w:top w:val="none" w:sz="0" w:space="0" w:color="auto"/>
                    <w:left w:val="none" w:sz="0" w:space="0" w:color="auto"/>
                    <w:bottom w:val="none" w:sz="0" w:space="0" w:color="auto"/>
                    <w:right w:val="none" w:sz="0" w:space="0" w:color="auto"/>
                  </w:divBdr>
                </w:div>
                <w:div w:id="1450508341">
                  <w:marLeft w:val="0"/>
                  <w:marRight w:val="0"/>
                  <w:marTop w:val="0"/>
                  <w:marBottom w:val="0"/>
                  <w:divBdr>
                    <w:top w:val="none" w:sz="0" w:space="0" w:color="auto"/>
                    <w:left w:val="none" w:sz="0" w:space="0" w:color="auto"/>
                    <w:bottom w:val="none" w:sz="0" w:space="0" w:color="auto"/>
                    <w:right w:val="none" w:sz="0" w:space="0" w:color="auto"/>
                  </w:divBdr>
                </w:div>
                <w:div w:id="1484545261">
                  <w:marLeft w:val="0"/>
                  <w:marRight w:val="0"/>
                  <w:marTop w:val="0"/>
                  <w:marBottom w:val="0"/>
                  <w:divBdr>
                    <w:top w:val="none" w:sz="0" w:space="0" w:color="auto"/>
                    <w:left w:val="none" w:sz="0" w:space="0" w:color="auto"/>
                    <w:bottom w:val="none" w:sz="0" w:space="0" w:color="auto"/>
                    <w:right w:val="none" w:sz="0" w:space="0" w:color="auto"/>
                  </w:divBdr>
                </w:div>
                <w:div w:id="2028285560">
                  <w:marLeft w:val="0"/>
                  <w:marRight w:val="0"/>
                  <w:marTop w:val="0"/>
                  <w:marBottom w:val="0"/>
                  <w:divBdr>
                    <w:top w:val="none" w:sz="0" w:space="0" w:color="auto"/>
                    <w:left w:val="none" w:sz="0" w:space="0" w:color="auto"/>
                    <w:bottom w:val="none" w:sz="0" w:space="0" w:color="auto"/>
                    <w:right w:val="none" w:sz="0" w:space="0" w:color="auto"/>
                  </w:divBdr>
                </w:div>
              </w:divsChild>
            </w:div>
            <w:div w:id="667366694">
              <w:marLeft w:val="0"/>
              <w:marRight w:val="0"/>
              <w:marTop w:val="0"/>
              <w:marBottom w:val="0"/>
              <w:divBdr>
                <w:top w:val="none" w:sz="0" w:space="0" w:color="auto"/>
                <w:left w:val="none" w:sz="0" w:space="0" w:color="auto"/>
                <w:bottom w:val="none" w:sz="0" w:space="0" w:color="auto"/>
                <w:right w:val="none" w:sz="0" w:space="0" w:color="auto"/>
              </w:divBdr>
              <w:divsChild>
                <w:div w:id="279455212">
                  <w:marLeft w:val="0"/>
                  <w:marRight w:val="0"/>
                  <w:marTop w:val="0"/>
                  <w:marBottom w:val="0"/>
                  <w:divBdr>
                    <w:top w:val="none" w:sz="0" w:space="0" w:color="auto"/>
                    <w:left w:val="none" w:sz="0" w:space="0" w:color="auto"/>
                    <w:bottom w:val="none" w:sz="0" w:space="0" w:color="auto"/>
                    <w:right w:val="none" w:sz="0" w:space="0" w:color="auto"/>
                  </w:divBdr>
                </w:div>
                <w:div w:id="1739017045">
                  <w:marLeft w:val="0"/>
                  <w:marRight w:val="0"/>
                  <w:marTop w:val="0"/>
                  <w:marBottom w:val="0"/>
                  <w:divBdr>
                    <w:top w:val="none" w:sz="0" w:space="0" w:color="auto"/>
                    <w:left w:val="none" w:sz="0" w:space="0" w:color="auto"/>
                    <w:bottom w:val="none" w:sz="0" w:space="0" w:color="auto"/>
                    <w:right w:val="none" w:sz="0" w:space="0" w:color="auto"/>
                  </w:divBdr>
                </w:div>
              </w:divsChild>
            </w:div>
            <w:div w:id="1134517196">
              <w:marLeft w:val="0"/>
              <w:marRight w:val="0"/>
              <w:marTop w:val="0"/>
              <w:marBottom w:val="0"/>
              <w:divBdr>
                <w:top w:val="none" w:sz="0" w:space="0" w:color="auto"/>
                <w:left w:val="none" w:sz="0" w:space="0" w:color="auto"/>
                <w:bottom w:val="none" w:sz="0" w:space="0" w:color="auto"/>
                <w:right w:val="none" w:sz="0" w:space="0" w:color="auto"/>
              </w:divBdr>
              <w:divsChild>
                <w:div w:id="1257057905">
                  <w:marLeft w:val="0"/>
                  <w:marRight w:val="0"/>
                  <w:marTop w:val="0"/>
                  <w:marBottom w:val="0"/>
                  <w:divBdr>
                    <w:top w:val="none" w:sz="0" w:space="0" w:color="auto"/>
                    <w:left w:val="none" w:sz="0" w:space="0" w:color="auto"/>
                    <w:bottom w:val="none" w:sz="0" w:space="0" w:color="auto"/>
                    <w:right w:val="none" w:sz="0" w:space="0" w:color="auto"/>
                  </w:divBdr>
                </w:div>
                <w:div w:id="1258825732">
                  <w:marLeft w:val="0"/>
                  <w:marRight w:val="0"/>
                  <w:marTop w:val="0"/>
                  <w:marBottom w:val="0"/>
                  <w:divBdr>
                    <w:top w:val="none" w:sz="0" w:space="0" w:color="auto"/>
                    <w:left w:val="none" w:sz="0" w:space="0" w:color="auto"/>
                    <w:bottom w:val="none" w:sz="0" w:space="0" w:color="auto"/>
                    <w:right w:val="none" w:sz="0" w:space="0" w:color="auto"/>
                  </w:divBdr>
                </w:div>
              </w:divsChild>
            </w:div>
            <w:div w:id="1411728364">
              <w:marLeft w:val="0"/>
              <w:marRight w:val="0"/>
              <w:marTop w:val="0"/>
              <w:marBottom w:val="0"/>
              <w:divBdr>
                <w:top w:val="none" w:sz="0" w:space="0" w:color="auto"/>
                <w:left w:val="none" w:sz="0" w:space="0" w:color="auto"/>
                <w:bottom w:val="none" w:sz="0" w:space="0" w:color="auto"/>
                <w:right w:val="none" w:sz="0" w:space="0" w:color="auto"/>
              </w:divBdr>
              <w:divsChild>
                <w:div w:id="296225595">
                  <w:marLeft w:val="0"/>
                  <w:marRight w:val="0"/>
                  <w:marTop w:val="0"/>
                  <w:marBottom w:val="0"/>
                  <w:divBdr>
                    <w:top w:val="none" w:sz="0" w:space="0" w:color="auto"/>
                    <w:left w:val="none" w:sz="0" w:space="0" w:color="auto"/>
                    <w:bottom w:val="none" w:sz="0" w:space="0" w:color="auto"/>
                    <w:right w:val="none" w:sz="0" w:space="0" w:color="auto"/>
                  </w:divBdr>
                </w:div>
                <w:div w:id="1886484751">
                  <w:marLeft w:val="0"/>
                  <w:marRight w:val="0"/>
                  <w:marTop w:val="0"/>
                  <w:marBottom w:val="0"/>
                  <w:divBdr>
                    <w:top w:val="none" w:sz="0" w:space="0" w:color="auto"/>
                    <w:left w:val="none" w:sz="0" w:space="0" w:color="auto"/>
                    <w:bottom w:val="none" w:sz="0" w:space="0" w:color="auto"/>
                    <w:right w:val="none" w:sz="0" w:space="0" w:color="auto"/>
                  </w:divBdr>
                </w:div>
              </w:divsChild>
            </w:div>
            <w:div w:id="1533878495">
              <w:marLeft w:val="0"/>
              <w:marRight w:val="0"/>
              <w:marTop w:val="0"/>
              <w:marBottom w:val="0"/>
              <w:divBdr>
                <w:top w:val="none" w:sz="0" w:space="0" w:color="auto"/>
                <w:left w:val="none" w:sz="0" w:space="0" w:color="auto"/>
                <w:bottom w:val="none" w:sz="0" w:space="0" w:color="auto"/>
                <w:right w:val="none" w:sz="0" w:space="0" w:color="auto"/>
              </w:divBdr>
              <w:divsChild>
                <w:div w:id="1106922303">
                  <w:marLeft w:val="0"/>
                  <w:marRight w:val="0"/>
                  <w:marTop w:val="0"/>
                  <w:marBottom w:val="0"/>
                  <w:divBdr>
                    <w:top w:val="none" w:sz="0" w:space="0" w:color="auto"/>
                    <w:left w:val="none" w:sz="0" w:space="0" w:color="auto"/>
                    <w:bottom w:val="none" w:sz="0" w:space="0" w:color="auto"/>
                    <w:right w:val="none" w:sz="0" w:space="0" w:color="auto"/>
                  </w:divBdr>
                </w:div>
                <w:div w:id="15937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91596">
          <w:marLeft w:val="0"/>
          <w:marRight w:val="0"/>
          <w:marTop w:val="0"/>
          <w:marBottom w:val="0"/>
          <w:divBdr>
            <w:top w:val="none" w:sz="0" w:space="0" w:color="auto"/>
            <w:left w:val="none" w:sz="0" w:space="0" w:color="auto"/>
            <w:bottom w:val="none" w:sz="0" w:space="0" w:color="auto"/>
            <w:right w:val="none" w:sz="0" w:space="0" w:color="auto"/>
          </w:divBdr>
          <w:divsChild>
            <w:div w:id="1930502413">
              <w:marLeft w:val="0"/>
              <w:marRight w:val="0"/>
              <w:marTop w:val="0"/>
              <w:marBottom w:val="0"/>
              <w:divBdr>
                <w:top w:val="none" w:sz="0" w:space="0" w:color="auto"/>
                <w:left w:val="none" w:sz="0" w:space="0" w:color="auto"/>
                <w:bottom w:val="none" w:sz="0" w:space="0" w:color="auto"/>
                <w:right w:val="none" w:sz="0" w:space="0" w:color="auto"/>
              </w:divBdr>
              <w:divsChild>
                <w:div w:id="10484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5742">
      <w:bodyDiv w:val="1"/>
      <w:marLeft w:val="0"/>
      <w:marRight w:val="0"/>
      <w:marTop w:val="0"/>
      <w:marBottom w:val="0"/>
      <w:divBdr>
        <w:top w:val="none" w:sz="0" w:space="0" w:color="auto"/>
        <w:left w:val="none" w:sz="0" w:space="0" w:color="auto"/>
        <w:bottom w:val="none" w:sz="0" w:space="0" w:color="auto"/>
        <w:right w:val="none" w:sz="0" w:space="0" w:color="auto"/>
      </w:divBdr>
    </w:div>
    <w:div w:id="2002616000">
      <w:bodyDiv w:val="1"/>
      <w:marLeft w:val="0"/>
      <w:marRight w:val="0"/>
      <w:marTop w:val="0"/>
      <w:marBottom w:val="0"/>
      <w:divBdr>
        <w:top w:val="none" w:sz="0" w:space="0" w:color="auto"/>
        <w:left w:val="none" w:sz="0" w:space="0" w:color="auto"/>
        <w:bottom w:val="none" w:sz="0" w:space="0" w:color="auto"/>
        <w:right w:val="none" w:sz="0" w:space="0" w:color="auto"/>
      </w:divBdr>
    </w:div>
    <w:div w:id="2025470487">
      <w:bodyDiv w:val="1"/>
      <w:marLeft w:val="0"/>
      <w:marRight w:val="0"/>
      <w:marTop w:val="0"/>
      <w:marBottom w:val="0"/>
      <w:divBdr>
        <w:top w:val="none" w:sz="0" w:space="0" w:color="auto"/>
        <w:left w:val="none" w:sz="0" w:space="0" w:color="auto"/>
        <w:bottom w:val="none" w:sz="0" w:space="0" w:color="auto"/>
        <w:right w:val="none" w:sz="0" w:space="0" w:color="auto"/>
      </w:divBdr>
    </w:div>
    <w:div w:id="2034453693">
      <w:bodyDiv w:val="1"/>
      <w:marLeft w:val="0"/>
      <w:marRight w:val="0"/>
      <w:marTop w:val="0"/>
      <w:marBottom w:val="0"/>
      <w:divBdr>
        <w:top w:val="none" w:sz="0" w:space="0" w:color="auto"/>
        <w:left w:val="none" w:sz="0" w:space="0" w:color="auto"/>
        <w:bottom w:val="none" w:sz="0" w:space="0" w:color="auto"/>
        <w:right w:val="none" w:sz="0" w:space="0" w:color="auto"/>
      </w:divBdr>
    </w:div>
    <w:div w:id="2034499805">
      <w:bodyDiv w:val="1"/>
      <w:marLeft w:val="0"/>
      <w:marRight w:val="0"/>
      <w:marTop w:val="0"/>
      <w:marBottom w:val="0"/>
      <w:divBdr>
        <w:top w:val="none" w:sz="0" w:space="0" w:color="auto"/>
        <w:left w:val="none" w:sz="0" w:space="0" w:color="auto"/>
        <w:bottom w:val="none" w:sz="0" w:space="0" w:color="auto"/>
        <w:right w:val="none" w:sz="0" w:space="0" w:color="auto"/>
      </w:divBdr>
      <w:divsChild>
        <w:div w:id="511534875">
          <w:marLeft w:val="0"/>
          <w:marRight w:val="0"/>
          <w:marTop w:val="0"/>
          <w:marBottom w:val="0"/>
          <w:divBdr>
            <w:top w:val="none" w:sz="0" w:space="0" w:color="auto"/>
            <w:left w:val="none" w:sz="0" w:space="0" w:color="auto"/>
            <w:bottom w:val="none" w:sz="0" w:space="0" w:color="auto"/>
            <w:right w:val="none" w:sz="0" w:space="0" w:color="auto"/>
          </w:divBdr>
          <w:divsChild>
            <w:div w:id="95639561">
              <w:marLeft w:val="0"/>
              <w:marRight w:val="0"/>
              <w:marTop w:val="0"/>
              <w:marBottom w:val="0"/>
              <w:divBdr>
                <w:top w:val="none" w:sz="0" w:space="0" w:color="auto"/>
                <w:left w:val="none" w:sz="0" w:space="0" w:color="auto"/>
                <w:bottom w:val="none" w:sz="0" w:space="0" w:color="auto"/>
                <w:right w:val="none" w:sz="0" w:space="0" w:color="auto"/>
              </w:divBdr>
            </w:div>
            <w:div w:id="551844183">
              <w:marLeft w:val="0"/>
              <w:marRight w:val="0"/>
              <w:marTop w:val="0"/>
              <w:marBottom w:val="0"/>
              <w:divBdr>
                <w:top w:val="none" w:sz="0" w:space="0" w:color="auto"/>
                <w:left w:val="none" w:sz="0" w:space="0" w:color="auto"/>
                <w:bottom w:val="none" w:sz="0" w:space="0" w:color="auto"/>
                <w:right w:val="none" w:sz="0" w:space="0" w:color="auto"/>
              </w:divBdr>
            </w:div>
            <w:div w:id="1815945446">
              <w:marLeft w:val="0"/>
              <w:marRight w:val="0"/>
              <w:marTop w:val="0"/>
              <w:marBottom w:val="0"/>
              <w:divBdr>
                <w:top w:val="none" w:sz="0" w:space="0" w:color="auto"/>
                <w:left w:val="none" w:sz="0" w:space="0" w:color="auto"/>
                <w:bottom w:val="none" w:sz="0" w:space="0" w:color="auto"/>
                <w:right w:val="none" w:sz="0" w:space="0" w:color="auto"/>
              </w:divBdr>
            </w:div>
          </w:divsChild>
        </w:div>
        <w:div w:id="654721392">
          <w:marLeft w:val="0"/>
          <w:marRight w:val="0"/>
          <w:marTop w:val="0"/>
          <w:marBottom w:val="0"/>
          <w:divBdr>
            <w:top w:val="none" w:sz="0" w:space="0" w:color="auto"/>
            <w:left w:val="none" w:sz="0" w:space="0" w:color="auto"/>
            <w:bottom w:val="none" w:sz="0" w:space="0" w:color="auto"/>
            <w:right w:val="none" w:sz="0" w:space="0" w:color="auto"/>
          </w:divBdr>
          <w:divsChild>
            <w:div w:id="1520378">
              <w:marLeft w:val="0"/>
              <w:marRight w:val="0"/>
              <w:marTop w:val="0"/>
              <w:marBottom w:val="0"/>
              <w:divBdr>
                <w:top w:val="none" w:sz="0" w:space="0" w:color="auto"/>
                <w:left w:val="none" w:sz="0" w:space="0" w:color="auto"/>
                <w:bottom w:val="none" w:sz="0" w:space="0" w:color="auto"/>
                <w:right w:val="none" w:sz="0" w:space="0" w:color="auto"/>
              </w:divBdr>
            </w:div>
            <w:div w:id="1746417778">
              <w:marLeft w:val="0"/>
              <w:marRight w:val="0"/>
              <w:marTop w:val="0"/>
              <w:marBottom w:val="0"/>
              <w:divBdr>
                <w:top w:val="none" w:sz="0" w:space="0" w:color="auto"/>
                <w:left w:val="none" w:sz="0" w:space="0" w:color="auto"/>
                <w:bottom w:val="none" w:sz="0" w:space="0" w:color="auto"/>
                <w:right w:val="none" w:sz="0" w:space="0" w:color="auto"/>
              </w:divBdr>
            </w:div>
          </w:divsChild>
        </w:div>
        <w:div w:id="681863335">
          <w:marLeft w:val="0"/>
          <w:marRight w:val="0"/>
          <w:marTop w:val="0"/>
          <w:marBottom w:val="0"/>
          <w:divBdr>
            <w:top w:val="none" w:sz="0" w:space="0" w:color="auto"/>
            <w:left w:val="none" w:sz="0" w:space="0" w:color="auto"/>
            <w:bottom w:val="none" w:sz="0" w:space="0" w:color="auto"/>
            <w:right w:val="none" w:sz="0" w:space="0" w:color="auto"/>
          </w:divBdr>
          <w:divsChild>
            <w:div w:id="519441670">
              <w:marLeft w:val="0"/>
              <w:marRight w:val="0"/>
              <w:marTop w:val="0"/>
              <w:marBottom w:val="0"/>
              <w:divBdr>
                <w:top w:val="none" w:sz="0" w:space="0" w:color="auto"/>
                <w:left w:val="none" w:sz="0" w:space="0" w:color="auto"/>
                <w:bottom w:val="none" w:sz="0" w:space="0" w:color="auto"/>
                <w:right w:val="none" w:sz="0" w:space="0" w:color="auto"/>
              </w:divBdr>
            </w:div>
            <w:div w:id="549534314">
              <w:marLeft w:val="0"/>
              <w:marRight w:val="0"/>
              <w:marTop w:val="0"/>
              <w:marBottom w:val="0"/>
              <w:divBdr>
                <w:top w:val="none" w:sz="0" w:space="0" w:color="auto"/>
                <w:left w:val="none" w:sz="0" w:space="0" w:color="auto"/>
                <w:bottom w:val="none" w:sz="0" w:space="0" w:color="auto"/>
                <w:right w:val="none" w:sz="0" w:space="0" w:color="auto"/>
              </w:divBdr>
            </w:div>
          </w:divsChild>
        </w:div>
        <w:div w:id="1274632908">
          <w:marLeft w:val="0"/>
          <w:marRight w:val="0"/>
          <w:marTop w:val="0"/>
          <w:marBottom w:val="0"/>
          <w:divBdr>
            <w:top w:val="none" w:sz="0" w:space="0" w:color="auto"/>
            <w:left w:val="none" w:sz="0" w:space="0" w:color="auto"/>
            <w:bottom w:val="none" w:sz="0" w:space="0" w:color="auto"/>
            <w:right w:val="none" w:sz="0" w:space="0" w:color="auto"/>
          </w:divBdr>
          <w:divsChild>
            <w:div w:id="1705518873">
              <w:marLeft w:val="0"/>
              <w:marRight w:val="0"/>
              <w:marTop w:val="0"/>
              <w:marBottom w:val="0"/>
              <w:divBdr>
                <w:top w:val="none" w:sz="0" w:space="0" w:color="auto"/>
                <w:left w:val="none" w:sz="0" w:space="0" w:color="auto"/>
                <w:bottom w:val="none" w:sz="0" w:space="0" w:color="auto"/>
                <w:right w:val="none" w:sz="0" w:space="0" w:color="auto"/>
              </w:divBdr>
            </w:div>
            <w:div w:id="2042239944">
              <w:marLeft w:val="0"/>
              <w:marRight w:val="0"/>
              <w:marTop w:val="0"/>
              <w:marBottom w:val="0"/>
              <w:divBdr>
                <w:top w:val="none" w:sz="0" w:space="0" w:color="auto"/>
                <w:left w:val="none" w:sz="0" w:space="0" w:color="auto"/>
                <w:bottom w:val="none" w:sz="0" w:space="0" w:color="auto"/>
                <w:right w:val="none" w:sz="0" w:space="0" w:color="auto"/>
              </w:divBdr>
            </w:div>
          </w:divsChild>
        </w:div>
        <w:div w:id="2098943402">
          <w:marLeft w:val="0"/>
          <w:marRight w:val="0"/>
          <w:marTop w:val="0"/>
          <w:marBottom w:val="0"/>
          <w:divBdr>
            <w:top w:val="none" w:sz="0" w:space="0" w:color="auto"/>
            <w:left w:val="none" w:sz="0" w:space="0" w:color="auto"/>
            <w:bottom w:val="none" w:sz="0" w:space="0" w:color="auto"/>
            <w:right w:val="none" w:sz="0" w:space="0" w:color="auto"/>
          </w:divBdr>
          <w:divsChild>
            <w:div w:id="76099408">
              <w:marLeft w:val="0"/>
              <w:marRight w:val="0"/>
              <w:marTop w:val="0"/>
              <w:marBottom w:val="0"/>
              <w:divBdr>
                <w:top w:val="none" w:sz="0" w:space="0" w:color="auto"/>
                <w:left w:val="none" w:sz="0" w:space="0" w:color="auto"/>
                <w:bottom w:val="none" w:sz="0" w:space="0" w:color="auto"/>
                <w:right w:val="none" w:sz="0" w:space="0" w:color="auto"/>
              </w:divBdr>
            </w:div>
            <w:div w:id="4617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9083">
      <w:bodyDiv w:val="1"/>
      <w:marLeft w:val="0"/>
      <w:marRight w:val="0"/>
      <w:marTop w:val="0"/>
      <w:marBottom w:val="0"/>
      <w:divBdr>
        <w:top w:val="none" w:sz="0" w:space="0" w:color="auto"/>
        <w:left w:val="none" w:sz="0" w:space="0" w:color="auto"/>
        <w:bottom w:val="none" w:sz="0" w:space="0" w:color="auto"/>
        <w:right w:val="none" w:sz="0" w:space="0" w:color="auto"/>
      </w:divBdr>
    </w:div>
    <w:div w:id="2038240013">
      <w:bodyDiv w:val="1"/>
      <w:marLeft w:val="0"/>
      <w:marRight w:val="0"/>
      <w:marTop w:val="0"/>
      <w:marBottom w:val="0"/>
      <w:divBdr>
        <w:top w:val="none" w:sz="0" w:space="0" w:color="auto"/>
        <w:left w:val="none" w:sz="0" w:space="0" w:color="auto"/>
        <w:bottom w:val="none" w:sz="0" w:space="0" w:color="auto"/>
        <w:right w:val="none" w:sz="0" w:space="0" w:color="auto"/>
      </w:divBdr>
      <w:divsChild>
        <w:div w:id="666900428">
          <w:marLeft w:val="547"/>
          <w:marRight w:val="0"/>
          <w:marTop w:val="0"/>
          <w:marBottom w:val="0"/>
          <w:divBdr>
            <w:top w:val="none" w:sz="0" w:space="0" w:color="auto"/>
            <w:left w:val="none" w:sz="0" w:space="0" w:color="auto"/>
            <w:bottom w:val="none" w:sz="0" w:space="0" w:color="auto"/>
            <w:right w:val="none" w:sz="0" w:space="0" w:color="auto"/>
          </w:divBdr>
        </w:div>
      </w:divsChild>
    </w:div>
    <w:div w:id="2042589605">
      <w:bodyDiv w:val="1"/>
      <w:marLeft w:val="0"/>
      <w:marRight w:val="0"/>
      <w:marTop w:val="0"/>
      <w:marBottom w:val="0"/>
      <w:divBdr>
        <w:top w:val="none" w:sz="0" w:space="0" w:color="auto"/>
        <w:left w:val="none" w:sz="0" w:space="0" w:color="auto"/>
        <w:bottom w:val="none" w:sz="0" w:space="0" w:color="auto"/>
        <w:right w:val="none" w:sz="0" w:space="0" w:color="auto"/>
      </w:divBdr>
    </w:div>
    <w:div w:id="2051298458">
      <w:bodyDiv w:val="1"/>
      <w:marLeft w:val="0"/>
      <w:marRight w:val="0"/>
      <w:marTop w:val="0"/>
      <w:marBottom w:val="0"/>
      <w:divBdr>
        <w:top w:val="none" w:sz="0" w:space="0" w:color="auto"/>
        <w:left w:val="none" w:sz="0" w:space="0" w:color="auto"/>
        <w:bottom w:val="none" w:sz="0" w:space="0" w:color="auto"/>
        <w:right w:val="none" w:sz="0" w:space="0" w:color="auto"/>
      </w:divBdr>
      <w:divsChild>
        <w:div w:id="2068600164">
          <w:marLeft w:val="0"/>
          <w:marRight w:val="0"/>
          <w:marTop w:val="0"/>
          <w:marBottom w:val="0"/>
          <w:divBdr>
            <w:top w:val="none" w:sz="0" w:space="0" w:color="auto"/>
            <w:left w:val="none" w:sz="0" w:space="0" w:color="auto"/>
            <w:bottom w:val="none" w:sz="0" w:space="0" w:color="auto"/>
            <w:right w:val="none" w:sz="0" w:space="0" w:color="auto"/>
          </w:divBdr>
        </w:div>
      </w:divsChild>
    </w:div>
    <w:div w:id="2053840467">
      <w:bodyDiv w:val="1"/>
      <w:marLeft w:val="0"/>
      <w:marRight w:val="0"/>
      <w:marTop w:val="0"/>
      <w:marBottom w:val="0"/>
      <w:divBdr>
        <w:top w:val="none" w:sz="0" w:space="0" w:color="auto"/>
        <w:left w:val="none" w:sz="0" w:space="0" w:color="auto"/>
        <w:bottom w:val="none" w:sz="0" w:space="0" w:color="auto"/>
        <w:right w:val="none" w:sz="0" w:space="0" w:color="auto"/>
      </w:divBdr>
    </w:div>
    <w:div w:id="2064593502">
      <w:bodyDiv w:val="1"/>
      <w:marLeft w:val="0"/>
      <w:marRight w:val="0"/>
      <w:marTop w:val="0"/>
      <w:marBottom w:val="0"/>
      <w:divBdr>
        <w:top w:val="none" w:sz="0" w:space="0" w:color="auto"/>
        <w:left w:val="none" w:sz="0" w:space="0" w:color="auto"/>
        <w:bottom w:val="none" w:sz="0" w:space="0" w:color="auto"/>
        <w:right w:val="none" w:sz="0" w:space="0" w:color="auto"/>
      </w:divBdr>
    </w:div>
    <w:div w:id="2065828036">
      <w:bodyDiv w:val="1"/>
      <w:marLeft w:val="0"/>
      <w:marRight w:val="0"/>
      <w:marTop w:val="0"/>
      <w:marBottom w:val="0"/>
      <w:divBdr>
        <w:top w:val="none" w:sz="0" w:space="0" w:color="auto"/>
        <w:left w:val="none" w:sz="0" w:space="0" w:color="auto"/>
        <w:bottom w:val="none" w:sz="0" w:space="0" w:color="auto"/>
        <w:right w:val="none" w:sz="0" w:space="0" w:color="auto"/>
      </w:divBdr>
    </w:div>
    <w:div w:id="2068146810">
      <w:bodyDiv w:val="1"/>
      <w:marLeft w:val="0"/>
      <w:marRight w:val="0"/>
      <w:marTop w:val="0"/>
      <w:marBottom w:val="0"/>
      <w:divBdr>
        <w:top w:val="none" w:sz="0" w:space="0" w:color="auto"/>
        <w:left w:val="none" w:sz="0" w:space="0" w:color="auto"/>
        <w:bottom w:val="none" w:sz="0" w:space="0" w:color="auto"/>
        <w:right w:val="none" w:sz="0" w:space="0" w:color="auto"/>
      </w:divBdr>
    </w:div>
    <w:div w:id="2075005319">
      <w:bodyDiv w:val="1"/>
      <w:marLeft w:val="0"/>
      <w:marRight w:val="0"/>
      <w:marTop w:val="0"/>
      <w:marBottom w:val="0"/>
      <w:divBdr>
        <w:top w:val="none" w:sz="0" w:space="0" w:color="auto"/>
        <w:left w:val="none" w:sz="0" w:space="0" w:color="auto"/>
        <w:bottom w:val="none" w:sz="0" w:space="0" w:color="auto"/>
        <w:right w:val="none" w:sz="0" w:space="0" w:color="auto"/>
      </w:divBdr>
      <w:divsChild>
        <w:div w:id="426073334">
          <w:marLeft w:val="547"/>
          <w:marRight w:val="0"/>
          <w:marTop w:val="0"/>
          <w:marBottom w:val="0"/>
          <w:divBdr>
            <w:top w:val="none" w:sz="0" w:space="0" w:color="auto"/>
            <w:left w:val="none" w:sz="0" w:space="0" w:color="auto"/>
            <w:bottom w:val="none" w:sz="0" w:space="0" w:color="auto"/>
            <w:right w:val="none" w:sz="0" w:space="0" w:color="auto"/>
          </w:divBdr>
        </w:div>
      </w:divsChild>
    </w:div>
    <w:div w:id="2075464643">
      <w:bodyDiv w:val="1"/>
      <w:marLeft w:val="0"/>
      <w:marRight w:val="0"/>
      <w:marTop w:val="0"/>
      <w:marBottom w:val="0"/>
      <w:divBdr>
        <w:top w:val="none" w:sz="0" w:space="0" w:color="auto"/>
        <w:left w:val="none" w:sz="0" w:space="0" w:color="auto"/>
        <w:bottom w:val="none" w:sz="0" w:space="0" w:color="auto"/>
        <w:right w:val="none" w:sz="0" w:space="0" w:color="auto"/>
      </w:divBdr>
    </w:div>
    <w:div w:id="2081713821">
      <w:bodyDiv w:val="1"/>
      <w:marLeft w:val="0"/>
      <w:marRight w:val="0"/>
      <w:marTop w:val="0"/>
      <w:marBottom w:val="0"/>
      <w:divBdr>
        <w:top w:val="none" w:sz="0" w:space="0" w:color="auto"/>
        <w:left w:val="none" w:sz="0" w:space="0" w:color="auto"/>
        <w:bottom w:val="none" w:sz="0" w:space="0" w:color="auto"/>
        <w:right w:val="none" w:sz="0" w:space="0" w:color="auto"/>
      </w:divBdr>
    </w:div>
    <w:div w:id="2087342195">
      <w:bodyDiv w:val="1"/>
      <w:marLeft w:val="0"/>
      <w:marRight w:val="0"/>
      <w:marTop w:val="0"/>
      <w:marBottom w:val="0"/>
      <w:divBdr>
        <w:top w:val="none" w:sz="0" w:space="0" w:color="auto"/>
        <w:left w:val="none" w:sz="0" w:space="0" w:color="auto"/>
        <w:bottom w:val="none" w:sz="0" w:space="0" w:color="auto"/>
        <w:right w:val="none" w:sz="0" w:space="0" w:color="auto"/>
      </w:divBdr>
      <w:divsChild>
        <w:div w:id="1539126469">
          <w:marLeft w:val="0"/>
          <w:marRight w:val="0"/>
          <w:marTop w:val="0"/>
          <w:marBottom w:val="0"/>
          <w:divBdr>
            <w:top w:val="none" w:sz="0" w:space="0" w:color="auto"/>
            <w:left w:val="none" w:sz="0" w:space="0" w:color="auto"/>
            <w:bottom w:val="none" w:sz="0" w:space="0" w:color="auto"/>
            <w:right w:val="none" w:sz="0" w:space="0" w:color="auto"/>
          </w:divBdr>
        </w:div>
      </w:divsChild>
    </w:div>
    <w:div w:id="2095472548">
      <w:bodyDiv w:val="1"/>
      <w:marLeft w:val="0"/>
      <w:marRight w:val="0"/>
      <w:marTop w:val="0"/>
      <w:marBottom w:val="0"/>
      <w:divBdr>
        <w:top w:val="none" w:sz="0" w:space="0" w:color="auto"/>
        <w:left w:val="none" w:sz="0" w:space="0" w:color="auto"/>
        <w:bottom w:val="none" w:sz="0" w:space="0" w:color="auto"/>
        <w:right w:val="none" w:sz="0" w:space="0" w:color="auto"/>
      </w:divBdr>
      <w:divsChild>
        <w:div w:id="1031567361">
          <w:marLeft w:val="720"/>
          <w:marRight w:val="0"/>
          <w:marTop w:val="0"/>
          <w:marBottom w:val="0"/>
          <w:divBdr>
            <w:top w:val="none" w:sz="0" w:space="0" w:color="auto"/>
            <w:left w:val="none" w:sz="0" w:space="0" w:color="auto"/>
            <w:bottom w:val="none" w:sz="0" w:space="0" w:color="auto"/>
            <w:right w:val="none" w:sz="0" w:space="0" w:color="auto"/>
          </w:divBdr>
        </w:div>
        <w:div w:id="1629622193">
          <w:marLeft w:val="720"/>
          <w:marRight w:val="0"/>
          <w:marTop w:val="0"/>
          <w:marBottom w:val="0"/>
          <w:divBdr>
            <w:top w:val="none" w:sz="0" w:space="0" w:color="auto"/>
            <w:left w:val="none" w:sz="0" w:space="0" w:color="auto"/>
            <w:bottom w:val="none" w:sz="0" w:space="0" w:color="auto"/>
            <w:right w:val="none" w:sz="0" w:space="0" w:color="auto"/>
          </w:divBdr>
        </w:div>
      </w:divsChild>
    </w:div>
    <w:div w:id="2106000221">
      <w:bodyDiv w:val="1"/>
      <w:marLeft w:val="0"/>
      <w:marRight w:val="0"/>
      <w:marTop w:val="0"/>
      <w:marBottom w:val="0"/>
      <w:divBdr>
        <w:top w:val="none" w:sz="0" w:space="0" w:color="auto"/>
        <w:left w:val="none" w:sz="0" w:space="0" w:color="auto"/>
        <w:bottom w:val="none" w:sz="0" w:space="0" w:color="auto"/>
        <w:right w:val="none" w:sz="0" w:space="0" w:color="auto"/>
      </w:divBdr>
    </w:div>
    <w:div w:id="2122068229">
      <w:bodyDiv w:val="1"/>
      <w:marLeft w:val="0"/>
      <w:marRight w:val="0"/>
      <w:marTop w:val="0"/>
      <w:marBottom w:val="0"/>
      <w:divBdr>
        <w:top w:val="none" w:sz="0" w:space="0" w:color="auto"/>
        <w:left w:val="none" w:sz="0" w:space="0" w:color="auto"/>
        <w:bottom w:val="none" w:sz="0" w:space="0" w:color="auto"/>
        <w:right w:val="none" w:sz="0" w:space="0" w:color="auto"/>
      </w:divBdr>
    </w:div>
    <w:div w:id="2131508866">
      <w:bodyDiv w:val="1"/>
      <w:marLeft w:val="0"/>
      <w:marRight w:val="0"/>
      <w:marTop w:val="0"/>
      <w:marBottom w:val="0"/>
      <w:divBdr>
        <w:top w:val="none" w:sz="0" w:space="0" w:color="auto"/>
        <w:left w:val="none" w:sz="0" w:space="0" w:color="auto"/>
        <w:bottom w:val="none" w:sz="0" w:space="0" w:color="auto"/>
        <w:right w:val="none" w:sz="0" w:space="0" w:color="auto"/>
      </w:divBdr>
    </w:div>
    <w:div w:id="2134664642">
      <w:bodyDiv w:val="1"/>
      <w:marLeft w:val="0"/>
      <w:marRight w:val="0"/>
      <w:marTop w:val="0"/>
      <w:marBottom w:val="0"/>
      <w:divBdr>
        <w:top w:val="none" w:sz="0" w:space="0" w:color="auto"/>
        <w:left w:val="none" w:sz="0" w:space="0" w:color="auto"/>
        <w:bottom w:val="none" w:sz="0" w:space="0" w:color="auto"/>
        <w:right w:val="none" w:sz="0" w:space="0" w:color="auto"/>
      </w:divBdr>
    </w:div>
    <w:div w:id="2137212866">
      <w:bodyDiv w:val="1"/>
      <w:marLeft w:val="0"/>
      <w:marRight w:val="0"/>
      <w:marTop w:val="0"/>
      <w:marBottom w:val="0"/>
      <w:divBdr>
        <w:top w:val="none" w:sz="0" w:space="0" w:color="auto"/>
        <w:left w:val="none" w:sz="0" w:space="0" w:color="auto"/>
        <w:bottom w:val="none" w:sz="0" w:space="0" w:color="auto"/>
        <w:right w:val="none" w:sz="0" w:space="0" w:color="auto"/>
      </w:divBdr>
    </w:div>
    <w:div w:id="2144881158">
      <w:bodyDiv w:val="1"/>
      <w:marLeft w:val="0"/>
      <w:marRight w:val="0"/>
      <w:marTop w:val="0"/>
      <w:marBottom w:val="0"/>
      <w:divBdr>
        <w:top w:val="none" w:sz="0" w:space="0" w:color="auto"/>
        <w:left w:val="none" w:sz="0" w:space="0" w:color="auto"/>
        <w:bottom w:val="none" w:sz="0" w:space="0" w:color="auto"/>
        <w:right w:val="none" w:sz="0" w:space="0" w:color="auto"/>
      </w:divBdr>
      <w:divsChild>
        <w:div w:id="2067220545">
          <w:marLeft w:val="0"/>
          <w:marRight w:val="0"/>
          <w:marTop w:val="0"/>
          <w:marBottom w:val="0"/>
          <w:divBdr>
            <w:top w:val="none" w:sz="0" w:space="0" w:color="auto"/>
            <w:left w:val="none" w:sz="0" w:space="0" w:color="auto"/>
            <w:bottom w:val="none" w:sz="0" w:space="0" w:color="auto"/>
            <w:right w:val="none" w:sz="0" w:space="0" w:color="auto"/>
          </w:divBdr>
        </w:div>
        <w:div w:id="2082831652">
          <w:marLeft w:val="0"/>
          <w:marRight w:val="0"/>
          <w:marTop w:val="0"/>
          <w:marBottom w:val="0"/>
          <w:divBdr>
            <w:top w:val="none" w:sz="0" w:space="0" w:color="auto"/>
            <w:left w:val="none" w:sz="0" w:space="0" w:color="auto"/>
            <w:bottom w:val="none" w:sz="0" w:space="0" w:color="auto"/>
            <w:right w:val="none" w:sz="0" w:space="0" w:color="auto"/>
          </w:divBdr>
        </w:div>
        <w:div w:id="2142116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diagramLayout" Target="diagrams/layout10.xml"/><Relationship Id="rId21" Type="http://schemas.openxmlformats.org/officeDocument/2006/relationships/diagramColors" Target="diagrams/colors1.xml"/><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chart" Target="charts/chart21.xml"/><Relationship Id="rId68" Type="http://schemas.openxmlformats.org/officeDocument/2006/relationships/diagramQuickStyle" Target="diagrams/quickStyle5.xml"/><Relationship Id="rId84" Type="http://schemas.openxmlformats.org/officeDocument/2006/relationships/chart" Target="charts/chart27.xml"/><Relationship Id="rId89" Type="http://schemas.microsoft.com/office/2007/relationships/diagramDrawing" Target="diagrams/drawing7.xml"/><Relationship Id="rId112" Type="http://schemas.openxmlformats.org/officeDocument/2006/relationships/chart" Target="charts/chart32.xml"/><Relationship Id="rId133" Type="http://schemas.openxmlformats.org/officeDocument/2006/relationships/chart" Target="charts/chart37.xml"/><Relationship Id="rId138" Type="http://schemas.microsoft.com/office/2007/relationships/diagramDrawing" Target="diagrams/drawing12.xml"/><Relationship Id="rId154" Type="http://schemas.openxmlformats.org/officeDocument/2006/relationships/diagramQuickStyle" Target="diagrams/quickStyle13.xml"/><Relationship Id="rId159" Type="http://schemas.openxmlformats.org/officeDocument/2006/relationships/chart" Target="charts/chart44.xml"/><Relationship Id="rId175" Type="http://schemas.openxmlformats.org/officeDocument/2006/relationships/chart" Target="charts/chart53.xml"/><Relationship Id="rId170" Type="http://schemas.openxmlformats.org/officeDocument/2006/relationships/chart" Target="charts/chart48.xml"/><Relationship Id="rId16" Type="http://schemas.openxmlformats.org/officeDocument/2006/relationships/hyperlink" Target="http://rpo.slaskie.pl/zalaczniki/2012/02/03/big/1328277981.jpg" TargetMode="External"/><Relationship Id="rId107" Type="http://schemas.openxmlformats.org/officeDocument/2006/relationships/diagramData" Target="diagrams/data9.xml"/><Relationship Id="rId11" Type="http://schemas.openxmlformats.org/officeDocument/2006/relationships/image" Target="media/image2.jpeg"/><Relationship Id="rId32" Type="http://schemas.openxmlformats.org/officeDocument/2006/relationships/chart" Target="charts/chart2.xml"/><Relationship Id="rId37" Type="http://schemas.openxmlformats.org/officeDocument/2006/relationships/diagramLayout" Target="diagrams/layout3.xml"/><Relationship Id="rId53" Type="http://schemas.openxmlformats.org/officeDocument/2006/relationships/footer" Target="footer3.xml"/><Relationship Id="rId58" Type="http://schemas.openxmlformats.org/officeDocument/2006/relationships/diagramLayout" Target="diagrams/layout4.xml"/><Relationship Id="rId74" Type="http://schemas.openxmlformats.org/officeDocument/2006/relationships/image" Target="media/image9.jpeg"/><Relationship Id="rId79" Type="http://schemas.openxmlformats.org/officeDocument/2006/relationships/diagramColors" Target="diagrams/colors6.xml"/><Relationship Id="rId102" Type="http://schemas.openxmlformats.org/officeDocument/2006/relationships/chart" Target="charts/chart30.xml"/><Relationship Id="rId123" Type="http://schemas.openxmlformats.org/officeDocument/2006/relationships/chart" Target="charts/chart35.xml"/><Relationship Id="rId128" Type="http://schemas.microsoft.com/office/2007/relationships/diagramDrawing" Target="diagrams/drawing11.xml"/><Relationship Id="rId144" Type="http://schemas.openxmlformats.org/officeDocument/2006/relationships/chart" Target="charts/chart41.xml"/><Relationship Id="rId149" Type="http://schemas.openxmlformats.org/officeDocument/2006/relationships/image" Target="media/image23.jpeg"/><Relationship Id="rId5" Type="http://schemas.openxmlformats.org/officeDocument/2006/relationships/settings" Target="settings.xml"/><Relationship Id="rId90" Type="http://schemas.openxmlformats.org/officeDocument/2006/relationships/chart" Target="charts/chart28.xml"/><Relationship Id="rId95" Type="http://schemas.openxmlformats.org/officeDocument/2006/relationships/image" Target="media/image12.jpeg"/><Relationship Id="rId160" Type="http://schemas.openxmlformats.org/officeDocument/2006/relationships/chart" Target="charts/chart45.xml"/><Relationship Id="rId165" Type="http://schemas.openxmlformats.org/officeDocument/2006/relationships/diagramLayout" Target="diagrams/layout14.xml"/><Relationship Id="rId181" Type="http://schemas.openxmlformats.org/officeDocument/2006/relationships/image" Target="media/image29.png"/><Relationship Id="rId22" Type="http://schemas.microsoft.com/office/2007/relationships/diagramDrawing" Target="diagrams/drawing1.xml"/><Relationship Id="rId27" Type="http://schemas.openxmlformats.org/officeDocument/2006/relationships/diagramLayout" Target="diagrams/layout2.xml"/><Relationship Id="rId43" Type="http://schemas.openxmlformats.org/officeDocument/2006/relationships/chart" Target="charts/chart8.xml"/><Relationship Id="rId48" Type="http://schemas.openxmlformats.org/officeDocument/2006/relationships/chart" Target="charts/chart13.xml"/><Relationship Id="rId64" Type="http://schemas.openxmlformats.org/officeDocument/2006/relationships/chart" Target="charts/chart22.xml"/><Relationship Id="rId69" Type="http://schemas.openxmlformats.org/officeDocument/2006/relationships/diagramColors" Target="diagrams/colors5.xml"/><Relationship Id="rId113" Type="http://schemas.openxmlformats.org/officeDocument/2006/relationships/footer" Target="footer4.xml"/><Relationship Id="rId118" Type="http://schemas.openxmlformats.org/officeDocument/2006/relationships/diagramQuickStyle" Target="diagrams/quickStyle10.xml"/><Relationship Id="rId134" Type="http://schemas.openxmlformats.org/officeDocument/2006/relationships/diagramData" Target="diagrams/data12.xml"/><Relationship Id="rId139" Type="http://schemas.openxmlformats.org/officeDocument/2006/relationships/chart" Target="charts/chart38.xml"/><Relationship Id="rId80" Type="http://schemas.microsoft.com/office/2007/relationships/diagramDrawing" Target="diagrams/drawing6.xml"/><Relationship Id="rId85" Type="http://schemas.openxmlformats.org/officeDocument/2006/relationships/diagramData" Target="diagrams/data7.xml"/><Relationship Id="rId150" Type="http://schemas.openxmlformats.org/officeDocument/2006/relationships/hyperlink" Target="http://rpo.slaskie.pl/zalaczniki/2011/03/14/big/1300087871.jpg" TargetMode="External"/><Relationship Id="rId155" Type="http://schemas.openxmlformats.org/officeDocument/2006/relationships/diagramColors" Target="diagrams/colors13.xml"/><Relationship Id="rId171" Type="http://schemas.openxmlformats.org/officeDocument/2006/relationships/chart" Target="charts/chart49.xml"/><Relationship Id="rId176" Type="http://schemas.openxmlformats.org/officeDocument/2006/relationships/chart" Target="charts/chart54.xml"/><Relationship Id="rId12" Type="http://schemas.openxmlformats.org/officeDocument/2006/relationships/hyperlink" Target="http://rpo.slaskie.pl/zalaczniki/2011/04/18/big/1303111206.jpg" TargetMode="External"/><Relationship Id="rId17" Type="http://schemas.openxmlformats.org/officeDocument/2006/relationships/image" Target="media/image5.jpeg"/><Relationship Id="rId33" Type="http://schemas.openxmlformats.org/officeDocument/2006/relationships/chart" Target="charts/chart3.xml"/><Relationship Id="rId38" Type="http://schemas.openxmlformats.org/officeDocument/2006/relationships/diagramQuickStyle" Target="diagrams/quickStyle3.xml"/><Relationship Id="rId59" Type="http://schemas.openxmlformats.org/officeDocument/2006/relationships/diagramQuickStyle" Target="diagrams/quickStyle4.xml"/><Relationship Id="rId103" Type="http://schemas.openxmlformats.org/officeDocument/2006/relationships/image" Target="media/image13.emf"/><Relationship Id="rId108" Type="http://schemas.openxmlformats.org/officeDocument/2006/relationships/diagramLayout" Target="diagrams/layout9.xml"/><Relationship Id="rId124" Type="http://schemas.openxmlformats.org/officeDocument/2006/relationships/diagramData" Target="diagrams/data11.xml"/><Relationship Id="rId129" Type="http://schemas.openxmlformats.org/officeDocument/2006/relationships/chart" Target="charts/chart36.xml"/><Relationship Id="rId54" Type="http://schemas.openxmlformats.org/officeDocument/2006/relationships/chart" Target="charts/chart17.xml"/><Relationship Id="rId70" Type="http://schemas.microsoft.com/office/2007/relationships/diagramDrawing" Target="diagrams/drawing5.xml"/><Relationship Id="rId75" Type="http://schemas.openxmlformats.org/officeDocument/2006/relationships/chart" Target="charts/chart25.xml"/><Relationship Id="rId91" Type="http://schemas.openxmlformats.org/officeDocument/2006/relationships/image" Target="media/image11.emf"/><Relationship Id="rId96" Type="http://schemas.openxmlformats.org/officeDocument/2006/relationships/chart" Target="charts/chart29.xml"/><Relationship Id="rId140" Type="http://schemas.openxmlformats.org/officeDocument/2006/relationships/image" Target="media/image19.emf"/><Relationship Id="rId145" Type="http://schemas.openxmlformats.org/officeDocument/2006/relationships/image" Target="media/image21.jpeg"/><Relationship Id="rId161" Type="http://schemas.openxmlformats.org/officeDocument/2006/relationships/chart" Target="charts/chart46.xml"/><Relationship Id="rId166" Type="http://schemas.openxmlformats.org/officeDocument/2006/relationships/diagramQuickStyle" Target="diagrams/quickStyle14.xml"/><Relationship Id="rId18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diagramQuickStyle" Target="diagrams/quickStyle2.xml"/><Relationship Id="rId49" Type="http://schemas.openxmlformats.org/officeDocument/2006/relationships/chart" Target="charts/chart14.xml"/><Relationship Id="rId114" Type="http://schemas.openxmlformats.org/officeDocument/2006/relationships/image" Target="media/image15.emf"/><Relationship Id="rId119" Type="http://schemas.openxmlformats.org/officeDocument/2006/relationships/diagramColors" Target="diagrams/colors10.xml"/><Relationship Id="rId44" Type="http://schemas.openxmlformats.org/officeDocument/2006/relationships/chart" Target="charts/chart9.xml"/><Relationship Id="rId60" Type="http://schemas.openxmlformats.org/officeDocument/2006/relationships/diagramColors" Target="diagrams/colors4.xml"/><Relationship Id="rId65" Type="http://schemas.openxmlformats.org/officeDocument/2006/relationships/chart" Target="charts/chart23.xml"/><Relationship Id="rId81" Type="http://schemas.openxmlformats.org/officeDocument/2006/relationships/hyperlink" Target="http://moto.pl/MotoPL/0,0.html" TargetMode="External"/><Relationship Id="rId86" Type="http://schemas.openxmlformats.org/officeDocument/2006/relationships/diagramLayout" Target="diagrams/layout7.xml"/><Relationship Id="rId130" Type="http://schemas.openxmlformats.org/officeDocument/2006/relationships/image" Target="media/image17.emf"/><Relationship Id="rId135" Type="http://schemas.openxmlformats.org/officeDocument/2006/relationships/diagramLayout" Target="diagrams/layout12.xml"/><Relationship Id="rId151" Type="http://schemas.openxmlformats.org/officeDocument/2006/relationships/image" Target="media/image24.jpeg"/><Relationship Id="rId156" Type="http://schemas.microsoft.com/office/2007/relationships/diagramDrawing" Target="diagrams/drawing13.xml"/><Relationship Id="rId177"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chart" Target="charts/chart50.xml"/><Relationship Id="rId180" Type="http://schemas.openxmlformats.org/officeDocument/2006/relationships/image" Target="media/image28.jpeg"/><Relationship Id="rId13" Type="http://schemas.openxmlformats.org/officeDocument/2006/relationships/image" Target="media/image3.jpeg"/><Relationship Id="rId18" Type="http://schemas.openxmlformats.org/officeDocument/2006/relationships/diagramData" Target="diagrams/data1.xml"/><Relationship Id="rId39" Type="http://schemas.openxmlformats.org/officeDocument/2006/relationships/diagramColors" Target="diagrams/colors3.xml"/><Relationship Id="rId109" Type="http://schemas.openxmlformats.org/officeDocument/2006/relationships/diagramQuickStyle" Target="diagrams/quickStyle9.xml"/><Relationship Id="rId34" Type="http://schemas.openxmlformats.org/officeDocument/2006/relationships/chart" Target="charts/chart4.xml"/><Relationship Id="rId50" Type="http://schemas.openxmlformats.org/officeDocument/2006/relationships/chart" Target="charts/chart15.xml"/><Relationship Id="rId55" Type="http://schemas.openxmlformats.org/officeDocument/2006/relationships/chart" Target="charts/chart18.xml"/><Relationship Id="rId76" Type="http://schemas.openxmlformats.org/officeDocument/2006/relationships/diagramData" Target="diagrams/data6.xml"/><Relationship Id="rId97" Type="http://schemas.openxmlformats.org/officeDocument/2006/relationships/diagramData" Target="diagrams/data8.xml"/><Relationship Id="rId104" Type="http://schemas.openxmlformats.org/officeDocument/2006/relationships/hyperlink" Target="http://rpo.slaskie.pl/zalaczniki/2012/01/25/big/1327485449.jpg" TargetMode="External"/><Relationship Id="rId120" Type="http://schemas.microsoft.com/office/2007/relationships/diagramDrawing" Target="diagrams/drawing10.xml"/><Relationship Id="rId125" Type="http://schemas.openxmlformats.org/officeDocument/2006/relationships/diagramLayout" Target="diagrams/layout11.xml"/><Relationship Id="rId141" Type="http://schemas.openxmlformats.org/officeDocument/2006/relationships/chart" Target="charts/chart39.xml"/><Relationship Id="rId146" Type="http://schemas.openxmlformats.org/officeDocument/2006/relationships/hyperlink" Target="http://rpo.slaskie.pl/zalaczniki/2011/04/27/big/1303911661.jpg" TargetMode="External"/><Relationship Id="rId167" Type="http://schemas.openxmlformats.org/officeDocument/2006/relationships/diagramColors" Target="diagrams/colors14.xml"/><Relationship Id="rId7" Type="http://schemas.openxmlformats.org/officeDocument/2006/relationships/footnotes" Target="footnotes.xml"/><Relationship Id="rId71" Type="http://schemas.openxmlformats.org/officeDocument/2006/relationships/chart" Target="charts/chart24.xml"/><Relationship Id="rId92" Type="http://schemas.openxmlformats.org/officeDocument/2006/relationships/hyperlink" Target="https://rpo.slaskie.pl/wnioski/admin/wniosek.php?id=5309" TargetMode="External"/><Relationship Id="rId162" Type="http://schemas.openxmlformats.org/officeDocument/2006/relationships/footer" Target="footer5.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header" Target="header1.xml"/><Relationship Id="rId40" Type="http://schemas.microsoft.com/office/2007/relationships/diagramDrawing" Target="diagrams/drawing3.xml"/><Relationship Id="rId45" Type="http://schemas.openxmlformats.org/officeDocument/2006/relationships/chart" Target="charts/chart10.xml"/><Relationship Id="rId66" Type="http://schemas.openxmlformats.org/officeDocument/2006/relationships/diagramData" Target="diagrams/data5.xml"/><Relationship Id="rId87" Type="http://schemas.openxmlformats.org/officeDocument/2006/relationships/diagramQuickStyle" Target="diagrams/quickStyle7.xml"/><Relationship Id="rId110" Type="http://schemas.openxmlformats.org/officeDocument/2006/relationships/diagramColors" Target="diagrams/colors9.xml"/><Relationship Id="rId115" Type="http://schemas.openxmlformats.org/officeDocument/2006/relationships/chart" Target="charts/chart33.xml"/><Relationship Id="rId131" Type="http://schemas.openxmlformats.org/officeDocument/2006/relationships/hyperlink" Target="http://rpo.slaskie.pl/zalaczniki/2011/03/14/big/1300088364.jpg" TargetMode="External"/><Relationship Id="rId136" Type="http://schemas.openxmlformats.org/officeDocument/2006/relationships/diagramQuickStyle" Target="diagrams/quickStyle12.xml"/><Relationship Id="rId157" Type="http://schemas.openxmlformats.org/officeDocument/2006/relationships/chart" Target="charts/chart42.xml"/><Relationship Id="rId178" Type="http://schemas.openxmlformats.org/officeDocument/2006/relationships/image" Target="media/image26.png"/><Relationship Id="rId61" Type="http://schemas.microsoft.com/office/2007/relationships/diagramDrawing" Target="diagrams/drawing4.xml"/><Relationship Id="rId82" Type="http://schemas.openxmlformats.org/officeDocument/2006/relationships/chart" Target="charts/chart26.xml"/><Relationship Id="rId152" Type="http://schemas.openxmlformats.org/officeDocument/2006/relationships/diagramData" Target="diagrams/data13.xml"/><Relationship Id="rId173" Type="http://schemas.openxmlformats.org/officeDocument/2006/relationships/chart" Target="charts/chart51.xml"/><Relationship Id="rId19" Type="http://schemas.openxmlformats.org/officeDocument/2006/relationships/diagramLayout" Target="diagrams/layout1.xml"/><Relationship Id="rId14" Type="http://schemas.openxmlformats.org/officeDocument/2006/relationships/hyperlink" Target="http://rpo.slaskie.pl/zalaczniki/2011/11/02/big/1320227111.jpg" TargetMode="External"/><Relationship Id="rId30" Type="http://schemas.microsoft.com/office/2007/relationships/diagramDrawing" Target="diagrams/drawing2.xml"/><Relationship Id="rId35" Type="http://schemas.openxmlformats.org/officeDocument/2006/relationships/chart" Target="charts/chart5.xml"/><Relationship Id="rId56" Type="http://schemas.openxmlformats.org/officeDocument/2006/relationships/chart" Target="charts/chart19.xml"/><Relationship Id="rId77" Type="http://schemas.openxmlformats.org/officeDocument/2006/relationships/diagramLayout" Target="diagrams/layout6.xml"/><Relationship Id="rId100" Type="http://schemas.openxmlformats.org/officeDocument/2006/relationships/diagramColors" Target="diagrams/colors8.xml"/><Relationship Id="rId105" Type="http://schemas.openxmlformats.org/officeDocument/2006/relationships/image" Target="media/image14.jpeg"/><Relationship Id="rId126" Type="http://schemas.openxmlformats.org/officeDocument/2006/relationships/diagramQuickStyle" Target="diagrams/quickStyle11.xml"/><Relationship Id="rId147" Type="http://schemas.openxmlformats.org/officeDocument/2006/relationships/image" Target="media/image22.jpeg"/><Relationship Id="rId168" Type="http://schemas.microsoft.com/office/2007/relationships/diagramDrawing" Target="diagrams/drawing14.xml"/><Relationship Id="rId8" Type="http://schemas.openxmlformats.org/officeDocument/2006/relationships/endnotes" Target="endnotes.xml"/><Relationship Id="rId51" Type="http://schemas.openxmlformats.org/officeDocument/2006/relationships/chart" Target="charts/chart16.xml"/><Relationship Id="rId72" Type="http://schemas.openxmlformats.org/officeDocument/2006/relationships/image" Target="media/image8.emf"/><Relationship Id="rId93" Type="http://schemas.openxmlformats.org/officeDocument/2006/relationships/hyperlink" Target="https://rpo.slaskie.pl/wnioski/admin/wniosek.php?id=11638" TargetMode="External"/><Relationship Id="rId98" Type="http://schemas.openxmlformats.org/officeDocument/2006/relationships/diagramLayout" Target="diagrams/layout8.xml"/><Relationship Id="rId121" Type="http://schemas.openxmlformats.org/officeDocument/2006/relationships/chart" Target="charts/chart34.xml"/><Relationship Id="rId142" Type="http://schemas.openxmlformats.org/officeDocument/2006/relationships/chart" Target="charts/chart40.xml"/><Relationship Id="rId163" Type="http://schemas.openxmlformats.org/officeDocument/2006/relationships/footer" Target="footer6.xm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chart" Target="charts/chart11.xml"/><Relationship Id="rId67" Type="http://schemas.openxmlformats.org/officeDocument/2006/relationships/diagramLayout" Target="diagrams/layout5.xml"/><Relationship Id="rId116" Type="http://schemas.openxmlformats.org/officeDocument/2006/relationships/diagramData" Target="diagrams/data10.xml"/><Relationship Id="rId137" Type="http://schemas.openxmlformats.org/officeDocument/2006/relationships/diagramColors" Target="diagrams/colors12.xml"/><Relationship Id="rId158" Type="http://schemas.openxmlformats.org/officeDocument/2006/relationships/chart" Target="charts/chart43.xml"/><Relationship Id="rId20" Type="http://schemas.openxmlformats.org/officeDocument/2006/relationships/diagramQuickStyle" Target="diagrams/quickStyle1.xml"/><Relationship Id="rId41" Type="http://schemas.openxmlformats.org/officeDocument/2006/relationships/chart" Target="charts/chart6.xml"/><Relationship Id="rId62" Type="http://schemas.openxmlformats.org/officeDocument/2006/relationships/chart" Target="charts/chart20.xml"/><Relationship Id="rId83" Type="http://schemas.openxmlformats.org/officeDocument/2006/relationships/image" Target="media/image10.emf"/><Relationship Id="rId88" Type="http://schemas.openxmlformats.org/officeDocument/2006/relationships/diagramColors" Target="diagrams/colors7.xml"/><Relationship Id="rId111" Type="http://schemas.microsoft.com/office/2007/relationships/diagramDrawing" Target="diagrams/drawing9.xml"/><Relationship Id="rId132" Type="http://schemas.openxmlformats.org/officeDocument/2006/relationships/image" Target="media/image18.jpeg"/><Relationship Id="rId153" Type="http://schemas.openxmlformats.org/officeDocument/2006/relationships/diagramLayout" Target="diagrams/layout13.xml"/><Relationship Id="rId174" Type="http://schemas.openxmlformats.org/officeDocument/2006/relationships/chart" Target="charts/chart52.xml"/><Relationship Id="rId179" Type="http://schemas.openxmlformats.org/officeDocument/2006/relationships/image" Target="media/image27.png"/><Relationship Id="rId15" Type="http://schemas.openxmlformats.org/officeDocument/2006/relationships/image" Target="media/image4.jpeg"/><Relationship Id="rId36" Type="http://schemas.openxmlformats.org/officeDocument/2006/relationships/diagramData" Target="diagrams/data3.xml"/><Relationship Id="rId57" Type="http://schemas.openxmlformats.org/officeDocument/2006/relationships/diagramData" Target="diagrams/data4.xml"/><Relationship Id="rId106" Type="http://schemas.openxmlformats.org/officeDocument/2006/relationships/chart" Target="charts/chart31.xml"/><Relationship Id="rId127" Type="http://schemas.openxmlformats.org/officeDocument/2006/relationships/diagramColors" Target="diagrams/colors11.xml"/><Relationship Id="rId10" Type="http://schemas.openxmlformats.org/officeDocument/2006/relationships/hyperlink" Target="http://rpo.slaskie.pl/zalaczniki/2011/08/08/big/1312806227.jpg" TargetMode="External"/><Relationship Id="rId31" Type="http://schemas.openxmlformats.org/officeDocument/2006/relationships/chart" Target="charts/chart1.xml"/><Relationship Id="rId52" Type="http://schemas.openxmlformats.org/officeDocument/2006/relationships/image" Target="media/image7.emf"/><Relationship Id="rId73" Type="http://schemas.openxmlformats.org/officeDocument/2006/relationships/hyperlink" Target="http://rpo.slaskie.pl/zalaczniki/2012/02/29/big/1330525468.jpg" TargetMode="External"/><Relationship Id="rId78" Type="http://schemas.openxmlformats.org/officeDocument/2006/relationships/diagramQuickStyle" Target="diagrams/quickStyle6.xml"/><Relationship Id="rId94" Type="http://schemas.openxmlformats.org/officeDocument/2006/relationships/hyperlink" Target="http://rpo.slaskie.pl/zalaczniki/2012/02/22/big/1329913551.jpg" TargetMode="External"/><Relationship Id="rId99" Type="http://schemas.openxmlformats.org/officeDocument/2006/relationships/diagramQuickStyle" Target="diagrams/quickStyle8.xml"/><Relationship Id="rId101" Type="http://schemas.microsoft.com/office/2007/relationships/diagramDrawing" Target="diagrams/drawing8.xml"/><Relationship Id="rId122" Type="http://schemas.openxmlformats.org/officeDocument/2006/relationships/image" Target="media/image16.emf"/><Relationship Id="rId143" Type="http://schemas.openxmlformats.org/officeDocument/2006/relationships/image" Target="media/image20.emf"/><Relationship Id="rId148" Type="http://schemas.openxmlformats.org/officeDocument/2006/relationships/hyperlink" Target="http://rpo.slaskie.pl/zalaczniki/2011/03/31/big/1301566581.jpg" TargetMode="External"/><Relationship Id="rId164" Type="http://schemas.openxmlformats.org/officeDocument/2006/relationships/diagramData" Target="diagrams/data14.xml"/><Relationship Id="rId169" Type="http://schemas.openxmlformats.org/officeDocument/2006/relationships/chart" Target="charts/chart4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4).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4).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umws\root\home\hadrysm\In&#380;ynieria%20finansowa\prezentacja\in&#380;ynieria%20finansowa.xlsx" TargetMode="External"/><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umws\root\home\hadrysm\In&#380;ynieria%20finansowa\prezentacja\in&#380;ynieria%20finansowa.xlsx" TargetMode="External"/><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mws\root\home\michalike\MONITORING%20I%20KONTROLA\SPRAWOZDAWCZO&#346;&#262;\Sprawozdanie%20roczne%202011\Analiza%20woj.%20&#347;l&#261;skiego\Wykresy-%20analiza%20GUS.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mws\root\home\michalike\MONITORING%20I%20KONTROLA\SPRAWOZDAWCZO&#346;&#262;\Sprawozdanie%20roczne%202011\Analiza%20woj.%20&#347;l&#261;skiego\Wykresy-%20analiza%20GUS.xls"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Priorytet%20VI-%20wykresy-analiza%20jako&#347;ciowa%20(2).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umws\root\home\michalike\MONITORING%20I%20KONTROLA\SPRAWOZDAWCZO&#346;&#262;\Sprawozdanie%20roczne%202011\Priorytet%20VI-%20wykresy-analiza%20jako&#347;ciowa.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umws\root\home\michalike\MONITORING%20I%20KONTROLA\SPRAWOZDAWCZO&#346;&#262;\Sprawozdanie%20roczne%202011\Analiza%20jako&#347;ciowa%20priorytet&#243;w\Priorytet%20VII-%20wykresy-analiza%20jako&#347;ciowa.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Priorytet%20VII-%20wykresy-analiza%20jako&#347;ciowa%20(2).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Priorytet%20VIII-%20wykresy-analiza%20jako&#347;ciowa%20(2).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umws\root\home\michalike\MONITORING%20I%20KONTROLA\SPRAWOZDAWCZO&#346;&#262;\Sprawozdanie%20roczne%202011\Priorytet%20VIII-%20wykresy-analiza%20jako&#347;ciowa.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Priorytet%20IX-%20wykresy-analiza%20jako&#347;ciowa%2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201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Sprawozdanie%20roczne%202011\Priorytet%20IX-%20wykresy-analiza%20jako&#347;ciowa.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umws\root\home\michalike\MONITORING%20I%20KONTROLA\SPRAWOZDAWCZO&#346;&#262;\Sprawozdanie%20roczne%202011\Priorytet%20X-%20wykresy-analiza%20jako&#347;ciowa.xls"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201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Documents%20and%20Settings\durdam\Moje%20dokumenty\Sprawozdania%20roczne\Sprawozdanie%20roczne%202011\Bazy\Baza%20danych%202011.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6).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6).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durdam\Moje%20dokumenty\Sprawozdania%20roczne\Sprawozdanie%20roczne%202011\Bazy\Baza%20danych%20201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4).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4).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4).xls" TargetMode="External"/></Relationships>
</file>

<file path=word/charts/_rels/chart53.xml.rels><?xml version="1.0" encoding="UTF-8" standalone="yes"?>
<Relationships xmlns="http://schemas.openxmlformats.org/package/2006/relationships"><Relationship Id="rId2" Type="http://schemas.openxmlformats.org/officeDocument/2006/relationships/oleObject" Target="file:///\\umws\root\home\hadrysm\In&#380;ynieria%20finansowa\prezentacja\in&#380;ynieria%20finansowa.xlsx" TargetMode="External"/><Relationship Id="rId1" Type="http://schemas.openxmlformats.org/officeDocument/2006/relationships/themeOverride" Target="../theme/themeOverride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umws\root\home\hadrysm\In&#380;ynieria%20finansowa\prezentacja\in&#380;ynieria%20finansowa.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durdam\Moje%20dokumenty\Sprawozdania%20roczne\Sprawozdanie%20roczne%202011\Bazy\Baza%20danych%20do%20sprawozdania%20rocznego%20za%20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4).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durdam\Ustawienia%20lokalne\Temporary%20Internet%20Files\Content.Outlook\MOK3QRCO\tabele%20i%20wykresy%2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solidFill>
          <a:sysClr val="window" lastClr="FFFFFF">
            <a:lumMod val="85000"/>
          </a:sysClr>
        </a:solidFill>
      </c:spPr>
    </c:sideWall>
    <c:backWall>
      <c:thickness val="0"/>
      <c:spPr>
        <a:solidFill>
          <a:sysClr val="window" lastClr="FFFFFF">
            <a:lumMod val="85000"/>
          </a:sysClr>
        </a:solidFill>
      </c:spPr>
    </c:backWall>
    <c:plotArea>
      <c:layout>
        <c:manualLayout>
          <c:layoutTarget val="inner"/>
          <c:xMode val="edge"/>
          <c:yMode val="edge"/>
          <c:x val="7.9387873712750023E-2"/>
          <c:y val="5.0925925925927124E-2"/>
          <c:w val="0.91393070369121931"/>
          <c:h val="0.72003752523155751"/>
        </c:manualLayout>
      </c:layout>
      <c:bar3DChart>
        <c:barDir val="col"/>
        <c:grouping val="standard"/>
        <c:varyColors val="0"/>
        <c:ser>
          <c:idx val="2"/>
          <c:order val="0"/>
          <c:tx>
            <c:v>w 2011 roku</c:v>
          </c:tx>
          <c:spPr>
            <a:solidFill>
              <a:schemeClr val="accent3">
                <a:lumMod val="60000"/>
                <a:lumOff val="40000"/>
              </a:schemeClr>
            </a:solidFill>
          </c:spPr>
          <c:invertIfNegative val="0"/>
          <c:dLbls>
            <c:dLbl>
              <c:idx val="1"/>
              <c:layout>
                <c:manualLayout>
                  <c:x val="1.3055735212654523E-2"/>
                  <c:y val="4.8581690604579807E-2"/>
                </c:manualLayout>
              </c:layout>
              <c:showLegendKey val="0"/>
              <c:showVal val="1"/>
              <c:showCatName val="0"/>
              <c:showSerName val="0"/>
              <c:showPercent val="0"/>
              <c:showBubbleSize val="0"/>
            </c:dLbl>
            <c:dLbl>
              <c:idx val="2"/>
              <c:layout>
                <c:manualLayout>
                  <c:x val="1.6785945273413087E-2"/>
                  <c:y val="5.2051811362049727E-2"/>
                </c:manualLayout>
              </c:layout>
              <c:showLegendKey val="0"/>
              <c:showVal val="1"/>
              <c:showCatName val="0"/>
              <c:showSerName val="0"/>
              <c:showPercent val="0"/>
              <c:showBubbleSize val="0"/>
            </c:dLbl>
            <c:dLbl>
              <c:idx val="3"/>
              <c:layout>
                <c:manualLayout>
                  <c:x val="9.3255251518960768E-3"/>
                  <c:y val="3.8171328332169852E-2"/>
                </c:manualLayout>
              </c:layout>
              <c:showLegendKey val="0"/>
              <c:showVal val="1"/>
              <c:showCatName val="0"/>
              <c:showSerName val="0"/>
              <c:showPercent val="0"/>
              <c:showBubbleSize val="0"/>
            </c:dLbl>
            <c:dLbl>
              <c:idx val="4"/>
              <c:layout>
                <c:manualLayout>
                  <c:x val="7.4604201215168935E-3"/>
                  <c:y val="4.1641449089639647E-2"/>
                </c:manualLayout>
              </c:layout>
              <c:showLegendKey val="0"/>
              <c:showVal val="1"/>
              <c:showCatName val="0"/>
              <c:showSerName val="0"/>
              <c:showPercent val="0"/>
              <c:showBubbleSize val="0"/>
            </c:dLbl>
            <c:dLbl>
              <c:idx val="5"/>
              <c:layout>
                <c:manualLayout>
                  <c:x val="1.8651050303792114E-3"/>
                  <c:y val="4.1641449089639647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'Wdrażanie ogólnie RPO'!$A$3:$F$3</c:f>
              <c:strCache>
                <c:ptCount val="6"/>
                <c:pt idx="0">
                  <c:v>Alokacja</c:v>
                </c:pt>
                <c:pt idx="1">
                  <c:v>Wnioski po ocenie formalnej</c:v>
                </c:pt>
                <c:pt idx="2">
                  <c:v>Zatwiedzone wnioski do dofinansowanie</c:v>
                </c:pt>
                <c:pt idx="3">
                  <c:v>Podpisane umowy</c:v>
                </c:pt>
                <c:pt idx="4">
                  <c:v>Wnioski o płatność</c:v>
                </c:pt>
                <c:pt idx="5">
                  <c:v>Deklaracje zatwierdzone przez IC</c:v>
                </c:pt>
              </c:strCache>
            </c:strRef>
          </c:cat>
          <c:val>
            <c:numRef>
              <c:f>'Wdrażanie ogólnie RPO'!$A$6:$F$6</c:f>
              <c:numCache>
                <c:formatCode>#,##0.00</c:formatCode>
                <c:ptCount val="6"/>
                <c:pt idx="1">
                  <c:v>389.26441351888667</c:v>
                </c:pt>
                <c:pt idx="2">
                  <c:v>351.53302407775573</c:v>
                </c:pt>
                <c:pt idx="3">
                  <c:v>335.29047934614363</c:v>
                </c:pt>
                <c:pt idx="4">
                  <c:v>260.32471835652723</c:v>
                </c:pt>
                <c:pt idx="5">
                  <c:v>234.11089021426992</c:v>
                </c:pt>
              </c:numCache>
            </c:numRef>
          </c:val>
        </c:ser>
        <c:ser>
          <c:idx val="0"/>
          <c:order val="1"/>
          <c:tx>
            <c:v>od uruchomienia Programu</c:v>
          </c:tx>
          <c:invertIfNegative val="0"/>
          <c:dPt>
            <c:idx val="0"/>
            <c:invertIfNegative val="0"/>
            <c:bubble3D val="0"/>
            <c:spPr>
              <a:solidFill>
                <a:srgbClr val="92D050"/>
              </a:solidFill>
            </c:spPr>
          </c:dPt>
          <c:dLbls>
            <c:dLbl>
              <c:idx val="0"/>
              <c:layout>
                <c:manualLayout>
                  <c:x val="3.7302100607584658E-3"/>
                  <c:y val="0.14574507181373941"/>
                </c:manualLayout>
              </c:layout>
              <c:showLegendKey val="0"/>
              <c:showVal val="1"/>
              <c:showCatName val="0"/>
              <c:showSerName val="0"/>
              <c:showPercent val="0"/>
              <c:showBubbleSize val="0"/>
            </c:dLbl>
            <c:dLbl>
              <c:idx val="1"/>
              <c:layout>
                <c:manualLayout>
                  <c:x val="2.4246365394929973E-2"/>
                  <c:y val="-6.940241514940243E-3"/>
                </c:manualLayout>
              </c:layout>
              <c:showLegendKey val="0"/>
              <c:showVal val="1"/>
              <c:showCatName val="0"/>
              <c:showSerName val="0"/>
              <c:showPercent val="0"/>
              <c:showBubbleSize val="0"/>
            </c:dLbl>
            <c:dLbl>
              <c:idx val="2"/>
              <c:layout>
                <c:manualLayout>
                  <c:x val="2.7976575455688213E-2"/>
                  <c:y val="-3.1231086817230524E-2"/>
                </c:manualLayout>
              </c:layout>
              <c:showLegendKey val="0"/>
              <c:showVal val="1"/>
              <c:showCatName val="0"/>
              <c:showSerName val="0"/>
              <c:showPercent val="0"/>
              <c:showBubbleSize val="0"/>
            </c:dLbl>
            <c:dLbl>
              <c:idx val="3"/>
              <c:layout>
                <c:manualLayout>
                  <c:x val="2.4246365394929973E-2"/>
                  <c:y val="-3.470120757470109E-2"/>
                </c:manualLayout>
              </c:layout>
              <c:showLegendKey val="0"/>
              <c:showVal val="1"/>
              <c:showCatName val="0"/>
              <c:showSerName val="0"/>
              <c:showPercent val="0"/>
              <c:showBubbleSize val="0"/>
            </c:dLbl>
            <c:dLbl>
              <c:idx val="4"/>
              <c:layout>
                <c:manualLayout>
                  <c:x val="1.11906301822751E-2"/>
                  <c:y val="-3.470120757470109E-2"/>
                </c:manualLayout>
              </c:layout>
              <c:showLegendKey val="0"/>
              <c:showVal val="1"/>
              <c:showCatName val="0"/>
              <c:showSerName val="0"/>
              <c:showPercent val="0"/>
              <c:showBubbleSize val="0"/>
            </c:dLbl>
            <c:dLbl>
              <c:idx val="5"/>
              <c:layout>
                <c:manualLayout>
                  <c:x val="9.3255251518960768E-3"/>
                  <c:y val="-5.2051811362049727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'Wdrażanie ogólnie RPO'!$A$3:$F$3</c:f>
              <c:strCache>
                <c:ptCount val="6"/>
                <c:pt idx="0">
                  <c:v>Alokacja</c:v>
                </c:pt>
                <c:pt idx="1">
                  <c:v>Wnioski po ocenie formalnej</c:v>
                </c:pt>
                <c:pt idx="2">
                  <c:v>Zatwiedzone wnioski do dofinansowanie</c:v>
                </c:pt>
                <c:pt idx="3">
                  <c:v>Podpisane umowy</c:v>
                </c:pt>
                <c:pt idx="4">
                  <c:v>Wnioski o płatność</c:v>
                </c:pt>
                <c:pt idx="5">
                  <c:v>Deklaracje zatwierdzone przez IC</c:v>
                </c:pt>
              </c:strCache>
            </c:strRef>
          </c:cat>
          <c:val>
            <c:numRef>
              <c:f>'Wdrażanie ogólnie RPO'!$A$4:$F$4</c:f>
              <c:numCache>
                <c:formatCode>0.00</c:formatCode>
                <c:ptCount val="6"/>
                <c:pt idx="0" formatCode="General">
                  <c:v>1747.1</c:v>
                </c:pt>
                <c:pt idx="1">
                  <c:v>2473.7397835210959</c:v>
                </c:pt>
                <c:pt idx="2" formatCode="#,##0.00">
                  <c:v>1417.1040424121898</c:v>
                </c:pt>
                <c:pt idx="3" formatCode="#,##0.00">
                  <c:v>1172.2929092113948</c:v>
                </c:pt>
                <c:pt idx="4" formatCode="#,##0.00">
                  <c:v>588.58405124808542</c:v>
                </c:pt>
                <c:pt idx="5" formatCode="#,##0.00">
                  <c:v>535.02982107355842</c:v>
                </c:pt>
              </c:numCache>
            </c:numRef>
          </c:val>
        </c:ser>
        <c:ser>
          <c:idx val="1"/>
          <c:order val="2"/>
          <c:invertIfNegative val="0"/>
          <c:cat>
            <c:strRef>
              <c:f>'Wdrażanie ogólnie RPO'!$A$3:$F$3</c:f>
              <c:strCache>
                <c:ptCount val="6"/>
                <c:pt idx="0">
                  <c:v>Alokacja</c:v>
                </c:pt>
                <c:pt idx="1">
                  <c:v>Wnioski po ocenie formalnej</c:v>
                </c:pt>
                <c:pt idx="2">
                  <c:v>Zatwiedzone wnioski do dofinansowanie</c:v>
                </c:pt>
                <c:pt idx="3">
                  <c:v>Podpisane umowy</c:v>
                </c:pt>
                <c:pt idx="4">
                  <c:v>Wnioski o płatność</c:v>
                </c:pt>
                <c:pt idx="5">
                  <c:v>Deklaracje zatwierdzone przez IC</c:v>
                </c:pt>
              </c:strCache>
            </c:strRef>
          </c:cat>
          <c:val>
            <c:numRef>
              <c:f>'Wdrażanie ogólnie RPO'!$A$5:$F$5</c:f>
            </c:numRef>
          </c:val>
        </c:ser>
        <c:dLbls>
          <c:showLegendKey val="0"/>
          <c:showVal val="0"/>
          <c:showCatName val="0"/>
          <c:showSerName val="0"/>
          <c:showPercent val="0"/>
          <c:showBubbleSize val="0"/>
        </c:dLbls>
        <c:gapWidth val="101"/>
        <c:gapDepth val="78"/>
        <c:shape val="box"/>
        <c:axId val="131862528"/>
        <c:axId val="131864064"/>
        <c:axId val="131700928"/>
      </c:bar3DChart>
      <c:catAx>
        <c:axId val="131862528"/>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pl-PL"/>
          </a:p>
        </c:txPr>
        <c:crossAx val="131864064"/>
        <c:crosses val="autoZero"/>
        <c:auto val="1"/>
        <c:lblAlgn val="ctr"/>
        <c:lblOffset val="100"/>
        <c:noMultiLvlLbl val="0"/>
      </c:catAx>
      <c:valAx>
        <c:axId val="131864064"/>
        <c:scaling>
          <c:orientation val="minMax"/>
        </c:scaling>
        <c:delete val="0"/>
        <c:axPos val="l"/>
        <c:majorGridlines/>
        <c:numFmt formatCode="#,##0.00" sourceLinked="1"/>
        <c:majorTickMark val="out"/>
        <c:minorTickMark val="none"/>
        <c:tickLblPos val="nextTo"/>
        <c:txPr>
          <a:bodyPr/>
          <a:lstStyle/>
          <a:p>
            <a:pPr>
              <a:defRPr b="1">
                <a:latin typeface="Times New Roman" pitchFamily="18" charset="0"/>
                <a:cs typeface="Times New Roman" pitchFamily="18" charset="0"/>
              </a:defRPr>
            </a:pPr>
            <a:endParaRPr lang="pl-PL"/>
          </a:p>
        </c:txPr>
        <c:crossAx val="131862528"/>
        <c:crosses val="autoZero"/>
        <c:crossBetween val="between"/>
      </c:valAx>
      <c:serAx>
        <c:axId val="131700928"/>
        <c:scaling>
          <c:orientation val="minMax"/>
        </c:scaling>
        <c:delete val="1"/>
        <c:axPos val="b"/>
        <c:majorTickMark val="out"/>
        <c:minorTickMark val="none"/>
        <c:tickLblPos val="none"/>
        <c:crossAx val="131864064"/>
        <c:crosses val="autoZero"/>
      </c:serAx>
    </c:plotArea>
    <c:legend>
      <c:legendPos val="b"/>
      <c:overlay val="0"/>
      <c:txPr>
        <a:bodyPr/>
        <a:lstStyle/>
        <a:p>
          <a:pPr>
            <a:defRPr b="1">
              <a:latin typeface="Times New Roman" pitchFamily="18" charset="0"/>
              <a:cs typeface="Times New Roman" pitchFamily="18" charset="0"/>
            </a:defRPr>
          </a:pPr>
          <a:endParaRPr lang="pl-PL"/>
        </a:p>
      </c:txPr>
    </c:legend>
    <c:plotVisOnly val="1"/>
    <c:dispBlanksAs val="gap"/>
    <c:showDLblsOverMax val="0"/>
  </c:chart>
  <c:spPr>
    <a:ln w="34925">
      <a:solidFill>
        <a:schemeClr val="accent1"/>
      </a:solid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pl-PL" sz="1100" i="1">
                <a:latin typeface="Times New Roman" pitchFamily="18" charset="0"/>
                <a:cs typeface="Times New Roman" pitchFamily="18" charset="0"/>
              </a:rPr>
              <a:t>PRS</a:t>
            </a:r>
            <a:r>
              <a:rPr lang="pl-PL" i="1">
                <a:latin typeface="Times New Roman" pitchFamily="18" charset="0"/>
                <a:cs typeface="Times New Roman" pitchFamily="18" charset="0"/>
              </a:rPr>
              <a:t> </a:t>
            </a:r>
            <a:r>
              <a:rPr lang="pl-PL" sz="1100" i="1">
                <a:latin typeface="Times New Roman" pitchFamily="18" charset="0"/>
                <a:cs typeface="Times New Roman" pitchFamily="18" charset="0"/>
              </a:rPr>
              <a:t>Północny</a:t>
            </a:r>
          </a:p>
        </c:rich>
      </c:tx>
      <c:layout>
        <c:manualLayout>
          <c:xMode val="edge"/>
          <c:yMode val="edge"/>
          <c:x val="0.31716086235491209"/>
          <c:y val="0.12541670369915792"/>
        </c:manualLayout>
      </c:layout>
      <c:overlay val="0"/>
    </c:title>
    <c:autoTitleDeleted val="0"/>
    <c:plotArea>
      <c:layout>
        <c:manualLayout>
          <c:layoutTarget val="inner"/>
          <c:xMode val="edge"/>
          <c:yMode val="edge"/>
          <c:x val="0.34592537313433791"/>
          <c:y val="0.28253886295439656"/>
          <c:w val="0.51876326699834152"/>
          <c:h val="0.58840843052304925"/>
        </c:manualLayout>
      </c:layout>
      <c:pieChart>
        <c:varyColors val="1"/>
        <c:ser>
          <c:idx val="0"/>
          <c:order val="0"/>
          <c:dPt>
            <c:idx val="0"/>
            <c:bubble3D val="0"/>
            <c:explosion val="3"/>
            <c:spPr>
              <a:solidFill>
                <a:schemeClr val="accent2">
                  <a:lumMod val="60000"/>
                  <a:lumOff val="40000"/>
                </a:schemeClr>
              </a:solidFill>
            </c:spPr>
          </c:dPt>
          <c:dPt>
            <c:idx val="1"/>
            <c:bubble3D val="0"/>
            <c:spPr>
              <a:solidFill>
                <a:srgbClr val="00B050"/>
              </a:solidFill>
            </c:spPr>
          </c:dPt>
          <c:dLbls>
            <c:txPr>
              <a:bodyPr/>
              <a:lstStyle/>
              <a:p>
                <a:pPr>
                  <a:defRPr sz="1100" b="1">
                    <a:solidFill>
                      <a:sysClr val="windowText" lastClr="000000"/>
                    </a:solidFill>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tabele!$T$7:$V$7</c:f>
              <c:numCache>
                <c:formatCode>_(* #,##0.00_);_(* \(#,##0.00\);_(* "-"??_);_(@_)</c:formatCode>
                <c:ptCount val="3"/>
                <c:pt idx="0">
                  <c:v>150137321.10999998</c:v>
                </c:pt>
                <c:pt idx="1">
                  <c:v>23641692.57</c:v>
                </c:pt>
                <c:pt idx="2" formatCode="#,##0.00">
                  <c:v>17312208.469999976</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pl-PL" sz="1100" i="1">
                <a:latin typeface="Times New Roman" pitchFamily="18" charset="0"/>
                <a:cs typeface="Times New Roman" pitchFamily="18" charset="0"/>
              </a:rPr>
              <a:t>PRS Zachodni</a:t>
            </a:r>
          </a:p>
        </c:rich>
      </c:tx>
      <c:layout>
        <c:manualLayout>
          <c:xMode val="edge"/>
          <c:yMode val="edge"/>
          <c:x val="0.15164510779436743"/>
          <c:y val="0.11944447971348376"/>
        </c:manualLayout>
      </c:layout>
      <c:overlay val="0"/>
    </c:title>
    <c:autoTitleDeleted val="0"/>
    <c:plotArea>
      <c:layout>
        <c:manualLayout>
          <c:layoutTarget val="inner"/>
          <c:xMode val="edge"/>
          <c:yMode val="edge"/>
          <c:x val="0.11675663349917099"/>
          <c:y val="0.24938408501061129"/>
          <c:w val="0.55587354892204166"/>
          <c:h val="0.63050085327563365"/>
        </c:manualLayout>
      </c:layout>
      <c:pieChart>
        <c:varyColors val="1"/>
        <c:ser>
          <c:idx val="0"/>
          <c:order val="0"/>
          <c:dPt>
            <c:idx val="0"/>
            <c:bubble3D val="0"/>
            <c:spPr>
              <a:solidFill>
                <a:schemeClr val="accent2">
                  <a:lumMod val="60000"/>
                  <a:lumOff val="40000"/>
                </a:schemeClr>
              </a:solidFill>
            </c:spPr>
          </c:dPt>
          <c:dPt>
            <c:idx val="1"/>
            <c:bubble3D val="0"/>
            <c:spPr>
              <a:solidFill>
                <a:srgbClr val="00B050"/>
              </a:solidFill>
            </c:spPr>
          </c:dPt>
          <c:dLbls>
            <c:dLbl>
              <c:idx val="1"/>
              <c:layout>
                <c:manualLayout>
                  <c:x val="4.5608208955223904E-2"/>
                  <c:y val="0.12535792196701537"/>
                </c:manualLayout>
              </c:layout>
              <c:showLegendKey val="0"/>
              <c:showVal val="0"/>
              <c:showCatName val="0"/>
              <c:showSerName val="0"/>
              <c:showPercent val="1"/>
              <c:showBubbleSize val="0"/>
            </c:dLbl>
            <c:dLbl>
              <c:idx val="2"/>
              <c:layout>
                <c:manualLayout>
                  <c:x val="7.9342039800996605E-2"/>
                  <c:y val="0.13677004257208294"/>
                </c:manualLayout>
              </c:layout>
              <c:showLegendKey val="0"/>
              <c:showVal val="0"/>
              <c:showCatName val="0"/>
              <c:showSerName val="0"/>
              <c:showPercent val="1"/>
              <c:showBubbleSize val="0"/>
            </c:dLbl>
            <c:txPr>
              <a:bodyPr/>
              <a:lstStyle/>
              <a:p>
                <a:pPr>
                  <a:defRPr sz="1100" b="1">
                    <a:solidFill>
                      <a:sysClr val="windowText" lastClr="000000"/>
                    </a:solidFill>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tabele!$T$8:$V$8</c:f>
              <c:numCache>
                <c:formatCode>_(* #,##0.00_);_(* \(#,##0.00\);_(* "-"??_);_(@_)</c:formatCode>
                <c:ptCount val="3"/>
                <c:pt idx="0">
                  <c:v>212977938.99000007</c:v>
                </c:pt>
                <c:pt idx="1">
                  <c:v>2179631.42</c:v>
                </c:pt>
                <c:pt idx="2" formatCode="#,##0.00">
                  <c:v>14656133.729999973</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pPr>
            <a:r>
              <a:rPr lang="pl-PL" sz="1200" i="1"/>
              <a:t>LICZBA</a:t>
            </a:r>
          </a:p>
        </c:rich>
      </c:tx>
      <c:layout>
        <c:manualLayout>
          <c:xMode val="edge"/>
          <c:yMode val="edge"/>
          <c:x val="0.33217676028298909"/>
          <c:y val="3.772604231844654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5949330486231575"/>
          <c:y val="0.14216371676934275"/>
          <c:w val="0.64111674863404189"/>
          <c:h val="0.47411917903289047"/>
        </c:manualLayout>
      </c:layout>
      <c:pie3DChart>
        <c:varyColors val="1"/>
        <c:ser>
          <c:idx val="2"/>
          <c:order val="2"/>
          <c:tx>
            <c:strRef>
              <c:f>'na obszary działań'!$D$2</c:f>
              <c:strCache>
                <c:ptCount val="1"/>
                <c:pt idx="0">
                  <c:v>Procent liczba</c:v>
                </c:pt>
              </c:strCache>
            </c:strRef>
          </c:tx>
          <c:spPr>
            <a:scene3d>
              <a:camera prst="orthographicFront"/>
              <a:lightRig rig="threePt" dir="t"/>
            </a:scene3d>
            <a:sp3d>
              <a:bevelT/>
            </a:sp3d>
          </c:spPr>
          <c:explosion val="25"/>
          <c:dPt>
            <c:idx val="1"/>
            <c:bubble3D val="0"/>
            <c:spPr>
              <a:solidFill>
                <a:srgbClr val="92D050"/>
              </a:solidFill>
              <a:scene3d>
                <a:camera prst="orthographicFront"/>
                <a:lightRig rig="threePt" dir="t"/>
              </a:scene3d>
              <a:sp3d>
                <a:bevelT/>
              </a:sp3d>
            </c:spPr>
          </c:dPt>
          <c:dPt>
            <c:idx val="2"/>
            <c:bubble3D val="0"/>
            <c:spPr>
              <a:solidFill>
                <a:schemeClr val="bg1">
                  <a:lumMod val="85000"/>
                </a:schemeClr>
              </a:solidFill>
              <a:scene3d>
                <a:camera prst="orthographicFront"/>
                <a:lightRig rig="threePt" dir="t"/>
              </a:scene3d>
              <a:sp3d>
                <a:bevelT/>
              </a:sp3d>
            </c:spPr>
          </c:dPt>
          <c:dPt>
            <c:idx val="3"/>
            <c:bubble3D val="0"/>
            <c:spPr>
              <a:solidFill>
                <a:srgbClr val="7030A0"/>
              </a:solidFill>
              <a:scene3d>
                <a:camera prst="orthographicFront"/>
                <a:lightRig rig="threePt" dir="t"/>
              </a:scene3d>
              <a:sp3d>
                <a:bevelT/>
              </a:sp3d>
            </c:spPr>
          </c:dPt>
          <c:dPt>
            <c:idx val="4"/>
            <c:bubble3D val="0"/>
            <c:spPr>
              <a:solidFill>
                <a:srgbClr val="FFFF00"/>
              </a:solidFill>
              <a:scene3d>
                <a:camera prst="orthographicFront"/>
                <a:lightRig rig="threePt" dir="t"/>
              </a:scene3d>
              <a:sp3d>
                <a:bevelT/>
              </a:sp3d>
            </c:spPr>
          </c:dPt>
          <c:dPt>
            <c:idx val="5"/>
            <c:bubble3D val="0"/>
            <c:spPr>
              <a:solidFill>
                <a:srgbClr val="FFC000"/>
              </a:solidFill>
              <a:scene3d>
                <a:camera prst="orthographicFront"/>
                <a:lightRig rig="threePt" dir="t"/>
              </a:scene3d>
              <a:sp3d>
                <a:bevelT/>
              </a:sp3d>
            </c:spPr>
          </c:dPt>
          <c:dPt>
            <c:idx val="6"/>
            <c:bubble3D val="0"/>
            <c:spPr>
              <a:solidFill>
                <a:schemeClr val="tx1">
                  <a:lumMod val="85000"/>
                  <a:lumOff val="15000"/>
                </a:schemeClr>
              </a:solidFill>
              <a:scene3d>
                <a:camera prst="orthographicFront"/>
                <a:lightRig rig="threePt" dir="t"/>
              </a:scene3d>
              <a:sp3d>
                <a:bevelT/>
              </a:sp3d>
            </c:spPr>
          </c:dPt>
          <c:dPt>
            <c:idx val="7"/>
            <c:bubble3D val="0"/>
            <c:spPr>
              <a:solidFill>
                <a:srgbClr val="00B0F0"/>
              </a:solidFill>
              <a:scene3d>
                <a:camera prst="orthographicFront"/>
                <a:lightRig rig="threePt" dir="t"/>
              </a:scene3d>
              <a:sp3d>
                <a:bevelT/>
              </a:sp3d>
            </c:spPr>
          </c:dPt>
          <c:dLbls>
            <c:dLbl>
              <c:idx val="0"/>
              <c:layout>
                <c:manualLayout>
                  <c:x val="4.4448522324539941E-2"/>
                  <c:y val="-1.6801561145760705E-2"/>
                </c:manualLayout>
              </c:layout>
              <c:dLblPos val="bestFit"/>
              <c:showLegendKey val="0"/>
              <c:showVal val="1"/>
              <c:showCatName val="0"/>
              <c:showSerName val="0"/>
              <c:showPercent val="0"/>
              <c:showBubbleSize val="0"/>
            </c:dLbl>
            <c:dLbl>
              <c:idx val="1"/>
              <c:layout>
                <c:manualLayout>
                  <c:x val="-0.18137947269303201"/>
                  <c:y val="-6.6391620513478494E-2"/>
                </c:manualLayout>
              </c:layout>
              <c:dLblPos val="bestFit"/>
              <c:showLegendKey val="0"/>
              <c:showVal val="1"/>
              <c:showCatName val="0"/>
              <c:showSerName val="0"/>
              <c:showPercent val="0"/>
              <c:showBubbleSize val="0"/>
            </c:dLbl>
            <c:dLbl>
              <c:idx val="2"/>
              <c:layout>
                <c:manualLayout>
                  <c:x val="-5.510769599694712E-2"/>
                  <c:y val="1.2712021309231243E-2"/>
                </c:manualLayout>
              </c:layout>
              <c:dLblPos val="bestFit"/>
              <c:showLegendKey val="0"/>
              <c:showVal val="1"/>
              <c:showCatName val="0"/>
              <c:showSerName val="0"/>
              <c:showPercent val="0"/>
              <c:showBubbleSize val="0"/>
            </c:dLbl>
            <c:dLbl>
              <c:idx val="3"/>
              <c:layout>
                <c:manualLayout>
                  <c:x val="-2.1962182429662011E-2"/>
                  <c:y val="-1.2029012339839532E-2"/>
                </c:manualLayout>
              </c:layout>
              <c:dLblPos val="bestFit"/>
              <c:showLegendKey val="0"/>
              <c:showVal val="1"/>
              <c:showCatName val="0"/>
              <c:showSerName val="0"/>
              <c:showPercent val="0"/>
              <c:showBubbleSize val="0"/>
            </c:dLbl>
            <c:dLbl>
              <c:idx val="4"/>
              <c:layout>
                <c:manualLayout>
                  <c:x val="-6.8892206306184964E-2"/>
                  <c:y val="-2.3813417193608848E-2"/>
                </c:manualLayout>
              </c:layout>
              <c:dLblPos val="bestFit"/>
              <c:showLegendKey val="0"/>
              <c:showVal val="1"/>
              <c:showCatName val="0"/>
              <c:showSerName val="0"/>
              <c:showPercent val="0"/>
              <c:showBubbleSize val="0"/>
            </c:dLbl>
            <c:dLbl>
              <c:idx val="5"/>
              <c:layout>
                <c:manualLayout>
                  <c:x val="-4.8455057219280617E-2"/>
                  <c:y val="-4.7596021952512169E-2"/>
                </c:manualLayout>
              </c:layout>
              <c:dLblPos val="bestFit"/>
              <c:showLegendKey val="0"/>
              <c:showVal val="1"/>
              <c:showCatName val="0"/>
              <c:showSerName val="0"/>
              <c:showPercent val="0"/>
              <c:showBubbleSize val="0"/>
            </c:dLbl>
            <c:dLbl>
              <c:idx val="6"/>
              <c:layout>
                <c:manualLayout>
                  <c:x val="-6.7552204914748101E-2"/>
                  <c:y val="-4.5361850151562043E-2"/>
                </c:manualLayout>
              </c:layout>
              <c:dLblPos val="bestFit"/>
              <c:showLegendKey val="0"/>
              <c:showVal val="1"/>
              <c:showCatName val="0"/>
              <c:showSerName val="0"/>
              <c:showPercent val="0"/>
              <c:showBubbleSize val="0"/>
            </c:dLbl>
            <c:dLbl>
              <c:idx val="7"/>
              <c:layout>
                <c:manualLayout>
                  <c:x val="-5.4851750522710102E-2"/>
                  <c:y val="-1.9626218258479405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'na obszary działań'!$A$3:$A$10</c:f>
              <c:strCache>
                <c:ptCount val="8"/>
                <c:pt idx="0">
                  <c:v>transport</c:v>
                </c:pt>
                <c:pt idx="1">
                  <c:v>przedsiebiorczość</c:v>
                </c:pt>
                <c:pt idx="2">
                  <c:v>B+R</c:v>
                </c:pt>
                <c:pt idx="3">
                  <c:v>społeczeństwo informacyjne</c:v>
                </c:pt>
                <c:pt idx="4">
                  <c:v>środowisko i energetyka</c:v>
                </c:pt>
                <c:pt idx="5">
                  <c:v>infrastruktura społeczna </c:v>
                </c:pt>
                <c:pt idx="6">
                  <c:v>turystyka i kultura</c:v>
                </c:pt>
                <c:pt idx="7">
                  <c:v>rewitalizacja</c:v>
                </c:pt>
              </c:strCache>
            </c:strRef>
          </c:cat>
          <c:val>
            <c:numRef>
              <c:f>'na obszary działań'!$D$3:$D$10</c:f>
              <c:numCache>
                <c:formatCode>0.00%</c:formatCode>
                <c:ptCount val="8"/>
                <c:pt idx="0">
                  <c:v>4.5595271601463552E-2</c:v>
                </c:pt>
                <c:pt idx="1">
                  <c:v>0.58682803264849992</c:v>
                </c:pt>
                <c:pt idx="2">
                  <c:v>8.5280045032367024E-2</c:v>
                </c:pt>
                <c:pt idx="3">
                  <c:v>2.8145229383619481E-2</c:v>
                </c:pt>
                <c:pt idx="4">
                  <c:v>4.3625105544608765E-2</c:v>
                </c:pt>
                <c:pt idx="5">
                  <c:v>6.7830002814524032E-2</c:v>
                </c:pt>
                <c:pt idx="6">
                  <c:v>0.12215029552490853</c:v>
                </c:pt>
                <c:pt idx="7">
                  <c:v>2.0546017450042219E-2</c:v>
                </c:pt>
              </c:numCache>
            </c:numRef>
          </c:val>
        </c:ser>
        <c:ser>
          <c:idx val="1"/>
          <c:order val="1"/>
          <c:tx>
            <c:strRef>
              <c:f>'na obszary działań'!$C$2</c:f>
              <c:strCache>
                <c:ptCount val="1"/>
                <c:pt idx="0">
                  <c:v>Liczba</c:v>
                </c:pt>
              </c:strCache>
            </c:strRef>
          </c:tx>
          <c:explosion val="25"/>
          <c:cat>
            <c:strRef>
              <c:f>'na obszary działań'!$A$3:$A$10</c:f>
              <c:strCache>
                <c:ptCount val="8"/>
                <c:pt idx="0">
                  <c:v>transport</c:v>
                </c:pt>
                <c:pt idx="1">
                  <c:v>przedsiebiorczość</c:v>
                </c:pt>
                <c:pt idx="2">
                  <c:v>B+R</c:v>
                </c:pt>
                <c:pt idx="3">
                  <c:v>społeczeństwo informacyjne</c:v>
                </c:pt>
                <c:pt idx="4">
                  <c:v>środowisko i energetyka</c:v>
                </c:pt>
                <c:pt idx="5">
                  <c:v>infrastruktura społeczna </c:v>
                </c:pt>
                <c:pt idx="6">
                  <c:v>turystyka i kultura</c:v>
                </c:pt>
                <c:pt idx="7">
                  <c:v>rewitalizacja</c:v>
                </c:pt>
              </c:strCache>
            </c:strRef>
          </c:cat>
          <c:val>
            <c:numRef>
              <c:f>'na obszary działań'!$C$3:$C$10</c:f>
            </c:numRef>
          </c:val>
        </c:ser>
        <c:ser>
          <c:idx val="0"/>
          <c:order val="0"/>
          <c:tx>
            <c:strRef>
              <c:f>'na obszary działań'!$B$2</c:f>
              <c:strCache>
                <c:ptCount val="1"/>
                <c:pt idx="0">
                  <c:v>Alokacja RPO w (mln euro)</c:v>
                </c:pt>
              </c:strCache>
            </c:strRef>
          </c:tx>
          <c:explosion val="25"/>
          <c:cat>
            <c:strRef>
              <c:f>'na obszary działań'!$A$3:$A$10</c:f>
              <c:strCache>
                <c:ptCount val="8"/>
                <c:pt idx="0">
                  <c:v>transport</c:v>
                </c:pt>
                <c:pt idx="1">
                  <c:v>przedsiebiorczość</c:v>
                </c:pt>
                <c:pt idx="2">
                  <c:v>B+R</c:v>
                </c:pt>
                <c:pt idx="3">
                  <c:v>społeczeństwo informacyjne</c:v>
                </c:pt>
                <c:pt idx="4">
                  <c:v>środowisko i energetyka</c:v>
                </c:pt>
                <c:pt idx="5">
                  <c:v>infrastruktura społeczna </c:v>
                </c:pt>
                <c:pt idx="6">
                  <c:v>turystyka i kultura</c:v>
                </c:pt>
                <c:pt idx="7">
                  <c:v>rewitalizacja</c:v>
                </c:pt>
              </c:strCache>
            </c:strRef>
          </c:cat>
          <c:val>
            <c:numRef>
              <c:f>'na obszary działań'!$B$3:$B$10</c:f>
            </c:numRef>
          </c:val>
        </c:ser>
        <c:dLbls>
          <c:showLegendKey val="0"/>
          <c:showVal val="0"/>
          <c:showCatName val="0"/>
          <c:showSerName val="0"/>
          <c:showPercent val="0"/>
          <c:showBubbleSize val="0"/>
          <c:showLeaderLines val="1"/>
        </c:dLbls>
      </c:pie3DChart>
    </c:plotArea>
    <c:legend>
      <c:legendPos val="b"/>
      <c:layout>
        <c:manualLayout>
          <c:xMode val="edge"/>
          <c:yMode val="edge"/>
          <c:x val="0.12884284591544701"/>
          <c:y val="0.51238069422948085"/>
          <c:w val="0.60941272338907493"/>
          <c:h val="0.46070265865363175"/>
        </c:manualLayout>
      </c:layout>
      <c:overlay val="0"/>
    </c:legend>
    <c:plotVisOnly val="1"/>
    <c:dispBlanksAs val="gap"/>
    <c:showDLblsOverMax val="0"/>
  </c:chart>
  <c:spPr>
    <a:noFill/>
    <a:ln w="34925">
      <a:solidFill>
        <a:srgbClr val="00B050"/>
      </a:solidFill>
    </a:ln>
    <a:scene3d>
      <a:camera prst="orthographicFront"/>
      <a:lightRig rig="threePt" dir="t"/>
    </a:scene3d>
    <a:sp3d>
      <a:bevelB/>
    </a:sp3d>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pPr>
            <a:r>
              <a:rPr lang="pl-PL" sz="1200" i="1"/>
              <a:t>WARTOŚĆ </a:t>
            </a:r>
            <a:endParaRPr lang="en-US" sz="1200" i="1"/>
          </a:p>
        </c:rich>
      </c:tx>
      <c:layout>
        <c:manualLayout>
          <c:xMode val="edge"/>
          <c:yMode val="edge"/>
          <c:x val="0.32546232010317488"/>
          <c:y val="4.1163100683485686E-2"/>
        </c:manualLayout>
      </c:layout>
      <c:overlay val="0"/>
    </c:title>
    <c:autoTitleDeleted val="0"/>
    <c:view3D>
      <c:rotX val="30"/>
      <c:rotY val="0"/>
      <c:depthPercent val="150"/>
      <c:rAngAx val="0"/>
      <c:perspective val="30"/>
    </c:view3D>
    <c:floor>
      <c:thickness val="0"/>
    </c:floor>
    <c:sideWall>
      <c:thickness val="0"/>
    </c:sideWall>
    <c:backWall>
      <c:thickness val="0"/>
    </c:backWall>
    <c:plotArea>
      <c:layout>
        <c:manualLayout>
          <c:layoutTarget val="inner"/>
          <c:xMode val="edge"/>
          <c:yMode val="edge"/>
          <c:x val="0.20867785873723521"/>
          <c:y val="8.5842292695129926E-2"/>
          <c:w val="0.65988690342239564"/>
          <c:h val="0.41917981151776756"/>
        </c:manualLayout>
      </c:layout>
      <c:pie3DChart>
        <c:varyColors val="1"/>
        <c:ser>
          <c:idx val="0"/>
          <c:order val="0"/>
          <c:tx>
            <c:strRef>
              <c:f>'na obszary działań'!$H$2</c:f>
              <c:strCache>
                <c:ptCount val="1"/>
                <c:pt idx="0">
                  <c:v>Poziom wykorzystania alokacji RPO </c:v>
                </c:pt>
              </c:strCache>
            </c:strRef>
          </c:tx>
          <c:spPr>
            <a:scene3d>
              <a:camera prst="orthographicFront"/>
              <a:lightRig rig="threePt" dir="t"/>
            </a:scene3d>
            <a:sp3d>
              <a:bevelT/>
            </a:sp3d>
          </c:spPr>
          <c:explosion val="25"/>
          <c:dPt>
            <c:idx val="0"/>
            <c:bubble3D val="0"/>
            <c:spPr>
              <a:solidFill>
                <a:schemeClr val="bg1">
                  <a:lumMod val="85000"/>
                </a:schemeClr>
              </a:solidFill>
              <a:scene3d>
                <a:camera prst="orthographicFront"/>
                <a:lightRig rig="threePt" dir="t"/>
              </a:scene3d>
              <a:sp3d>
                <a:bevelT/>
              </a:sp3d>
            </c:spPr>
          </c:dPt>
          <c:dPt>
            <c:idx val="1"/>
            <c:bubble3D val="0"/>
            <c:spPr>
              <a:solidFill>
                <a:srgbClr val="FFC000"/>
              </a:solidFill>
              <a:scene3d>
                <a:camera prst="orthographicFront"/>
                <a:lightRig rig="threePt" dir="t"/>
              </a:scene3d>
              <a:sp3d>
                <a:bevelT/>
              </a:sp3d>
            </c:spPr>
          </c:dPt>
          <c:dPt>
            <c:idx val="2"/>
            <c:bubble3D val="0"/>
            <c:spPr>
              <a:solidFill>
                <a:srgbClr val="FFFF00"/>
              </a:solidFill>
              <a:scene3d>
                <a:camera prst="orthographicFront"/>
                <a:lightRig rig="threePt" dir="t"/>
              </a:scene3d>
              <a:sp3d>
                <a:bevelT/>
              </a:sp3d>
            </c:spPr>
          </c:dPt>
          <c:dPt>
            <c:idx val="3"/>
            <c:bubble3D val="0"/>
            <c:spPr>
              <a:solidFill>
                <a:srgbClr val="92D050"/>
              </a:solidFill>
              <a:scene3d>
                <a:camera prst="orthographicFront"/>
                <a:lightRig rig="threePt" dir="t"/>
              </a:scene3d>
              <a:sp3d>
                <a:bevelT/>
              </a:sp3d>
            </c:spPr>
          </c:dPt>
          <c:dPt>
            <c:idx val="4"/>
            <c:bubble3D val="0"/>
            <c:spPr>
              <a:solidFill>
                <a:schemeClr val="accent2">
                  <a:lumMod val="60000"/>
                  <a:lumOff val="40000"/>
                </a:schemeClr>
              </a:solidFill>
              <a:scene3d>
                <a:camera prst="orthographicFront"/>
                <a:lightRig rig="threePt" dir="t"/>
              </a:scene3d>
              <a:sp3d>
                <a:bevelT/>
              </a:sp3d>
            </c:spPr>
          </c:dPt>
          <c:dPt>
            <c:idx val="7"/>
            <c:bubble3D val="0"/>
            <c:spPr>
              <a:solidFill>
                <a:srgbClr val="00B0F0"/>
              </a:solidFill>
              <a:scene3d>
                <a:camera prst="orthographicFront"/>
                <a:lightRig rig="threePt" dir="t"/>
              </a:scene3d>
              <a:sp3d>
                <a:bevelT/>
              </a:sp3d>
            </c:spPr>
          </c:dPt>
          <c:dLbls>
            <c:dLbl>
              <c:idx val="1"/>
              <c:layout>
                <c:manualLayout>
                  <c:x val="5.375885931240703E-3"/>
                  <c:y val="-4.3062437455183178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'na obszary działań'!$G$3:$G$10</c:f>
              <c:strCache>
                <c:ptCount val="8"/>
                <c:pt idx="0">
                  <c:v>transport</c:v>
                </c:pt>
                <c:pt idx="1">
                  <c:v>przedsiebiorczość</c:v>
                </c:pt>
                <c:pt idx="2">
                  <c:v>B+R</c:v>
                </c:pt>
                <c:pt idx="3">
                  <c:v>społeczeństwo informacyjne</c:v>
                </c:pt>
                <c:pt idx="4">
                  <c:v>środowisko i energetyka</c:v>
                </c:pt>
                <c:pt idx="5">
                  <c:v>infrastruktura społeczna </c:v>
                </c:pt>
                <c:pt idx="6">
                  <c:v>turystyka i kultura</c:v>
                </c:pt>
                <c:pt idx="7">
                  <c:v>rewitalizacja</c:v>
                </c:pt>
              </c:strCache>
            </c:strRef>
          </c:cat>
          <c:val>
            <c:numRef>
              <c:f>'na obszary działań'!$H$3:$H$10</c:f>
              <c:numCache>
                <c:formatCode>0%</c:formatCode>
                <c:ptCount val="8"/>
                <c:pt idx="0">
                  <c:v>0.22257776663850018</c:v>
                </c:pt>
                <c:pt idx="1">
                  <c:v>0.10565718940338399</c:v>
                </c:pt>
                <c:pt idx="2">
                  <c:v>2.7913237559607798E-2</c:v>
                </c:pt>
                <c:pt idx="3">
                  <c:v>4.7663597845418411E-2</c:v>
                </c:pt>
                <c:pt idx="4">
                  <c:v>0.12350187002919016</c:v>
                </c:pt>
                <c:pt idx="5">
                  <c:v>0.11183444353937858</c:v>
                </c:pt>
                <c:pt idx="6">
                  <c:v>0.10473027718780629</c:v>
                </c:pt>
                <c:pt idx="7">
                  <c:v>0.25612161779671455</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14838299871667771"/>
          <c:y val="0.45654399641464588"/>
          <c:w val="0.62648682373439768"/>
          <c:h val="0.53189014368740384"/>
        </c:manualLayout>
      </c:layout>
      <c:overlay val="0"/>
    </c:legend>
    <c:plotVisOnly val="1"/>
    <c:dispBlanksAs val="gap"/>
    <c:showDLblsOverMax val="0"/>
  </c:chart>
  <c:spPr>
    <a:ln w="34925">
      <a:solidFill>
        <a:srgbClr val="C00000"/>
      </a:solidFill>
    </a:ln>
    <a:scene3d>
      <a:camera prst="orthographicFront"/>
      <a:lightRig rig="threePt" dir="t"/>
    </a:scene3d>
    <a:sp3d prstMaterial="plastic">
      <a:bevelT w="0" h="82550"/>
    </a:sp3d>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pl-PL" sz="1200" i="1"/>
              <a:t>Rozkład projektów w podziale na obszary (%)</a:t>
            </a:r>
          </a:p>
        </c:rich>
      </c:tx>
      <c:overlay val="0"/>
    </c:title>
    <c:autoTitleDeleted val="0"/>
    <c:view3D>
      <c:rotX val="60"/>
      <c:rotY val="90"/>
      <c:rAngAx val="1"/>
    </c:view3D>
    <c:floor>
      <c:thickness val="0"/>
    </c:floor>
    <c:sideWall>
      <c:thickness val="0"/>
    </c:sideWall>
    <c:backWall>
      <c:thickness val="0"/>
    </c:backWall>
    <c:plotArea>
      <c:layout/>
      <c:bar3DChart>
        <c:barDir val="bar"/>
        <c:grouping val="clustered"/>
        <c:varyColors val="0"/>
        <c:ser>
          <c:idx val="0"/>
          <c:order val="0"/>
          <c:tx>
            <c:strRef>
              <c:f>obszaryobszary!$B$13</c:f>
              <c:strCache>
                <c:ptCount val="1"/>
                <c:pt idx="0">
                  <c:v>obszar miejski</c:v>
                </c:pt>
              </c:strCache>
            </c:strRef>
          </c:tx>
          <c:invertIfNegative val="0"/>
          <c:cat>
            <c:strRef>
              <c:f>obszaryobszary!$A$14:$A$21</c:f>
              <c:strCache>
                <c:ptCount val="8"/>
                <c:pt idx="0">
                  <c:v>B+R</c:v>
                </c:pt>
                <c:pt idx="1">
                  <c:v>przedsiębiorczość</c:v>
                </c:pt>
                <c:pt idx="2">
                  <c:v>społeczeństwo informacyjne</c:v>
                </c:pt>
                <c:pt idx="3">
                  <c:v>turystyka i kultura</c:v>
                </c:pt>
                <c:pt idx="4">
                  <c:v>transport</c:v>
                </c:pt>
                <c:pt idx="5">
                  <c:v>środowisko i energetyka</c:v>
                </c:pt>
                <c:pt idx="6">
                  <c:v>infrastruktura społeczna</c:v>
                </c:pt>
                <c:pt idx="7">
                  <c:v>rewitalizacja</c:v>
                </c:pt>
              </c:strCache>
            </c:strRef>
          </c:cat>
          <c:val>
            <c:numRef>
              <c:f>obszaryobszary!$B$14:$B$21</c:f>
              <c:numCache>
                <c:formatCode>0.00%</c:formatCode>
                <c:ptCount val="8"/>
                <c:pt idx="0">
                  <c:v>2.7497083561944011E-2</c:v>
                </c:pt>
                <c:pt idx="1">
                  <c:v>0.10515423829030143</c:v>
                </c:pt>
                <c:pt idx="2">
                  <c:v>5.3212343324686114E-2</c:v>
                </c:pt>
                <c:pt idx="3">
                  <c:v>9.7805879752197247E-2</c:v>
                </c:pt>
                <c:pt idx="4">
                  <c:v>0.23413271258036891</c:v>
                </c:pt>
                <c:pt idx="5">
                  <c:v>6.2542281693291929E-2</c:v>
                </c:pt>
                <c:pt idx="6">
                  <c:v>0.12001875043280473</c:v>
                </c:pt>
                <c:pt idx="7">
                  <c:v>0.29963671036441963</c:v>
                </c:pt>
              </c:numCache>
            </c:numRef>
          </c:val>
        </c:ser>
        <c:ser>
          <c:idx val="1"/>
          <c:order val="1"/>
          <c:tx>
            <c:strRef>
              <c:f>obszaryobszary!$C$13</c:f>
              <c:strCache>
                <c:ptCount val="1"/>
                <c:pt idx="0">
                  <c:v>obszar wiejski</c:v>
                </c:pt>
              </c:strCache>
            </c:strRef>
          </c:tx>
          <c:spPr>
            <a:solidFill>
              <a:schemeClr val="accent2">
                <a:lumMod val="60000"/>
                <a:lumOff val="40000"/>
              </a:schemeClr>
            </a:solidFill>
          </c:spPr>
          <c:invertIfNegative val="0"/>
          <c:cat>
            <c:strRef>
              <c:f>obszaryobszary!$A$14:$A$21</c:f>
              <c:strCache>
                <c:ptCount val="8"/>
                <c:pt idx="0">
                  <c:v>B+R</c:v>
                </c:pt>
                <c:pt idx="1">
                  <c:v>przedsiębiorczość</c:v>
                </c:pt>
                <c:pt idx="2">
                  <c:v>społeczeństwo informacyjne</c:v>
                </c:pt>
                <c:pt idx="3">
                  <c:v>turystyka i kultura</c:v>
                </c:pt>
                <c:pt idx="4">
                  <c:v>transport</c:v>
                </c:pt>
                <c:pt idx="5">
                  <c:v>środowisko i energetyka</c:v>
                </c:pt>
                <c:pt idx="6">
                  <c:v>infrastruktura społeczna</c:v>
                </c:pt>
                <c:pt idx="7">
                  <c:v>rewitalizacja</c:v>
                </c:pt>
              </c:strCache>
            </c:strRef>
          </c:cat>
          <c:val>
            <c:numRef>
              <c:f>obszaryobszary!$C$14:$C$21</c:f>
              <c:numCache>
                <c:formatCode>0.00%</c:formatCode>
                <c:ptCount val="8"/>
                <c:pt idx="0">
                  <c:v>3.0946196660482372E-2</c:v>
                </c:pt>
                <c:pt idx="1">
                  <c:v>0.11079777365491662</c:v>
                </c:pt>
                <c:pt idx="2">
                  <c:v>2.2993197278912518E-2</c:v>
                </c:pt>
                <c:pt idx="3">
                  <c:v>0.11767470624613925</c:v>
                </c:pt>
                <c:pt idx="4">
                  <c:v>0.18115027829313537</c:v>
                </c:pt>
                <c:pt idx="5">
                  <c:v>0.39668521954237251</c:v>
                </c:pt>
                <c:pt idx="6">
                  <c:v>7.4879406307977722E-2</c:v>
                </c:pt>
                <c:pt idx="7">
                  <c:v>6.487322201607916E-2</c:v>
                </c:pt>
              </c:numCache>
            </c:numRef>
          </c:val>
        </c:ser>
        <c:ser>
          <c:idx val="2"/>
          <c:order val="2"/>
          <c:tx>
            <c:strRef>
              <c:f>obszaryobszary!$D$13</c:f>
              <c:strCache>
                <c:ptCount val="1"/>
                <c:pt idx="0">
                  <c:v>obszar górski</c:v>
                </c:pt>
              </c:strCache>
            </c:strRef>
          </c:tx>
          <c:spPr>
            <a:scene3d>
              <a:camera prst="orthographicFront"/>
              <a:lightRig rig="soft" dir="b">
                <a:rot lat="0" lon="0" rev="9000000"/>
              </a:lightRig>
            </a:scene3d>
            <a:sp3d prstMaterial="matte">
              <a:bevelT w="45000" h="38100"/>
              <a:contourClr>
                <a:srgbClr val="000000"/>
              </a:contourClr>
            </a:sp3d>
          </c:spPr>
          <c:invertIfNegative val="0"/>
          <c:cat>
            <c:strRef>
              <c:f>obszaryobszary!$A$14:$A$21</c:f>
              <c:strCache>
                <c:ptCount val="8"/>
                <c:pt idx="0">
                  <c:v>B+R</c:v>
                </c:pt>
                <c:pt idx="1">
                  <c:v>przedsiębiorczość</c:v>
                </c:pt>
                <c:pt idx="2">
                  <c:v>społeczeństwo informacyjne</c:v>
                </c:pt>
                <c:pt idx="3">
                  <c:v>turystyka i kultura</c:v>
                </c:pt>
                <c:pt idx="4">
                  <c:v>transport</c:v>
                </c:pt>
                <c:pt idx="5">
                  <c:v>środowisko i energetyka</c:v>
                </c:pt>
                <c:pt idx="6">
                  <c:v>infrastruktura społeczna</c:v>
                </c:pt>
                <c:pt idx="7">
                  <c:v>rewitalizacja</c:v>
                </c:pt>
              </c:strCache>
            </c:strRef>
          </c:cat>
          <c:val>
            <c:numRef>
              <c:f>obszaryobszary!$D$14:$D$21</c:f>
              <c:numCache>
                <c:formatCode>0.00%</c:formatCode>
                <c:ptCount val="8"/>
                <c:pt idx="0">
                  <c:v>1.4566084023305741E-2</c:v>
                </c:pt>
                <c:pt idx="1">
                  <c:v>7.0990493713584804E-2</c:v>
                </c:pt>
                <c:pt idx="2">
                  <c:v>3.4038638454461832E-2</c:v>
                </c:pt>
                <c:pt idx="3">
                  <c:v>0.34283961974854338</c:v>
                </c:pt>
                <c:pt idx="4">
                  <c:v>7.0683839313094146E-2</c:v>
                </c:pt>
                <c:pt idx="5">
                  <c:v>0.24609015639374429</c:v>
                </c:pt>
                <c:pt idx="6">
                  <c:v>9.8896044158239035E-2</c:v>
                </c:pt>
                <c:pt idx="7">
                  <c:v>0.12189512419503222</c:v>
                </c:pt>
              </c:numCache>
            </c:numRef>
          </c:val>
        </c:ser>
        <c:dLbls>
          <c:showLegendKey val="0"/>
          <c:showVal val="0"/>
          <c:showCatName val="0"/>
          <c:showSerName val="0"/>
          <c:showPercent val="0"/>
          <c:showBubbleSize val="0"/>
        </c:dLbls>
        <c:gapWidth val="150"/>
        <c:shape val="box"/>
        <c:axId val="139283456"/>
        <c:axId val="139293440"/>
        <c:axId val="0"/>
      </c:bar3DChart>
      <c:catAx>
        <c:axId val="139283456"/>
        <c:scaling>
          <c:orientation val="minMax"/>
        </c:scaling>
        <c:delete val="0"/>
        <c:axPos val="l"/>
        <c:majorTickMark val="out"/>
        <c:minorTickMark val="none"/>
        <c:tickLblPos val="nextTo"/>
        <c:crossAx val="139293440"/>
        <c:crosses val="autoZero"/>
        <c:auto val="1"/>
        <c:lblAlgn val="ctr"/>
        <c:lblOffset val="100"/>
        <c:noMultiLvlLbl val="0"/>
      </c:catAx>
      <c:valAx>
        <c:axId val="139293440"/>
        <c:scaling>
          <c:orientation val="minMax"/>
        </c:scaling>
        <c:delete val="0"/>
        <c:axPos val="b"/>
        <c:majorGridlines/>
        <c:numFmt formatCode="0%" sourceLinked="0"/>
        <c:majorTickMark val="out"/>
        <c:minorTickMark val="none"/>
        <c:tickLblPos val="nextTo"/>
        <c:crossAx val="139283456"/>
        <c:crosses val="autoZero"/>
        <c:crossBetween val="between"/>
      </c:valAx>
    </c:plotArea>
    <c:legend>
      <c:legendPos val="b"/>
      <c:overlay val="0"/>
    </c:legend>
    <c:plotVisOnly val="1"/>
    <c:dispBlanksAs val="gap"/>
    <c:showDLblsOverMax val="0"/>
  </c:chart>
  <c:spPr>
    <a:ln w="34925">
      <a:solidFill>
        <a:schemeClr val="accent2">
          <a:lumMod val="60000"/>
          <a:lumOff val="40000"/>
        </a:schemeClr>
      </a:solidFill>
    </a:ln>
    <a:effectLst>
      <a:softEdge rad="31750"/>
    </a:effectLst>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pl-PL" sz="1200" i="1">
                <a:latin typeface="Times New Roman" pitchFamily="18" charset="0"/>
                <a:cs typeface="Times New Roman" pitchFamily="18" charset="0"/>
              </a:rPr>
              <a:t>LICZBA</a:t>
            </a:r>
          </a:p>
        </c:rich>
      </c:tx>
      <c:layout>
        <c:manualLayout>
          <c:xMode val="edge"/>
          <c:yMode val="edge"/>
          <c:x val="0.35831861323882819"/>
          <c:y val="3.2069500947254879E-2"/>
        </c:manualLayout>
      </c:layout>
      <c:overlay val="0"/>
    </c:title>
    <c:autoTitleDeleted val="0"/>
    <c:view3D>
      <c:rotX val="30"/>
      <c:rotY val="256"/>
      <c:rAngAx val="0"/>
      <c:perspective val="30"/>
    </c:view3D>
    <c:floor>
      <c:thickness val="0"/>
    </c:floor>
    <c:sideWall>
      <c:thickness val="0"/>
    </c:sideWall>
    <c:backWall>
      <c:thickness val="0"/>
    </c:backWall>
    <c:plotArea>
      <c:layout>
        <c:manualLayout>
          <c:layoutTarget val="inner"/>
          <c:xMode val="edge"/>
          <c:yMode val="edge"/>
          <c:x val="0.19309974599202737"/>
          <c:y val="0.20679275105447559"/>
          <c:w val="0.69436968406094457"/>
          <c:h val="0.4771119786629574"/>
        </c:manualLayout>
      </c:layout>
      <c:pie3DChart>
        <c:varyColors val="1"/>
        <c:ser>
          <c:idx val="0"/>
          <c:order val="0"/>
          <c:tx>
            <c:strRef>
              <c:f>'typ beneficjenta'!$B$3</c:f>
              <c:strCache>
                <c:ptCount val="1"/>
                <c:pt idx="0">
                  <c:v>Wartość ogółem (w mln PLN)</c:v>
                </c:pt>
              </c:strCache>
            </c:strRef>
          </c:tx>
          <c:explosion val="25"/>
          <c:cat>
            <c:strRef>
              <c:f>'typ beneficjenta'!$A$4:$A$9</c:f>
              <c:strCache>
                <c:ptCount val="6"/>
                <c:pt idx="0">
                  <c:v>inne</c:v>
                </c:pt>
                <c:pt idx="1">
                  <c:v>jst</c:v>
                </c:pt>
                <c:pt idx="2">
                  <c:v>organ władzy, administracji rządowej</c:v>
                </c:pt>
                <c:pt idx="3">
                  <c:v>organizacja non profit</c:v>
                </c:pt>
                <c:pt idx="4">
                  <c:v>przedsiębiorstwa</c:v>
                </c:pt>
                <c:pt idx="5">
                  <c:v>uczelnie, jednostki naukowe</c:v>
                </c:pt>
              </c:strCache>
            </c:strRef>
          </c:cat>
          <c:val>
            <c:numRef>
              <c:f>'typ beneficjenta'!$B$4:$B$9</c:f>
            </c:numRef>
          </c:val>
        </c:ser>
        <c:ser>
          <c:idx val="1"/>
          <c:order val="1"/>
          <c:tx>
            <c:strRef>
              <c:f>'typ beneficjenta'!$C$3</c:f>
              <c:strCache>
                <c:ptCount val="1"/>
                <c:pt idx="0">
                  <c:v>Wartość dofinansowania (w mln PLN)</c:v>
                </c:pt>
              </c:strCache>
            </c:strRef>
          </c:tx>
          <c:explosion val="25"/>
          <c:cat>
            <c:strRef>
              <c:f>'typ beneficjenta'!$A$4:$A$9</c:f>
              <c:strCache>
                <c:ptCount val="6"/>
                <c:pt idx="0">
                  <c:v>inne</c:v>
                </c:pt>
                <c:pt idx="1">
                  <c:v>jst</c:v>
                </c:pt>
                <c:pt idx="2">
                  <c:v>organ władzy, administracji rządowej</c:v>
                </c:pt>
                <c:pt idx="3">
                  <c:v>organizacja non profit</c:v>
                </c:pt>
                <c:pt idx="4">
                  <c:v>przedsiębiorstwa</c:v>
                </c:pt>
                <c:pt idx="5">
                  <c:v>uczelnie, jednostki naukowe</c:v>
                </c:pt>
              </c:strCache>
            </c:strRef>
          </c:cat>
          <c:val>
            <c:numRef>
              <c:f>'typ beneficjenta'!$C$4:$C$9</c:f>
            </c:numRef>
          </c:val>
        </c:ser>
        <c:ser>
          <c:idx val="2"/>
          <c:order val="2"/>
          <c:tx>
            <c:strRef>
              <c:f>'typ beneficjenta'!$D$3</c:f>
              <c:strCache>
                <c:ptCount val="1"/>
                <c:pt idx="0">
                  <c:v>Liczba</c:v>
                </c:pt>
              </c:strCache>
            </c:strRef>
          </c:tx>
          <c:explosion val="25"/>
          <c:cat>
            <c:strRef>
              <c:f>'typ beneficjenta'!$A$4:$A$9</c:f>
              <c:strCache>
                <c:ptCount val="6"/>
                <c:pt idx="0">
                  <c:v>inne</c:v>
                </c:pt>
                <c:pt idx="1">
                  <c:v>jst</c:v>
                </c:pt>
                <c:pt idx="2">
                  <c:v>organ władzy, administracji rządowej</c:v>
                </c:pt>
                <c:pt idx="3">
                  <c:v>organizacja non profit</c:v>
                </c:pt>
                <c:pt idx="4">
                  <c:v>przedsiębiorstwa</c:v>
                </c:pt>
                <c:pt idx="5">
                  <c:v>uczelnie, jednostki naukowe</c:v>
                </c:pt>
              </c:strCache>
            </c:strRef>
          </c:cat>
          <c:val>
            <c:numRef>
              <c:f>'typ beneficjenta'!$D$4:$D$9</c:f>
            </c:numRef>
          </c:val>
        </c:ser>
        <c:ser>
          <c:idx val="3"/>
          <c:order val="3"/>
          <c:tx>
            <c:strRef>
              <c:f>'typ beneficjenta'!$E$3</c:f>
              <c:strCache>
                <c:ptCount val="1"/>
                <c:pt idx="0">
                  <c:v>Wartość ogółem (w mln euro)</c:v>
                </c:pt>
              </c:strCache>
            </c:strRef>
          </c:tx>
          <c:explosion val="25"/>
          <c:dLbls>
            <c:showLegendKey val="0"/>
            <c:showVal val="1"/>
            <c:showCatName val="0"/>
            <c:showSerName val="0"/>
            <c:showPercent val="0"/>
            <c:showBubbleSize val="0"/>
            <c:showLeaderLines val="1"/>
          </c:dLbls>
          <c:cat>
            <c:strRef>
              <c:f>'typ beneficjenta'!$A$4:$A$9</c:f>
              <c:strCache>
                <c:ptCount val="6"/>
                <c:pt idx="0">
                  <c:v>inne</c:v>
                </c:pt>
                <c:pt idx="1">
                  <c:v>jst</c:v>
                </c:pt>
                <c:pt idx="2">
                  <c:v>organ władzy, administracji rządowej</c:v>
                </c:pt>
                <c:pt idx="3">
                  <c:v>organizacja non profit</c:v>
                </c:pt>
                <c:pt idx="4">
                  <c:v>przedsiębiorstwa</c:v>
                </c:pt>
                <c:pt idx="5">
                  <c:v>uczelnie, jednostki naukowe</c:v>
                </c:pt>
              </c:strCache>
            </c:strRef>
          </c:cat>
          <c:val>
            <c:numRef>
              <c:f>'typ beneficjenta'!$E$4:$E$9</c:f>
            </c:numRef>
          </c:val>
        </c:ser>
        <c:ser>
          <c:idx val="4"/>
          <c:order val="4"/>
          <c:tx>
            <c:strRef>
              <c:f>'typ beneficjenta'!$F$3</c:f>
              <c:strCache>
                <c:ptCount val="1"/>
                <c:pt idx="0">
                  <c:v>Wartość dofinansowania (w mln euro)</c:v>
                </c:pt>
              </c:strCache>
            </c:strRef>
          </c:tx>
          <c:explosion val="25"/>
          <c:cat>
            <c:strRef>
              <c:f>'typ beneficjenta'!$A$4:$A$9</c:f>
              <c:strCache>
                <c:ptCount val="6"/>
                <c:pt idx="0">
                  <c:v>inne</c:v>
                </c:pt>
                <c:pt idx="1">
                  <c:v>jst</c:v>
                </c:pt>
                <c:pt idx="2">
                  <c:v>organ władzy, administracji rządowej</c:v>
                </c:pt>
                <c:pt idx="3">
                  <c:v>organizacja non profit</c:v>
                </c:pt>
                <c:pt idx="4">
                  <c:v>przedsiębiorstwa</c:v>
                </c:pt>
                <c:pt idx="5">
                  <c:v>uczelnie, jednostki naukowe</c:v>
                </c:pt>
              </c:strCache>
            </c:strRef>
          </c:cat>
          <c:val>
            <c:numRef>
              <c:f>'typ beneficjenta'!$F$4:$F$9</c:f>
            </c:numRef>
          </c:val>
        </c:ser>
        <c:ser>
          <c:idx val="5"/>
          <c:order val="5"/>
          <c:tx>
            <c:strRef>
              <c:f>'typ beneficjenta'!$G$3</c:f>
              <c:strCache>
                <c:ptCount val="1"/>
                <c:pt idx="0">
                  <c:v>Liczba</c:v>
                </c:pt>
              </c:strCache>
            </c:strRef>
          </c:tx>
          <c:spPr>
            <a:scene3d>
              <a:camera prst="orthographicFront"/>
              <a:lightRig rig="threePt" dir="t"/>
            </a:scene3d>
            <a:sp3d>
              <a:bevelT/>
            </a:sp3d>
          </c:spPr>
          <c:explosion val="25"/>
          <c:dPt>
            <c:idx val="1"/>
            <c:bubble3D val="0"/>
            <c:spPr>
              <a:solidFill>
                <a:srgbClr val="0070C0"/>
              </a:solidFill>
              <a:scene3d>
                <a:camera prst="orthographicFront"/>
                <a:lightRig rig="threePt" dir="t"/>
              </a:scene3d>
              <a:sp3d>
                <a:bevelT/>
              </a:sp3d>
            </c:spPr>
          </c:dPt>
          <c:dPt>
            <c:idx val="3"/>
            <c:bubble3D val="0"/>
            <c:spPr>
              <a:solidFill>
                <a:srgbClr val="FFFF00"/>
              </a:solidFill>
              <a:scene3d>
                <a:camera prst="orthographicFront"/>
                <a:lightRig rig="threePt" dir="t"/>
              </a:scene3d>
              <a:sp3d>
                <a:bevelT/>
              </a:sp3d>
            </c:spPr>
          </c:dPt>
          <c:dPt>
            <c:idx val="4"/>
            <c:bubble3D val="0"/>
            <c:spPr>
              <a:solidFill>
                <a:srgbClr val="92D050"/>
              </a:solidFill>
              <a:ln>
                <a:solidFill>
                  <a:srgbClr val="FFFF00"/>
                </a:solidFill>
              </a:ln>
              <a:scene3d>
                <a:camera prst="orthographicFront"/>
                <a:lightRig rig="threePt" dir="t"/>
              </a:scene3d>
              <a:sp3d>
                <a:bevelT/>
              </a:sp3d>
            </c:spPr>
          </c:dPt>
          <c:dPt>
            <c:idx val="5"/>
            <c:bubble3D val="0"/>
            <c:spPr>
              <a:solidFill>
                <a:schemeClr val="bg1"/>
              </a:solidFill>
              <a:scene3d>
                <a:camera prst="orthographicFront"/>
                <a:lightRig rig="threePt" dir="t"/>
              </a:scene3d>
              <a:sp3d>
                <a:bevelT/>
              </a:sp3d>
            </c:spPr>
          </c:dPt>
          <c:dLbls>
            <c:dLbl>
              <c:idx val="0"/>
              <c:layout>
                <c:manualLayout>
                  <c:x val="1.0699221265697481E-2"/>
                  <c:y val="-7.9340723530207033E-2"/>
                </c:manualLayout>
              </c:layout>
              <c:dLblPos val="bestFit"/>
              <c:showLegendKey val="0"/>
              <c:showVal val="1"/>
              <c:showCatName val="0"/>
              <c:showSerName val="0"/>
              <c:showPercent val="0"/>
              <c:showBubbleSize val="0"/>
            </c:dLbl>
            <c:dLbl>
              <c:idx val="1"/>
              <c:layout>
                <c:manualLayout>
                  <c:x val="-2.6066591675685789E-2"/>
                  <c:y val="-6.6626199308640222E-2"/>
                </c:manualLayout>
              </c:layout>
              <c:dLblPos val="bestFit"/>
              <c:showLegendKey val="0"/>
              <c:showVal val="1"/>
              <c:showCatName val="0"/>
              <c:showSerName val="0"/>
              <c:showPercent val="0"/>
              <c:showBubbleSize val="0"/>
            </c:dLbl>
            <c:dLbl>
              <c:idx val="2"/>
              <c:layout>
                <c:manualLayout>
                  <c:x val="-0.19181470279906049"/>
                  <c:y val="-4.0569823544315507E-2"/>
                </c:manualLayout>
              </c:layout>
              <c:dLblPos val="bestFit"/>
              <c:showLegendKey val="0"/>
              <c:showVal val="1"/>
              <c:showCatName val="0"/>
              <c:showSerName val="0"/>
              <c:showPercent val="0"/>
              <c:showBubbleSize val="0"/>
            </c:dLbl>
            <c:dLbl>
              <c:idx val="3"/>
              <c:layout>
                <c:manualLayout>
                  <c:x val="0.13800546521752241"/>
                  <c:y val="-2.2020318148755012E-2"/>
                </c:manualLayout>
              </c:layout>
              <c:dLblPos val="bestFit"/>
              <c:showLegendKey val="0"/>
              <c:showVal val="1"/>
              <c:showCatName val="0"/>
              <c:showSerName val="0"/>
              <c:showPercent val="0"/>
              <c:showBubbleSize val="0"/>
            </c:dLbl>
            <c:dLbl>
              <c:idx val="5"/>
              <c:layout>
                <c:manualLayout>
                  <c:x val="0.11235837701019055"/>
                  <c:y val="5.8071930183999337E-2"/>
                </c:manualLayout>
              </c:layout>
              <c:dLblPos val="bestFi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dLblPos val="bestFit"/>
            <c:showLegendKey val="0"/>
            <c:showVal val="1"/>
            <c:showCatName val="0"/>
            <c:showSerName val="0"/>
            <c:showPercent val="0"/>
            <c:showBubbleSize val="0"/>
            <c:showLeaderLines val="1"/>
          </c:dLbls>
          <c:cat>
            <c:strRef>
              <c:f>'typ beneficjenta'!$A$4:$A$9</c:f>
              <c:strCache>
                <c:ptCount val="6"/>
                <c:pt idx="0">
                  <c:v>inne</c:v>
                </c:pt>
                <c:pt idx="1">
                  <c:v>jst</c:v>
                </c:pt>
                <c:pt idx="2">
                  <c:v>organ władzy, administracji rządowej</c:v>
                </c:pt>
                <c:pt idx="3">
                  <c:v>organizacja non profit</c:v>
                </c:pt>
                <c:pt idx="4">
                  <c:v>przedsiębiorstwa</c:v>
                </c:pt>
                <c:pt idx="5">
                  <c:v>uczelnie, jednostki naukowe</c:v>
                </c:pt>
              </c:strCache>
            </c:strRef>
          </c:cat>
          <c:val>
            <c:numRef>
              <c:f>'typ beneficjenta'!$G$4:$G$9</c:f>
              <c:numCache>
                <c:formatCode>0.00%</c:formatCode>
                <c:ptCount val="6"/>
                <c:pt idx="0">
                  <c:v>5.9935897435897494E-2</c:v>
                </c:pt>
                <c:pt idx="1">
                  <c:v>0.26025641025641028</c:v>
                </c:pt>
                <c:pt idx="2">
                  <c:v>3.2051282051283179E-4</c:v>
                </c:pt>
                <c:pt idx="3">
                  <c:v>3.5256410256410292E-3</c:v>
                </c:pt>
                <c:pt idx="4">
                  <c:v>0.66346153846154265</c:v>
                </c:pt>
                <c:pt idx="5">
                  <c:v>1.2500000000000001E-2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2191100049933924E-2"/>
          <c:y val="0.59358334118770606"/>
          <c:w val="0.87430326573371997"/>
          <c:h val="0.34699306460682727"/>
        </c:manualLayout>
      </c:layout>
      <c:overlay val="0"/>
      <c:spPr>
        <a:ln w="6350"/>
      </c:spPr>
      <c:txPr>
        <a:bodyPr/>
        <a:lstStyle/>
        <a:p>
          <a:pPr>
            <a:defRPr b="1" kern="600" spc="10" baseline="0">
              <a:latin typeface="Times New Roman" pitchFamily="18" charset="0"/>
              <a:cs typeface="Times New Roman" pitchFamily="18" charset="0"/>
            </a:defRPr>
          </a:pPr>
          <a:endParaRPr lang="pl-PL"/>
        </a:p>
      </c:txPr>
    </c:legend>
    <c:plotVisOnly val="1"/>
    <c:dispBlanksAs val="gap"/>
    <c:showDLblsOverMax val="0"/>
  </c:chart>
  <c:spPr>
    <a:noFill/>
    <a:ln w="34925">
      <a:solidFill>
        <a:srgbClr val="00B050"/>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pPr>
            <a:r>
              <a:rPr lang="pl-PL" sz="1200" i="1"/>
              <a:t>WARTOŚĆ</a:t>
            </a:r>
            <a:endParaRPr lang="en-US" sz="1200" i="1"/>
          </a:p>
        </c:rich>
      </c:tx>
      <c:layout>
        <c:manualLayout>
          <c:xMode val="edge"/>
          <c:yMode val="edge"/>
          <c:x val="0.30595427833801536"/>
          <c:y val="4.201811161039429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0126688960720443"/>
          <c:y val="0.1841555853701457"/>
          <c:w val="0.65992856487919482"/>
          <c:h val="0.47768822098783498"/>
        </c:manualLayout>
      </c:layout>
      <c:pie3DChart>
        <c:varyColors val="1"/>
        <c:ser>
          <c:idx val="0"/>
          <c:order val="0"/>
          <c:tx>
            <c:strRef>
              <c:f>'typ beneficjenta'!$I$3</c:f>
              <c:strCache>
                <c:ptCount val="1"/>
                <c:pt idx="0">
                  <c:v>Wartość ogółem (w mln euro)</c:v>
                </c:pt>
              </c:strCache>
            </c:strRef>
          </c:tx>
          <c:spPr>
            <a:scene3d>
              <a:camera prst="orthographicFront"/>
              <a:lightRig rig="threePt" dir="t"/>
            </a:scene3d>
            <a:sp3d>
              <a:bevelT/>
            </a:sp3d>
          </c:spPr>
          <c:explosion val="25"/>
          <c:dPt>
            <c:idx val="0"/>
            <c:bubble3D val="0"/>
            <c:spPr>
              <a:solidFill>
                <a:schemeClr val="accent4">
                  <a:lumMod val="20000"/>
                  <a:lumOff val="80000"/>
                </a:schemeClr>
              </a:solidFill>
              <a:scene3d>
                <a:camera prst="orthographicFront"/>
                <a:lightRig rig="threePt" dir="t"/>
              </a:scene3d>
              <a:sp3d>
                <a:bevelT/>
              </a:sp3d>
            </c:spPr>
          </c:dPt>
          <c:dPt>
            <c:idx val="1"/>
            <c:bubble3D val="0"/>
            <c:explosion val="2"/>
            <c:spPr>
              <a:solidFill>
                <a:schemeClr val="accent1">
                  <a:lumMod val="60000"/>
                  <a:lumOff val="40000"/>
                </a:schemeClr>
              </a:solidFill>
              <a:scene3d>
                <a:camera prst="orthographicFront"/>
                <a:lightRig rig="threePt" dir="t"/>
              </a:scene3d>
              <a:sp3d>
                <a:bevelT/>
              </a:sp3d>
            </c:spPr>
          </c:dPt>
          <c:dPt>
            <c:idx val="4"/>
            <c:bubble3D val="0"/>
            <c:spPr>
              <a:solidFill>
                <a:srgbClr val="92D050"/>
              </a:solidFill>
              <a:scene3d>
                <a:camera prst="orthographicFront"/>
                <a:lightRig rig="threePt" dir="t"/>
              </a:scene3d>
              <a:sp3d>
                <a:bevelT/>
              </a:sp3d>
            </c:spPr>
          </c:dPt>
          <c:dLbls>
            <c:dLbl>
              <c:idx val="0"/>
              <c:layout>
                <c:manualLayout>
                  <c:x val="8.6529556030451898E-2"/>
                  <c:y val="4.2890945775459046E-3"/>
                </c:manualLayout>
              </c:layout>
              <c:dLblPos val="bestFit"/>
              <c:showLegendKey val="0"/>
              <c:showVal val="1"/>
              <c:showCatName val="0"/>
              <c:showSerName val="0"/>
              <c:showPercent val="0"/>
              <c:showBubbleSize val="0"/>
            </c:dLbl>
            <c:dLbl>
              <c:idx val="2"/>
              <c:layout>
                <c:manualLayout>
                  <c:x val="-7.4445836798115884E-3"/>
                  <c:y val="5.7217735906250032E-2"/>
                </c:manualLayout>
              </c:layout>
              <c:dLblPos val="bestFit"/>
              <c:showLegendKey val="0"/>
              <c:showVal val="1"/>
              <c:showCatName val="0"/>
              <c:showSerName val="0"/>
              <c:showPercent val="0"/>
              <c:showBubbleSize val="0"/>
            </c:dLbl>
            <c:dLbl>
              <c:idx val="3"/>
              <c:layout>
                <c:manualLayout>
                  <c:x val="-1.0615496439661493E-2"/>
                  <c:y val="-5.1804573838409314E-2"/>
                </c:manualLayout>
              </c:layout>
              <c:dLblPos val="bestFit"/>
              <c:showLegendKey val="0"/>
              <c:showVal val="1"/>
              <c:showCatName val="0"/>
              <c:showSerName val="0"/>
              <c:showPercent val="0"/>
              <c:showBubbleSize val="0"/>
            </c:dLbl>
            <c:dLbl>
              <c:idx val="4"/>
              <c:layout>
                <c:manualLayout>
                  <c:x val="8.8716729770103225E-2"/>
                  <c:y val="-8.1263569745044506E-2"/>
                </c:manualLayout>
              </c:layout>
              <c:dLblPos val="bestFit"/>
              <c:showLegendKey val="0"/>
              <c:showVal val="1"/>
              <c:showCatName val="0"/>
              <c:showSerName val="0"/>
              <c:showPercent val="0"/>
              <c:showBubbleSize val="0"/>
            </c:dLbl>
            <c:dLbl>
              <c:idx val="5"/>
              <c:layout>
                <c:manualLayout>
                  <c:x val="0.13100085494978317"/>
                  <c:y val="-6.1069339291857067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'typ beneficjenta'!$H$4:$H$9</c:f>
              <c:strCache>
                <c:ptCount val="6"/>
                <c:pt idx="0">
                  <c:v>inne</c:v>
                </c:pt>
                <c:pt idx="1">
                  <c:v>jst</c:v>
                </c:pt>
                <c:pt idx="2">
                  <c:v>organ władzy, administracji rządowej</c:v>
                </c:pt>
                <c:pt idx="3">
                  <c:v>organizacja non profit</c:v>
                </c:pt>
                <c:pt idx="4">
                  <c:v>przedsiębiorstwa</c:v>
                </c:pt>
                <c:pt idx="5">
                  <c:v>uczelnie, jednostki naukowe</c:v>
                </c:pt>
              </c:strCache>
            </c:strRef>
          </c:cat>
          <c:val>
            <c:numRef>
              <c:f>'typ beneficjenta'!$I$4:$I$9</c:f>
              <c:numCache>
                <c:formatCode>0.00%</c:formatCode>
                <c:ptCount val="6"/>
                <c:pt idx="0">
                  <c:v>9.6186275645006772E-2</c:v>
                </c:pt>
                <c:pt idx="1">
                  <c:v>0.70433162454343456</c:v>
                </c:pt>
                <c:pt idx="2">
                  <c:v>2.2737081442962656E-4</c:v>
                </c:pt>
                <c:pt idx="3">
                  <c:v>5.6421646543647818E-3</c:v>
                </c:pt>
                <c:pt idx="4">
                  <c:v>0.14138885672480761</c:v>
                </c:pt>
                <c:pt idx="5">
                  <c:v>5.2223707617974895E-2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046157893253412E-2"/>
          <c:y val="0.5485887465153767"/>
          <c:w val="0.82025090651126298"/>
          <c:h val="0.35003504143132619"/>
        </c:manualLayout>
      </c:layout>
      <c:overlay val="0"/>
    </c:legend>
    <c:plotVisOnly val="1"/>
    <c:dispBlanksAs val="gap"/>
    <c:showDLblsOverMax val="0"/>
  </c:chart>
  <c:spPr>
    <a:ln w="34925">
      <a:solidFill>
        <a:schemeClr val="accent1">
          <a:lumMod val="75000"/>
        </a:schemeClr>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Arkusz2!$A$5</c:f>
              <c:strCache>
                <c:ptCount val="1"/>
                <c:pt idx="0">
                  <c:v>Ilość</c:v>
                </c:pt>
              </c:strCache>
            </c:strRef>
          </c:tx>
          <c:spPr>
            <a:ln>
              <a:solidFill>
                <a:schemeClr val="tx1"/>
              </a:solidFill>
            </a:ln>
          </c:spPr>
          <c:explosion val="14"/>
          <c:dPt>
            <c:idx val="0"/>
            <c:bubble3D val="0"/>
            <c:spPr>
              <a:solidFill>
                <a:srgbClr val="92D050"/>
              </a:solidFill>
              <a:ln>
                <a:solidFill>
                  <a:schemeClr val="tx1"/>
                </a:solidFill>
              </a:ln>
            </c:spPr>
          </c:dPt>
          <c:dPt>
            <c:idx val="1"/>
            <c:bubble3D val="0"/>
            <c:spPr>
              <a:solidFill>
                <a:srgbClr val="D34817">
                  <a:lumMod val="60000"/>
                  <a:lumOff val="40000"/>
                </a:srgbClr>
              </a:solidFill>
              <a:ln>
                <a:solidFill>
                  <a:schemeClr val="tx1"/>
                </a:solidFill>
              </a:ln>
            </c:spPr>
          </c:dPt>
          <c:dLbls>
            <c:dLbl>
              <c:idx val="0"/>
              <c:layout>
                <c:manualLayout>
                  <c:x val="-0.2031925095901474"/>
                  <c:y val="-0.26395334430046508"/>
                </c:manualLayout>
              </c:layout>
              <c:showLegendKey val="0"/>
              <c:showVal val="0"/>
              <c:showCatName val="1"/>
              <c:showSerName val="0"/>
              <c:showPercent val="1"/>
              <c:showBubbleSize val="0"/>
            </c:dLbl>
            <c:dLbl>
              <c:idx val="1"/>
              <c:layout>
                <c:manualLayout>
                  <c:x val="0.10452991452991453"/>
                  <c:y val="-0.22301633742781407"/>
                </c:manualLayout>
              </c:layout>
              <c:showLegendKey val="0"/>
              <c:showVal val="0"/>
              <c:showCatName val="1"/>
              <c:showSerName val="0"/>
              <c:showPercent val="1"/>
              <c:showBubbleSize val="0"/>
            </c:dLbl>
            <c:dLbl>
              <c:idx val="2"/>
              <c:layout>
                <c:manualLayout>
                  <c:x val="0.11168416447944007"/>
                  <c:y val="0.19080069466679261"/>
                </c:manualLayout>
              </c:layout>
              <c:showLegendKey val="0"/>
              <c:showVal val="0"/>
              <c:showCatName val="1"/>
              <c:showSerName val="0"/>
              <c:showPercent val="1"/>
              <c:showBubbleSize val="0"/>
            </c:dLbl>
            <c:txPr>
              <a:bodyPr/>
              <a:lstStyle/>
              <a:p>
                <a:pPr>
                  <a:defRPr sz="1100" b="1"/>
                </a:pPr>
                <a:endParaRPr lang="pl-PL"/>
              </a:p>
            </c:txPr>
            <c:showLegendKey val="0"/>
            <c:showVal val="0"/>
            <c:showCatName val="1"/>
            <c:showSerName val="0"/>
            <c:showPercent val="1"/>
            <c:showBubbleSize val="0"/>
            <c:showLeaderLines val="1"/>
          </c:dLbls>
          <c:cat>
            <c:strRef>
              <c:f>Arkusz2!$B$3:$D$4</c:f>
              <c:strCache>
                <c:ptCount val="3"/>
                <c:pt idx="0">
                  <c:v> mikro</c:v>
                </c:pt>
                <c:pt idx="1">
                  <c:v> małe</c:v>
                </c:pt>
                <c:pt idx="2">
                  <c:v> średnie</c:v>
                </c:pt>
              </c:strCache>
            </c:strRef>
          </c:cat>
          <c:val>
            <c:numRef>
              <c:f>Arkusz2!$B$5:$D$5</c:f>
              <c:numCache>
                <c:formatCode>General</c:formatCode>
                <c:ptCount val="3"/>
                <c:pt idx="0">
                  <c:v>65</c:v>
                </c:pt>
                <c:pt idx="1">
                  <c:v>35</c:v>
                </c:pt>
                <c:pt idx="2">
                  <c:v>30</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pPr>
        <a:ln>
          <a:noFill/>
        </a:ln>
      </c:spPr>
    </c:sideWall>
    <c:backWall>
      <c:thickness val="0"/>
      <c:spPr>
        <a:ln>
          <a:noFill/>
        </a:ln>
      </c:spPr>
    </c:backWall>
    <c:plotArea>
      <c:layout>
        <c:manualLayout>
          <c:layoutTarget val="inner"/>
          <c:xMode val="edge"/>
          <c:yMode val="edge"/>
          <c:x val="0"/>
          <c:y val="3.5490259740259746E-2"/>
          <c:w val="1"/>
          <c:h val="0.96561982988219464"/>
        </c:manualLayout>
      </c:layout>
      <c:pie3DChart>
        <c:varyColors val="1"/>
        <c:ser>
          <c:idx val="0"/>
          <c:order val="0"/>
          <c:tx>
            <c:strRef>
              <c:f>Arkusz2!$A$9</c:f>
              <c:strCache>
                <c:ptCount val="1"/>
                <c:pt idx="0">
                  <c:v>Wartość</c:v>
                </c:pt>
              </c:strCache>
            </c:strRef>
          </c:tx>
          <c:spPr>
            <a:ln>
              <a:solidFill>
                <a:schemeClr val="tx1"/>
              </a:solidFill>
            </a:ln>
          </c:spPr>
          <c:explosion val="8"/>
          <c:dPt>
            <c:idx val="0"/>
            <c:bubble3D val="0"/>
            <c:explosion val="43"/>
            <c:spPr>
              <a:solidFill>
                <a:srgbClr val="92D050"/>
              </a:solidFill>
              <a:ln>
                <a:solidFill>
                  <a:schemeClr val="tx1"/>
                </a:solidFill>
              </a:ln>
            </c:spPr>
          </c:dPt>
          <c:dPt>
            <c:idx val="1"/>
            <c:bubble3D val="0"/>
            <c:spPr>
              <a:solidFill>
                <a:srgbClr val="D34817">
                  <a:lumMod val="60000"/>
                  <a:lumOff val="40000"/>
                </a:srgbClr>
              </a:solidFill>
              <a:ln>
                <a:solidFill>
                  <a:schemeClr val="tx1"/>
                </a:solidFill>
              </a:ln>
            </c:spPr>
          </c:dPt>
          <c:dLbls>
            <c:dLbl>
              <c:idx val="0"/>
              <c:layout>
                <c:manualLayout>
                  <c:x val="-0.17681559400362121"/>
                  <c:y val="6.5163487978979112E-2"/>
                </c:manualLayout>
              </c:layout>
              <c:tx>
                <c:rich>
                  <a:bodyPr/>
                  <a:lstStyle/>
                  <a:p>
                    <a:r>
                      <a:rPr lang="pl-PL"/>
                      <a:t>mikro 2,40</a:t>
                    </a:r>
                    <a:endParaRPr lang="en-US"/>
                  </a:p>
                </c:rich>
              </c:tx>
              <c:showLegendKey val="0"/>
              <c:showVal val="1"/>
              <c:showCatName val="0"/>
              <c:showSerName val="0"/>
              <c:showPercent val="0"/>
              <c:showBubbleSize val="0"/>
            </c:dLbl>
            <c:dLbl>
              <c:idx val="1"/>
              <c:layout>
                <c:manualLayout>
                  <c:x val="-2.5594680708455782E-3"/>
                  <c:y val="-0.23713261194113214"/>
                </c:manualLayout>
              </c:layout>
              <c:tx>
                <c:rich>
                  <a:bodyPr/>
                  <a:lstStyle/>
                  <a:p>
                    <a:r>
                      <a:rPr lang="pl-PL"/>
                      <a:t>małe 2,18</a:t>
                    </a:r>
                    <a:endParaRPr lang="en-US"/>
                  </a:p>
                </c:rich>
              </c:tx>
              <c:showLegendKey val="0"/>
              <c:showVal val="1"/>
              <c:showCatName val="0"/>
              <c:showSerName val="0"/>
              <c:showPercent val="0"/>
              <c:showBubbleSize val="0"/>
            </c:dLbl>
            <c:dLbl>
              <c:idx val="2"/>
              <c:layout>
                <c:manualLayout>
                  <c:x val="0.14936331353650084"/>
                  <c:y val="5.6503610504425573E-2"/>
                </c:manualLayout>
              </c:layout>
              <c:tx>
                <c:rich>
                  <a:bodyPr/>
                  <a:lstStyle/>
                  <a:p>
                    <a:r>
                      <a:rPr lang="pl-PL" sz="1100">
                        <a:latin typeface="Times New Roman" pitchFamily="18" charset="0"/>
                        <a:cs typeface="Times New Roman" pitchFamily="18" charset="0"/>
                      </a:rPr>
                      <a:t>średnie 2,41</a:t>
                    </a:r>
                    <a:endParaRPr lang="en-US" sz="110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Arkusz2!$B$7:$D$8</c:f>
              <c:strCache>
                <c:ptCount val="3"/>
                <c:pt idx="0">
                  <c:v> mikro</c:v>
                </c:pt>
                <c:pt idx="1">
                  <c:v> małe</c:v>
                </c:pt>
                <c:pt idx="2">
                  <c:v> średnie</c:v>
                </c:pt>
              </c:strCache>
            </c:strRef>
          </c:cat>
          <c:val>
            <c:numRef>
              <c:f>Arkusz2!$B$9:$D$9</c:f>
              <c:numCache>
                <c:formatCode>#,##0.00</c:formatCode>
                <c:ptCount val="3"/>
                <c:pt idx="0">
                  <c:v>10864204</c:v>
                </c:pt>
                <c:pt idx="1">
                  <c:v>9868650</c:v>
                </c:pt>
                <c:pt idx="2">
                  <c:v>10900060</c:v>
                </c:pt>
              </c:numCache>
            </c:numRef>
          </c:val>
        </c:ser>
        <c:dLbls>
          <c:showLegendKey val="0"/>
          <c:showVal val="1"/>
          <c:showCatName val="1"/>
          <c:showSerName val="0"/>
          <c:showPercent val="0"/>
          <c:showBubbleSize val="0"/>
          <c:showLeaderLines val="0"/>
        </c:dLbls>
      </c:pie3DChart>
    </c:plotArea>
    <c:plotVisOnly val="1"/>
    <c:dispBlanksAs val="gap"/>
    <c:showDLblsOverMax val="0"/>
  </c:chart>
  <c:spPr>
    <a:ln>
      <a:noFill/>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5009232546011814E-2"/>
          <c:y val="7.6412037773353411E-2"/>
          <c:w val="0.69765885015076001"/>
          <c:h val="0.89169535415279366"/>
        </c:manualLayout>
      </c:layout>
      <c:pie3DChart>
        <c:varyColors val="1"/>
        <c:ser>
          <c:idx val="0"/>
          <c:order val="0"/>
          <c:explosion val="25"/>
          <c:dPt>
            <c:idx val="0"/>
            <c:bubble3D val="0"/>
            <c:spPr>
              <a:solidFill>
                <a:srgbClr val="FFFFCC"/>
              </a:solidFill>
            </c:spPr>
          </c:dPt>
          <c:dPt>
            <c:idx val="1"/>
            <c:bubble3D val="0"/>
            <c:spPr>
              <a:solidFill>
                <a:srgbClr val="92D050"/>
              </a:solidFill>
            </c:spPr>
          </c:dPt>
          <c:dLbls>
            <c:dLblPos val="outEnd"/>
            <c:showLegendKey val="0"/>
            <c:showVal val="1"/>
            <c:showCatName val="0"/>
            <c:showSerName val="0"/>
            <c:showPercent val="0"/>
            <c:showBubbleSize val="0"/>
            <c:showLeaderLines val="1"/>
          </c:dLbls>
          <c:cat>
            <c:strRef>
              <c:f>'Europa 2020'!$B$25:$B$27</c:f>
              <c:strCache>
                <c:ptCount val="3"/>
                <c:pt idx="0">
                  <c:v>smart growth</c:v>
                </c:pt>
                <c:pt idx="1">
                  <c:v>suistainable growth</c:v>
                </c:pt>
                <c:pt idx="2">
                  <c:v>inclusive growth</c:v>
                </c:pt>
              </c:strCache>
            </c:strRef>
          </c:cat>
          <c:val>
            <c:numRef>
              <c:f>'Europa 2020'!$C$25:$C$27</c:f>
              <c:numCache>
                <c:formatCode>General</c:formatCode>
                <c:ptCount val="3"/>
                <c:pt idx="0">
                  <c:v>656.97</c:v>
                </c:pt>
                <c:pt idx="1">
                  <c:v>939.81</c:v>
                </c:pt>
                <c:pt idx="2">
                  <c:v>309.85000000000002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4017444476027863"/>
          <c:y val="0.6811846011330448"/>
          <c:w val="0.28307791821195238"/>
          <c:h val="0.20978758818034979"/>
        </c:manualLayout>
      </c:layout>
      <c:overlay val="0"/>
    </c:legend>
    <c:plotVisOnly val="1"/>
    <c:dispBlanksAs val="gap"/>
    <c:showDLblsOverMax val="0"/>
  </c:chart>
  <c:spPr>
    <a:ln w="34925">
      <a:solidFill>
        <a:schemeClr val="accent2">
          <a:lumMod val="60000"/>
          <a:lumOff val="40000"/>
        </a:schemeClr>
      </a:solidFill>
    </a:ln>
  </c:spPr>
  <c:txPr>
    <a:bodyPr/>
    <a:lstStyle/>
    <a:p>
      <a:pPr>
        <a:defRPr b="1">
          <a:latin typeface="Times New Roman" pitchFamily="18" charset="0"/>
          <a:cs typeface="Times New Roman" pitchFamily="18" charset="0"/>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047951934789"/>
          <c:y val="6.4980914449089183E-2"/>
          <c:w val="0.8290661652402993"/>
          <c:h val="0.76078288482103151"/>
        </c:manualLayout>
      </c:layout>
      <c:lineChart>
        <c:grouping val="standard"/>
        <c:varyColors val="0"/>
        <c:ser>
          <c:idx val="0"/>
          <c:order val="0"/>
          <c:tx>
            <c:strRef>
              <c:f>'Poziom wykorzystania środków'!$B$2</c:f>
              <c:strCache>
                <c:ptCount val="1"/>
                <c:pt idx="0">
                  <c:v>Alokacja mln PLN</c:v>
                </c:pt>
              </c:strCache>
            </c:strRef>
          </c:tx>
          <c:cat>
            <c:strRef>
              <c:f>'Poziom wykorzystania środków'!$A$3:$A$13</c:f>
              <c:strCache>
                <c:ptCount val="11"/>
                <c:pt idx="0">
                  <c:v>I</c:v>
                </c:pt>
                <c:pt idx="1">
                  <c:v>II</c:v>
                </c:pt>
                <c:pt idx="2">
                  <c:v>III</c:v>
                </c:pt>
                <c:pt idx="3">
                  <c:v>IV</c:v>
                </c:pt>
                <c:pt idx="4">
                  <c:v>V</c:v>
                </c:pt>
                <c:pt idx="5">
                  <c:v>VI</c:v>
                </c:pt>
                <c:pt idx="6">
                  <c:v>VII</c:v>
                </c:pt>
                <c:pt idx="7">
                  <c:v>VIII</c:v>
                </c:pt>
                <c:pt idx="8">
                  <c:v>IX</c:v>
                </c:pt>
                <c:pt idx="9">
                  <c:v>X</c:v>
                </c:pt>
                <c:pt idx="10">
                  <c:v>RPO WSL</c:v>
                </c:pt>
              </c:strCache>
            </c:strRef>
          </c:cat>
          <c:val>
            <c:numRef>
              <c:f>'Poziom wykorzystania środków'!$B$3:$B$13</c:f>
            </c:numRef>
          </c:val>
          <c:smooth val="0"/>
        </c:ser>
        <c:ser>
          <c:idx val="1"/>
          <c:order val="1"/>
          <c:tx>
            <c:strRef>
              <c:f>'Poziom wykorzystania środków'!$C$2</c:f>
              <c:strCache>
                <c:ptCount val="1"/>
                <c:pt idx="0">
                  <c:v>Zatwierdzone wnioski do dofinansowania</c:v>
                </c:pt>
              </c:strCache>
            </c:strRef>
          </c:tx>
          <c:spPr>
            <a:ln w="44450">
              <a:solidFill>
                <a:srgbClr val="FF0000"/>
              </a:solidFill>
            </a:ln>
          </c:spPr>
          <c:marker>
            <c:symbol val="none"/>
          </c:marker>
          <c:dLbls>
            <c:dLbl>
              <c:idx val="4"/>
              <c:layout>
                <c:manualLayout>
                  <c:x val="-3.8029879516064492E-2"/>
                  <c:y val="-3.6766918061485986E-2"/>
                </c:manualLayout>
              </c:layout>
              <c:dLblPos val="r"/>
              <c:showLegendKey val="0"/>
              <c:showVal val="1"/>
              <c:showCatName val="0"/>
              <c:showSerName val="0"/>
              <c:showPercent val="0"/>
              <c:showBubbleSize val="0"/>
            </c:dLbl>
            <c:dLbl>
              <c:idx val="5"/>
              <c:layout>
                <c:manualLayout>
                  <c:x val="-5.0155348347273365E-2"/>
                  <c:y val="2.9557718441586792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'Poziom wykorzystania środków'!$A$3:$A$13</c:f>
              <c:strCache>
                <c:ptCount val="11"/>
                <c:pt idx="0">
                  <c:v>I</c:v>
                </c:pt>
                <c:pt idx="1">
                  <c:v>II</c:v>
                </c:pt>
                <c:pt idx="2">
                  <c:v>III</c:v>
                </c:pt>
                <c:pt idx="3">
                  <c:v>IV</c:v>
                </c:pt>
                <c:pt idx="4">
                  <c:v>V</c:v>
                </c:pt>
                <c:pt idx="5">
                  <c:v>VI</c:v>
                </c:pt>
                <c:pt idx="6">
                  <c:v>VII</c:v>
                </c:pt>
                <c:pt idx="7">
                  <c:v>VIII</c:v>
                </c:pt>
                <c:pt idx="8">
                  <c:v>IX</c:v>
                </c:pt>
                <c:pt idx="9">
                  <c:v>X</c:v>
                </c:pt>
                <c:pt idx="10">
                  <c:v>RPO WSL</c:v>
                </c:pt>
              </c:strCache>
            </c:strRef>
          </c:cat>
          <c:val>
            <c:numRef>
              <c:f>'Poziom wykorzystania środków'!$C$3:$C$13</c:f>
              <c:numCache>
                <c:formatCode>0.00%</c:formatCode>
                <c:ptCount val="11"/>
                <c:pt idx="0">
                  <c:v>0.65053898602064519</c:v>
                </c:pt>
                <c:pt idx="1">
                  <c:v>0.80664195700521402</c:v>
                </c:pt>
                <c:pt idx="2">
                  <c:v>0.78494535798182064</c:v>
                </c:pt>
                <c:pt idx="3">
                  <c:v>1.0300595894945941</c:v>
                </c:pt>
                <c:pt idx="4">
                  <c:v>1.0352030510983699</c:v>
                </c:pt>
                <c:pt idx="5">
                  <c:v>0.77738420414542664</c:v>
                </c:pt>
                <c:pt idx="6">
                  <c:v>0.9033349707985372</c:v>
                </c:pt>
                <c:pt idx="7">
                  <c:v>0.95296540827267084</c:v>
                </c:pt>
                <c:pt idx="8">
                  <c:v>1.0665403156029818</c:v>
                </c:pt>
                <c:pt idx="9">
                  <c:v>0.48664501937782417</c:v>
                </c:pt>
                <c:pt idx="10">
                  <c:v>0.83608520842700662</c:v>
                </c:pt>
              </c:numCache>
            </c:numRef>
          </c:val>
          <c:smooth val="0"/>
        </c:ser>
        <c:ser>
          <c:idx val="2"/>
          <c:order val="2"/>
          <c:tx>
            <c:strRef>
              <c:f>'Poziom wykorzystania środków'!$D$2</c:f>
              <c:strCache>
                <c:ptCount val="1"/>
                <c:pt idx="0">
                  <c:v>Podpisane umowy</c:v>
                </c:pt>
              </c:strCache>
            </c:strRef>
          </c:tx>
          <c:spPr>
            <a:ln w="44450">
              <a:solidFill>
                <a:srgbClr val="92D050"/>
              </a:solidFill>
            </a:ln>
          </c:spPr>
          <c:marker>
            <c:symbol val="none"/>
          </c:marker>
          <c:dLbls>
            <c:dLbl>
              <c:idx val="5"/>
              <c:layout>
                <c:manualLayout>
                  <c:x val="-5.4564609740442686E-2"/>
                  <c:y val="-2.3790358745667383E-2"/>
                </c:manualLayout>
              </c:layout>
              <c:dLblPos val="r"/>
              <c:showLegendKey val="0"/>
              <c:showVal val="1"/>
              <c:showCatName val="0"/>
              <c:showSerName val="0"/>
              <c:showPercent val="0"/>
              <c:showBubbleSize val="0"/>
            </c:dLbl>
            <c:dLbl>
              <c:idx val="9"/>
              <c:layout>
                <c:manualLayout>
                  <c:x val="-4.5858468263642906E-2"/>
                  <c:y val="3.0630138572157198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'Poziom wykorzystania środków'!$A$3:$A$13</c:f>
              <c:strCache>
                <c:ptCount val="11"/>
                <c:pt idx="0">
                  <c:v>I</c:v>
                </c:pt>
                <c:pt idx="1">
                  <c:v>II</c:v>
                </c:pt>
                <c:pt idx="2">
                  <c:v>III</c:v>
                </c:pt>
                <c:pt idx="3">
                  <c:v>IV</c:v>
                </c:pt>
                <c:pt idx="4">
                  <c:v>V</c:v>
                </c:pt>
                <c:pt idx="5">
                  <c:v>VI</c:v>
                </c:pt>
                <c:pt idx="6">
                  <c:v>VII</c:v>
                </c:pt>
                <c:pt idx="7">
                  <c:v>VIII</c:v>
                </c:pt>
                <c:pt idx="8">
                  <c:v>IX</c:v>
                </c:pt>
                <c:pt idx="9">
                  <c:v>X</c:v>
                </c:pt>
                <c:pt idx="10">
                  <c:v>RPO WSL</c:v>
                </c:pt>
              </c:strCache>
            </c:strRef>
          </c:cat>
          <c:val>
            <c:numRef>
              <c:f>'Poziom wykorzystania środków'!$D$3:$D$13</c:f>
              <c:numCache>
                <c:formatCode>0.00%</c:formatCode>
                <c:ptCount val="11"/>
                <c:pt idx="0">
                  <c:v>0.51949872395535746</c:v>
                </c:pt>
                <c:pt idx="1">
                  <c:v>0.51454410674573758</c:v>
                </c:pt>
                <c:pt idx="2">
                  <c:v>0.64214074149729361</c:v>
                </c:pt>
                <c:pt idx="3">
                  <c:v>0.91776649746192851</c:v>
                </c:pt>
                <c:pt idx="4">
                  <c:v>0.76116875133297368</c:v>
                </c:pt>
                <c:pt idx="5">
                  <c:v>0.86732592278817888</c:v>
                </c:pt>
                <c:pt idx="6">
                  <c:v>0.66660216046166598</c:v>
                </c:pt>
                <c:pt idx="7">
                  <c:v>0.88962248180122827</c:v>
                </c:pt>
                <c:pt idx="8">
                  <c:v>0.92472498042931894</c:v>
                </c:pt>
                <c:pt idx="9">
                  <c:v>0.40986697391852639</c:v>
                </c:pt>
                <c:pt idx="10">
                  <c:v>0.6916466287412274</c:v>
                </c:pt>
              </c:numCache>
            </c:numRef>
          </c:val>
          <c:smooth val="0"/>
        </c:ser>
        <c:ser>
          <c:idx val="3"/>
          <c:order val="3"/>
          <c:tx>
            <c:strRef>
              <c:f>'Poziom wykorzystania środków'!$E$2</c:f>
              <c:strCache>
                <c:ptCount val="1"/>
                <c:pt idx="0">
                  <c:v>Płatności </c:v>
                </c:pt>
              </c:strCache>
            </c:strRef>
          </c:tx>
          <c:spPr>
            <a:ln w="44450">
              <a:solidFill>
                <a:srgbClr val="0070C0"/>
              </a:solidFill>
            </a:ln>
          </c:spPr>
          <c:marker>
            <c:symbol val="none"/>
          </c:marker>
          <c:dLbls>
            <c:dLblPos val="b"/>
            <c:showLegendKey val="0"/>
            <c:showVal val="1"/>
            <c:showCatName val="0"/>
            <c:showSerName val="0"/>
            <c:showPercent val="0"/>
            <c:showBubbleSize val="0"/>
            <c:showLeaderLines val="0"/>
          </c:dLbls>
          <c:cat>
            <c:strRef>
              <c:f>'Poziom wykorzystania środków'!$A$3:$A$13</c:f>
              <c:strCache>
                <c:ptCount val="11"/>
                <c:pt idx="0">
                  <c:v>I</c:v>
                </c:pt>
                <c:pt idx="1">
                  <c:v>II</c:v>
                </c:pt>
                <c:pt idx="2">
                  <c:v>III</c:v>
                </c:pt>
                <c:pt idx="3">
                  <c:v>IV</c:v>
                </c:pt>
                <c:pt idx="4">
                  <c:v>V</c:v>
                </c:pt>
                <c:pt idx="5">
                  <c:v>VI</c:v>
                </c:pt>
                <c:pt idx="6">
                  <c:v>VII</c:v>
                </c:pt>
                <c:pt idx="7">
                  <c:v>VIII</c:v>
                </c:pt>
                <c:pt idx="8">
                  <c:v>IX</c:v>
                </c:pt>
                <c:pt idx="9">
                  <c:v>X</c:v>
                </c:pt>
                <c:pt idx="10">
                  <c:v>RPO WSL</c:v>
                </c:pt>
              </c:strCache>
            </c:strRef>
          </c:cat>
          <c:val>
            <c:numRef>
              <c:f>'Poziom wykorzystania środków'!$E$3:$E$13</c:f>
              <c:numCache>
                <c:formatCode>0.00%</c:formatCode>
                <c:ptCount val="11"/>
                <c:pt idx="0">
                  <c:v>0.30089513579401356</c:v>
                </c:pt>
                <c:pt idx="1">
                  <c:v>7.897702001482583E-2</c:v>
                </c:pt>
                <c:pt idx="2">
                  <c:v>0.33013992442038609</c:v>
                </c:pt>
                <c:pt idx="3">
                  <c:v>0.61853895387331714</c:v>
                </c:pt>
                <c:pt idx="4">
                  <c:v>0.31153320202235635</c:v>
                </c:pt>
                <c:pt idx="5">
                  <c:v>0.33672455850777205</c:v>
                </c:pt>
                <c:pt idx="6">
                  <c:v>0.41709712153466061</c:v>
                </c:pt>
                <c:pt idx="7">
                  <c:v>0.53337847751255563</c:v>
                </c:pt>
                <c:pt idx="8">
                  <c:v>0.71752296979932551</c:v>
                </c:pt>
                <c:pt idx="9">
                  <c:v>0.300670367654779</c:v>
                </c:pt>
                <c:pt idx="10">
                  <c:v>0.35457418593892892</c:v>
                </c:pt>
              </c:numCache>
            </c:numRef>
          </c:val>
          <c:smooth val="0"/>
        </c:ser>
        <c:dLbls>
          <c:showLegendKey val="0"/>
          <c:showVal val="0"/>
          <c:showCatName val="0"/>
          <c:showSerName val="0"/>
          <c:showPercent val="0"/>
          <c:showBubbleSize val="0"/>
        </c:dLbls>
        <c:marker val="1"/>
        <c:smooth val="0"/>
        <c:axId val="131897600"/>
        <c:axId val="131915776"/>
      </c:lineChart>
      <c:catAx>
        <c:axId val="131897600"/>
        <c:scaling>
          <c:orientation val="minMax"/>
        </c:scaling>
        <c:delete val="0"/>
        <c:axPos val="b"/>
        <c:majorTickMark val="out"/>
        <c:minorTickMark val="none"/>
        <c:tickLblPos val="nextTo"/>
        <c:crossAx val="131915776"/>
        <c:crosses val="autoZero"/>
        <c:auto val="1"/>
        <c:lblAlgn val="ctr"/>
        <c:lblOffset val="100"/>
        <c:noMultiLvlLbl val="0"/>
      </c:catAx>
      <c:valAx>
        <c:axId val="131915776"/>
        <c:scaling>
          <c:orientation val="minMax"/>
        </c:scaling>
        <c:delete val="0"/>
        <c:axPos val="l"/>
        <c:majorGridlines/>
        <c:numFmt formatCode="0.00%" sourceLinked="1"/>
        <c:majorTickMark val="out"/>
        <c:minorTickMark val="none"/>
        <c:tickLblPos val="nextTo"/>
        <c:spPr>
          <a:noFill/>
        </c:spPr>
        <c:crossAx val="131897600"/>
        <c:crosses val="autoZero"/>
        <c:crossBetween val="between"/>
      </c:valAx>
      <c:spPr>
        <a:solidFill>
          <a:schemeClr val="bg1">
            <a:lumMod val="85000"/>
          </a:schemeClr>
        </a:solidFill>
        <a:ln>
          <a:solidFill>
            <a:schemeClr val="bg1">
              <a:lumMod val="85000"/>
            </a:schemeClr>
          </a:solidFill>
        </a:ln>
      </c:spPr>
    </c:plotArea>
    <c:legend>
      <c:legendPos val="b"/>
      <c:layout>
        <c:manualLayout>
          <c:xMode val="edge"/>
          <c:yMode val="edge"/>
          <c:x val="5.00000261007695E-2"/>
          <c:y val="0.91736526555987563"/>
          <c:w val="0.89999991299030546"/>
          <c:h val="5.3293843768853745E-2"/>
        </c:manualLayout>
      </c:layout>
      <c:overlay val="0"/>
    </c:legend>
    <c:plotVisOnly val="1"/>
    <c:dispBlanksAs val="gap"/>
    <c:showDLblsOverMax val="0"/>
  </c:chart>
  <c:spPr>
    <a:ln w="28575">
      <a:solidFill>
        <a:schemeClr val="tx1"/>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5411888431702647"/>
          <c:w val="0.82181496147684618"/>
          <c:h val="0.60022429879326067"/>
        </c:manualLayout>
      </c:layout>
      <c:pie3DChart>
        <c:varyColors val="1"/>
        <c:ser>
          <c:idx val="0"/>
          <c:order val="0"/>
          <c:explosion val="35"/>
          <c:dPt>
            <c:idx val="1"/>
            <c:bubble3D val="0"/>
            <c:spPr>
              <a:solidFill>
                <a:srgbClr val="92D050"/>
              </a:solidFill>
            </c:spPr>
          </c:dPt>
          <c:dPt>
            <c:idx val="3"/>
            <c:bubble3D val="0"/>
            <c:explosion val="64"/>
            <c:spPr>
              <a:solidFill>
                <a:schemeClr val="bg1">
                  <a:lumMod val="85000"/>
                </a:schemeClr>
              </a:solidFill>
            </c:spPr>
          </c:dPt>
          <c:dPt>
            <c:idx val="4"/>
            <c:bubble3D val="0"/>
            <c:spPr>
              <a:solidFill>
                <a:srgbClr val="00B0F0"/>
              </a:solidFill>
            </c:spPr>
          </c:dPt>
          <c:dPt>
            <c:idx val="5"/>
            <c:bubble3D val="0"/>
            <c:spPr>
              <a:solidFill>
                <a:srgbClr val="FFFF00"/>
              </a:solidFill>
            </c:spPr>
          </c:dPt>
          <c:dPt>
            <c:idx val="6"/>
            <c:bubble3D val="0"/>
            <c:explosion val="49"/>
          </c:dPt>
          <c:dPt>
            <c:idx val="7"/>
            <c:bubble3D val="0"/>
            <c:spPr>
              <a:solidFill>
                <a:srgbClr val="7030A0"/>
              </a:solidFill>
            </c:spPr>
          </c:dPt>
          <c:dLbls>
            <c:dLbl>
              <c:idx val="1"/>
              <c:layout>
                <c:manualLayout>
                  <c:x val="-0.15722161789172687"/>
                  <c:y val="-0.14289203146934323"/>
                </c:manualLayout>
              </c:layout>
              <c:dLblPos val="bestFit"/>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1"/>
          </c:dLbls>
          <c:cat>
            <c:strRef>
              <c:f>Arkusz3!$A$1:$A$8</c:f>
              <c:strCache>
                <c:ptCount val="8"/>
                <c:pt idx="0">
                  <c:v>górnictwo i wydobywanie</c:v>
                </c:pt>
                <c:pt idx="1">
                  <c:v>przetwórstwo przemysłowe</c:v>
                </c:pt>
                <c:pt idx="2">
                  <c:v>budownictwo</c:v>
                </c:pt>
                <c:pt idx="3">
                  <c:v>handel i naprawa pojazdów samochodowych</c:v>
                </c:pt>
                <c:pt idx="4">
                  <c:v>transport i gospodarka magazynowa</c:v>
                </c:pt>
                <c:pt idx="5">
                  <c:v>działalność profesjonalna, naukowa i techniczna</c:v>
                </c:pt>
                <c:pt idx="6">
                  <c:v>administrowanie i działalność wspierająca</c:v>
                </c:pt>
                <c:pt idx="7">
                  <c:v>pozostałe sekcje</c:v>
                </c:pt>
              </c:strCache>
            </c:strRef>
          </c:cat>
          <c:val>
            <c:numRef>
              <c:f>Arkusz3!$B$1:$B$8</c:f>
              <c:numCache>
                <c:formatCode>0.0%</c:formatCode>
                <c:ptCount val="8"/>
                <c:pt idx="0">
                  <c:v>0.15600000000000044</c:v>
                </c:pt>
                <c:pt idx="1">
                  <c:v>0.38900000000000734</c:v>
                </c:pt>
                <c:pt idx="2">
                  <c:v>8.9000000000000065E-2</c:v>
                </c:pt>
                <c:pt idx="3">
                  <c:v>0.126</c:v>
                </c:pt>
                <c:pt idx="4">
                  <c:v>4.9000000000000113E-2</c:v>
                </c:pt>
                <c:pt idx="5">
                  <c:v>2.8000000000000001E-2</c:v>
                </c:pt>
                <c:pt idx="6">
                  <c:v>4.5000000000000012E-2</c:v>
                </c:pt>
                <c:pt idx="7">
                  <c:v>0.11799999999999998</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900" b="1">
              <a:latin typeface="Times New Roman" pitchFamily="18" charset="0"/>
              <a:cs typeface="Times New Roman" pitchFamily="18" charset="0"/>
            </a:defRPr>
          </a:pPr>
          <a:endParaRPr lang="pl-PL"/>
        </a:p>
      </c:txPr>
    </c:legend>
    <c:plotVisOnly val="1"/>
    <c:dispBlanksAs val="zero"/>
    <c:showDLblsOverMax val="0"/>
  </c:chart>
  <c:spPr>
    <a:ln w="34925">
      <a:solidFill>
        <a:srgbClr val="D34817"/>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0"/>
      <c:rAngAx val="0"/>
      <c:perspective val="20"/>
    </c:view3D>
    <c:floor>
      <c:thickness val="0"/>
    </c:floor>
    <c:sideWall>
      <c:thickness val="0"/>
    </c:sideWall>
    <c:backWall>
      <c:thickness val="0"/>
    </c:backWall>
    <c:plotArea>
      <c:layout>
        <c:manualLayout>
          <c:layoutTarget val="inner"/>
          <c:xMode val="edge"/>
          <c:yMode val="edge"/>
          <c:x val="0"/>
          <c:y val="0.12232096064894002"/>
          <c:w val="0.68759391905221456"/>
          <c:h val="0.52797553945360065"/>
        </c:manualLayout>
      </c:layout>
      <c:pie3DChart>
        <c:varyColors val="1"/>
        <c:ser>
          <c:idx val="0"/>
          <c:order val="0"/>
          <c:explosion val="25"/>
          <c:dPt>
            <c:idx val="1"/>
            <c:bubble3D val="0"/>
            <c:explosion val="41"/>
          </c:dPt>
          <c:dPt>
            <c:idx val="2"/>
            <c:bubble3D val="0"/>
            <c:explosion val="44"/>
            <c:spPr>
              <a:solidFill>
                <a:srgbClr val="92D050"/>
              </a:solidFill>
            </c:spPr>
          </c:dPt>
          <c:dPt>
            <c:idx val="3"/>
            <c:bubble3D val="0"/>
            <c:explosion val="44"/>
          </c:dPt>
          <c:dPt>
            <c:idx val="4"/>
            <c:bubble3D val="0"/>
            <c:explosion val="34"/>
            <c:spPr>
              <a:solidFill>
                <a:srgbClr val="FFFF00"/>
              </a:solidFill>
            </c:spPr>
          </c:dPt>
          <c:dPt>
            <c:idx val="5"/>
            <c:bubble3D val="0"/>
            <c:explosion val="31"/>
            <c:spPr>
              <a:solidFill>
                <a:srgbClr val="00B0F0"/>
              </a:solidFill>
            </c:spPr>
          </c:dPt>
          <c:dPt>
            <c:idx val="6"/>
            <c:bubble3D val="0"/>
            <c:explosion val="47"/>
          </c:dPt>
          <c:dPt>
            <c:idx val="7"/>
            <c:bubble3D val="0"/>
            <c:explosion val="68"/>
          </c:dPt>
          <c:dPt>
            <c:idx val="9"/>
            <c:bubble3D val="0"/>
            <c:explosion val="50"/>
            <c:spPr>
              <a:solidFill>
                <a:srgbClr val="7030A0"/>
              </a:solidFill>
            </c:spPr>
          </c:dPt>
          <c:dLbls>
            <c:dLbl>
              <c:idx val="2"/>
              <c:layout>
                <c:manualLayout>
                  <c:x val="-6.0384769851613694E-2"/>
                  <c:y val="7.5962130015724022E-2"/>
                </c:manualLayout>
              </c:layout>
              <c:dLblPos val="bestFit"/>
              <c:showLegendKey val="0"/>
              <c:showVal val="1"/>
              <c:showCatName val="0"/>
              <c:showSerName val="0"/>
              <c:showPercent val="0"/>
              <c:showBubbleSize val="0"/>
            </c:dLbl>
            <c:dLbl>
              <c:idx val="3"/>
              <c:layout>
                <c:manualLayout>
                  <c:x val="-2.616673360236519E-2"/>
                  <c:y val="-0.11213457288035222"/>
                </c:manualLayout>
              </c:layout>
              <c:dLblPos val="bestFi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1"/>
          </c:dLbls>
          <c:cat>
            <c:strRef>
              <c:f>'Działalność gospodarcza'!$A$1:$A$10</c:f>
              <c:strCache>
                <c:ptCount val="10"/>
                <c:pt idx="0">
                  <c:v>przetwórstwo przemysłowe</c:v>
                </c:pt>
                <c:pt idx="1">
                  <c:v>budownictwo</c:v>
                </c:pt>
                <c:pt idx="2">
                  <c:v>handel; naprawa pojazdów samochodwoych</c:v>
                </c:pt>
                <c:pt idx="3">
                  <c:v>transport i gospodarka magazynowa</c:v>
                </c:pt>
                <c:pt idx="4">
                  <c:v>zakwaterowanie i gastronomia</c:v>
                </c:pt>
                <c:pt idx="5">
                  <c:v>działalność finansowa i ubezpieczenia</c:v>
                </c:pt>
                <c:pt idx="6">
                  <c:v>działalność profesjonalna, naukowa i techniczna</c:v>
                </c:pt>
                <c:pt idx="7">
                  <c:v>opieka zdrowotna i pomoc społeczna</c:v>
                </c:pt>
                <c:pt idx="8">
                  <c:v>pozostała działalność usługowa</c:v>
                </c:pt>
                <c:pt idx="9">
                  <c:v>pozostałe sekcje</c:v>
                </c:pt>
              </c:strCache>
            </c:strRef>
          </c:cat>
          <c:val>
            <c:numRef>
              <c:f>'Działalność gospodarcza'!$B$1:$B$10</c:f>
              <c:numCache>
                <c:formatCode>0.0%</c:formatCode>
                <c:ptCount val="10"/>
                <c:pt idx="0">
                  <c:v>9.5000000000000043E-2</c:v>
                </c:pt>
                <c:pt idx="1">
                  <c:v>0.128</c:v>
                </c:pt>
                <c:pt idx="2">
                  <c:v>0.32100000000000706</c:v>
                </c:pt>
                <c:pt idx="3">
                  <c:v>8.0000000000000043E-2</c:v>
                </c:pt>
                <c:pt idx="4">
                  <c:v>3.4000000000000002E-2</c:v>
                </c:pt>
                <c:pt idx="5">
                  <c:v>4.3999999999999997E-2</c:v>
                </c:pt>
                <c:pt idx="6">
                  <c:v>8.9000000000000065E-2</c:v>
                </c:pt>
                <c:pt idx="7">
                  <c:v>5.5000000000000014E-2</c:v>
                </c:pt>
                <c:pt idx="8">
                  <c:v>4.2000000000000023E-2</c:v>
                </c:pt>
                <c:pt idx="9">
                  <c:v>0.112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1914612448645212"/>
          <c:y val="2.0735069610590892E-3"/>
          <c:w val="0.32046910566193598"/>
          <c:h val="0.95968054321325225"/>
        </c:manualLayout>
      </c:layout>
      <c:overlay val="1"/>
      <c:txPr>
        <a:bodyPr/>
        <a:lstStyle/>
        <a:p>
          <a:pPr>
            <a:defRPr sz="900" b="1">
              <a:latin typeface="Times New Roman" pitchFamily="18" charset="0"/>
              <a:cs typeface="Times New Roman" pitchFamily="18" charset="0"/>
            </a:defRPr>
          </a:pPr>
          <a:endParaRPr lang="pl-PL"/>
        </a:p>
      </c:txPr>
    </c:legend>
    <c:plotVisOnly val="1"/>
    <c:dispBlanksAs val="zero"/>
    <c:showDLblsOverMax val="0"/>
  </c:chart>
  <c:spPr>
    <a:ln w="34925">
      <a:solidFill>
        <a:srgbClr val="D34817"/>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673713626416752"/>
          <c:y val="3.4408893189605286E-2"/>
        </c:manualLayout>
      </c:layout>
      <c:overlay val="0"/>
      <c:txPr>
        <a:bodyPr/>
        <a:lstStyle/>
        <a:p>
          <a:pPr>
            <a:defRPr sz="1200" i="1"/>
          </a:pPr>
          <a:endParaRPr lang="pl-PL"/>
        </a:p>
      </c:txPr>
    </c:title>
    <c:autoTitleDeleted val="0"/>
    <c:view3D>
      <c:rotX val="15"/>
      <c:rotY val="20"/>
      <c:rAngAx val="1"/>
    </c:view3D>
    <c:floor>
      <c:thickness val="0"/>
    </c:floor>
    <c:sideWall>
      <c:thickness val="0"/>
      <c:spPr>
        <a:solidFill>
          <a:sysClr val="window" lastClr="FFFFFF">
            <a:lumMod val="85000"/>
          </a:sysClr>
        </a:solidFill>
        <a:ln w="6350">
          <a:noFill/>
        </a:ln>
      </c:spPr>
    </c:sideWall>
    <c:backWall>
      <c:thickness val="0"/>
      <c:spPr>
        <a:solidFill>
          <a:sysClr val="window" lastClr="FFFFFF">
            <a:lumMod val="85000"/>
          </a:sysClr>
        </a:solidFill>
        <a:ln w="6350">
          <a:noFill/>
        </a:ln>
      </c:spPr>
    </c:backWall>
    <c:plotArea>
      <c:layout>
        <c:manualLayout>
          <c:layoutTarget val="inner"/>
          <c:xMode val="edge"/>
          <c:yMode val="edge"/>
          <c:x val="5.3832181038347499E-2"/>
          <c:y val="0.13565349365763726"/>
          <c:w val="0.942122718952912"/>
          <c:h val="0.33022947974562866"/>
        </c:manualLayout>
      </c:layout>
      <c:bar3DChart>
        <c:barDir val="col"/>
        <c:grouping val="clustered"/>
        <c:varyColors val="0"/>
        <c:ser>
          <c:idx val="0"/>
          <c:order val="0"/>
          <c:tx>
            <c:v>Liczba podmiotów w województwie śląskim</c:v>
          </c:tx>
          <c:spPr>
            <a:solidFill>
              <a:srgbClr val="00B0F0"/>
            </a:solidFill>
          </c:spPr>
          <c:invertIfNegative val="0"/>
          <c:dLbls>
            <c:dLbl>
              <c:idx val="0"/>
              <c:layout>
                <c:manualLayout>
                  <c:x val="1.4245014245014283E-2"/>
                  <c:y val="-1.012017710309932E-2"/>
                </c:manualLayout>
              </c:layout>
              <c:showLegendKey val="0"/>
              <c:showVal val="1"/>
              <c:showCatName val="0"/>
              <c:showSerName val="0"/>
              <c:showPercent val="0"/>
              <c:showBubbleSize val="0"/>
            </c:dLbl>
            <c:dLbl>
              <c:idx val="1"/>
              <c:layout>
                <c:manualLayout>
                  <c:x val="1.282051282051282E-2"/>
                  <c:y val="-7.5901328273244783E-3"/>
                </c:manualLayout>
              </c:layout>
              <c:showLegendKey val="0"/>
              <c:showVal val="1"/>
              <c:showCatName val="0"/>
              <c:showSerName val="0"/>
              <c:showPercent val="0"/>
              <c:showBubbleSize val="0"/>
            </c:dLbl>
            <c:dLbl>
              <c:idx val="2"/>
              <c:layout>
                <c:manualLayout>
                  <c:x val="1.282051282051282E-2"/>
                  <c:y val="-1.0120177103099304E-2"/>
                </c:manualLayout>
              </c:layout>
              <c:showLegendKey val="0"/>
              <c:showVal val="1"/>
              <c:showCatName val="0"/>
              <c:showSerName val="0"/>
              <c:showPercent val="0"/>
              <c:showBubbleSize val="0"/>
            </c:dLbl>
            <c:dLbl>
              <c:idx val="3"/>
              <c:layout>
                <c:manualLayout>
                  <c:x val="1.282051282051282E-2"/>
                  <c:y val="-7.5901328273244324E-3"/>
                </c:manualLayout>
              </c:layout>
              <c:showLegendKey val="0"/>
              <c:showVal val="1"/>
              <c:showCatName val="0"/>
              <c:showSerName val="0"/>
              <c:showPercent val="0"/>
              <c:showBubbleSize val="0"/>
            </c:dLbl>
            <c:dLbl>
              <c:idx val="4"/>
              <c:layout>
                <c:manualLayout>
                  <c:x val="1.7094017094017103E-2"/>
                  <c:y val="-7.5901328273244783E-3"/>
                </c:manualLayout>
              </c:layout>
              <c:showLegendKey val="0"/>
              <c:showVal val="1"/>
              <c:showCatName val="0"/>
              <c:showSerName val="0"/>
              <c:showPercent val="0"/>
              <c:showBubbleSize val="0"/>
            </c:dLbl>
            <c:dLbl>
              <c:idx val="5"/>
              <c:layout>
                <c:manualLayout>
                  <c:x val="1.7094017094017103E-2"/>
                  <c:y val="-1.265022137887413E-2"/>
                </c:manualLayout>
              </c:layout>
              <c:showLegendKey val="0"/>
              <c:showVal val="1"/>
              <c:showCatName val="0"/>
              <c:showSerName val="0"/>
              <c:showPercent val="0"/>
              <c:showBubbleSize val="0"/>
            </c:dLbl>
            <c:dLbl>
              <c:idx val="6"/>
              <c:layout>
                <c:manualLayout>
                  <c:x val="1.7094017094017103E-2"/>
                  <c:y val="-1.0120177103099304E-2"/>
                </c:manualLayout>
              </c:layout>
              <c:showLegendKey val="0"/>
              <c:showVal val="1"/>
              <c:showCatName val="0"/>
              <c:showSerName val="0"/>
              <c:showPercent val="0"/>
              <c:showBubbleSize val="0"/>
            </c:dLbl>
            <c:dLbl>
              <c:idx val="7"/>
              <c:layout>
                <c:manualLayout>
                  <c:x val="1.7094017094016988E-2"/>
                  <c:y val="-1.2650221378874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Arkusz4!$D$4:$D$11</c:f>
              <c:strCache>
                <c:ptCount val="8"/>
                <c:pt idx="0">
                  <c:v>Pozostałe sekcje</c:v>
                </c:pt>
                <c:pt idx="1">
                  <c:v>Sekcja G Handel Hurtowy i detaliczny; naprawa pojazdów samochodowych, włączając motocykle</c:v>
                </c:pt>
                <c:pt idx="2">
                  <c:v>Sekcja F Budownictwo</c:v>
                </c:pt>
                <c:pt idx="3">
                  <c:v>Sekcja C Przetwórstwo przemysłowe</c:v>
                </c:pt>
                <c:pt idx="4">
                  <c:v>Sekcja M Działalność profesjonalna, naukowa i techniczna</c:v>
                </c:pt>
                <c:pt idx="5">
                  <c:v>Sekcja Q Opieka zdrowotna i pomoc społeczna</c:v>
                </c:pt>
                <c:pt idx="6">
                  <c:v>Sekcja I Działalność związana z zakwaterowaniem i usługami gastronomicznymi</c:v>
                </c:pt>
                <c:pt idx="7">
                  <c:v>Sekcja J Informacja i komunikacja</c:v>
                </c:pt>
              </c:strCache>
            </c:strRef>
          </c:cat>
          <c:val>
            <c:numRef>
              <c:f>Arkusz4!$E$4:$E$11</c:f>
              <c:numCache>
                <c:formatCode>General</c:formatCode>
                <c:ptCount val="8"/>
                <c:pt idx="0">
                  <c:v>134240</c:v>
                </c:pt>
                <c:pt idx="1">
                  <c:v>132334</c:v>
                </c:pt>
                <c:pt idx="2">
                  <c:v>51097</c:v>
                </c:pt>
                <c:pt idx="3">
                  <c:v>41871</c:v>
                </c:pt>
                <c:pt idx="4">
                  <c:v>35940</c:v>
                </c:pt>
                <c:pt idx="5">
                  <c:v>20750</c:v>
                </c:pt>
                <c:pt idx="6">
                  <c:v>14762</c:v>
                </c:pt>
                <c:pt idx="7">
                  <c:v>10626</c:v>
                </c:pt>
              </c:numCache>
            </c:numRef>
          </c:val>
        </c:ser>
        <c:dLbls>
          <c:showLegendKey val="0"/>
          <c:showVal val="0"/>
          <c:showCatName val="0"/>
          <c:showSerName val="0"/>
          <c:showPercent val="0"/>
          <c:showBubbleSize val="0"/>
        </c:dLbls>
        <c:gapWidth val="150"/>
        <c:shape val="box"/>
        <c:axId val="137190784"/>
        <c:axId val="139478144"/>
        <c:axId val="0"/>
      </c:bar3DChart>
      <c:catAx>
        <c:axId val="137190784"/>
        <c:scaling>
          <c:orientation val="minMax"/>
        </c:scaling>
        <c:delete val="0"/>
        <c:axPos val="b"/>
        <c:majorTickMark val="out"/>
        <c:minorTickMark val="none"/>
        <c:tickLblPos val="nextTo"/>
        <c:txPr>
          <a:bodyPr rot="-5400000" vert="horz"/>
          <a:lstStyle/>
          <a:p>
            <a:pPr>
              <a:defRPr sz="1000"/>
            </a:pPr>
            <a:endParaRPr lang="pl-PL"/>
          </a:p>
        </c:txPr>
        <c:crossAx val="139478144"/>
        <c:crosses val="autoZero"/>
        <c:auto val="1"/>
        <c:lblAlgn val="ctr"/>
        <c:lblOffset val="100"/>
        <c:noMultiLvlLbl val="0"/>
      </c:catAx>
      <c:valAx>
        <c:axId val="139478144"/>
        <c:scaling>
          <c:orientation val="minMax"/>
        </c:scaling>
        <c:delete val="0"/>
        <c:axPos val="l"/>
        <c:majorGridlines/>
        <c:numFmt formatCode="General" sourceLinked="1"/>
        <c:majorTickMark val="out"/>
        <c:minorTickMark val="none"/>
        <c:tickLblPos val="nextTo"/>
        <c:crossAx val="137190784"/>
        <c:crosses val="autoZero"/>
        <c:crossBetween val="between"/>
        <c:dispUnits>
          <c:builtInUnit val="thousands"/>
          <c:dispUnitsLbl/>
        </c:dispUnits>
      </c:valAx>
    </c:plotArea>
    <c:plotVisOnly val="1"/>
    <c:dispBlanksAs val="gap"/>
    <c:showDLblsOverMax val="0"/>
  </c:chart>
  <c:spPr>
    <a:ln w="34925">
      <a:solidFill>
        <a:srgbClr val="D34817"/>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0"/>
      <c:rotY val="10"/>
      <c:rAngAx val="0"/>
      <c:perspective val="30"/>
    </c:view3D>
    <c:floor>
      <c:thickness val="0"/>
    </c:floor>
    <c:sideWall>
      <c:thickness val="0"/>
    </c:sideWall>
    <c:backWall>
      <c:thickness val="0"/>
    </c:backWall>
    <c:plotArea>
      <c:layout>
        <c:manualLayout>
          <c:layoutTarget val="inner"/>
          <c:xMode val="edge"/>
          <c:yMode val="edge"/>
          <c:x val="0.10308307599711376"/>
          <c:y val="8.9240543991544005E-2"/>
          <c:w val="0.88823075791928707"/>
          <c:h val="0.66136721631432216"/>
        </c:manualLayout>
      </c:layout>
      <c:bar3DChart>
        <c:barDir val="col"/>
        <c:grouping val="standard"/>
        <c:varyColors val="0"/>
        <c:ser>
          <c:idx val="0"/>
          <c:order val="0"/>
          <c:tx>
            <c:v>2011 rok</c:v>
          </c:tx>
          <c:spPr>
            <a:solidFill>
              <a:schemeClr val="accent2">
                <a:lumMod val="60000"/>
                <a:lumOff val="40000"/>
              </a:schemeClr>
            </a:solidFill>
          </c:spPr>
          <c:invertIfNegative val="0"/>
          <c:dPt>
            <c:idx val="0"/>
            <c:invertIfNegative val="0"/>
            <c:bubble3D val="0"/>
            <c:spPr>
              <a:solidFill>
                <a:srgbClr val="92D050"/>
              </a:solidFill>
            </c:spPr>
          </c:dPt>
          <c:dLbls>
            <c:dLbl>
              <c:idx val="0"/>
              <c:layout>
                <c:manualLayout>
                  <c:x val="1.7757089939102713E-17"/>
                  <c:y val="0.13949715805433643"/>
                </c:manualLayout>
              </c:layout>
              <c:showLegendKey val="0"/>
              <c:showVal val="1"/>
              <c:showCatName val="0"/>
              <c:showSerName val="0"/>
              <c:showPercent val="0"/>
              <c:showBubbleSize val="0"/>
            </c:dLbl>
            <c:dLbl>
              <c:idx val="3"/>
              <c:layout>
                <c:manualLayout>
                  <c:x val="0"/>
                  <c:y val="6.664282433177545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'Priorytet I'!$A$3:$F$3</c:f>
              <c:strCache>
                <c:ptCount val="6"/>
                <c:pt idx="0">
                  <c:v>Alokacja</c:v>
                </c:pt>
                <c:pt idx="1">
                  <c:v>Wnioski po ocenie formalnej</c:v>
                </c:pt>
                <c:pt idx="2">
                  <c:v>Zatwiedzone wnioski do dofinansowanie</c:v>
                </c:pt>
                <c:pt idx="3">
                  <c:v>Podpisane umowy</c:v>
                </c:pt>
                <c:pt idx="4">
                  <c:v>Płatności</c:v>
                </c:pt>
                <c:pt idx="5">
                  <c:v>Deklaracje zatwierdzone przez IC</c:v>
                </c:pt>
              </c:strCache>
            </c:strRef>
          </c:cat>
          <c:val>
            <c:numRef>
              <c:f>'Priorytet I'!$A$4:$F$4</c:f>
              <c:numCache>
                <c:formatCode>#,##0.00</c:formatCode>
                <c:ptCount val="6"/>
                <c:pt idx="0">
                  <c:v>296.24</c:v>
                </c:pt>
                <c:pt idx="1">
                  <c:v>62.47</c:v>
                </c:pt>
                <c:pt idx="2">
                  <c:v>28.810000000000031</c:v>
                </c:pt>
                <c:pt idx="3">
                  <c:v>99.169999999999987</c:v>
                </c:pt>
                <c:pt idx="4">
                  <c:v>34.050000000000004</c:v>
                </c:pt>
                <c:pt idx="5">
                  <c:v>28.810000000000031</c:v>
                </c:pt>
              </c:numCache>
            </c:numRef>
          </c:val>
        </c:ser>
        <c:ser>
          <c:idx val="1"/>
          <c:order val="1"/>
          <c:tx>
            <c:v>od uruchomienia Programu</c:v>
          </c:tx>
          <c:invertIfNegative val="0"/>
          <c:cat>
            <c:strRef>
              <c:f>'Priorytet I'!$A$3:$F$3</c:f>
              <c:strCache>
                <c:ptCount val="6"/>
                <c:pt idx="0">
                  <c:v>Alokacja</c:v>
                </c:pt>
                <c:pt idx="1">
                  <c:v>Wnioski po ocenie formalnej</c:v>
                </c:pt>
                <c:pt idx="2">
                  <c:v>Zatwiedzone wnioski do dofinansowanie</c:v>
                </c:pt>
                <c:pt idx="3">
                  <c:v>Podpisane umowy</c:v>
                </c:pt>
                <c:pt idx="4">
                  <c:v>Płatności</c:v>
                </c:pt>
                <c:pt idx="5">
                  <c:v>Deklaracje zatwierdzone przez IC</c:v>
                </c:pt>
              </c:strCache>
            </c:strRef>
          </c:cat>
          <c:val>
            <c:numRef>
              <c:f>'Priorytet I'!$A$5:$F$5</c:f>
              <c:numCache>
                <c:formatCode>#,##0.00</c:formatCode>
                <c:ptCount val="6"/>
                <c:pt idx="1">
                  <c:v>338.5</c:v>
                </c:pt>
                <c:pt idx="2">
                  <c:v>188.63</c:v>
                </c:pt>
                <c:pt idx="3">
                  <c:v>150.63</c:v>
                </c:pt>
                <c:pt idx="4">
                  <c:v>78.940000000000026</c:v>
                </c:pt>
                <c:pt idx="5">
                  <c:v>69.2</c:v>
                </c:pt>
              </c:numCache>
            </c:numRef>
          </c:val>
        </c:ser>
        <c:dLbls>
          <c:showLegendKey val="0"/>
          <c:showVal val="1"/>
          <c:showCatName val="0"/>
          <c:showSerName val="0"/>
          <c:showPercent val="0"/>
          <c:showBubbleSize val="0"/>
        </c:dLbls>
        <c:gapWidth val="36"/>
        <c:gapDepth val="130"/>
        <c:shape val="box"/>
        <c:axId val="139129216"/>
        <c:axId val="139130752"/>
        <c:axId val="139582976"/>
      </c:bar3DChart>
      <c:catAx>
        <c:axId val="139129216"/>
        <c:scaling>
          <c:orientation val="minMax"/>
        </c:scaling>
        <c:delete val="0"/>
        <c:axPos val="b"/>
        <c:numFmt formatCode="@" sourceLinked="0"/>
        <c:majorTickMark val="out"/>
        <c:minorTickMark val="none"/>
        <c:tickLblPos val="nextTo"/>
        <c:txPr>
          <a:bodyPr/>
          <a:lstStyle/>
          <a:p>
            <a:pPr>
              <a:defRPr sz="1000" b="1"/>
            </a:pPr>
            <a:endParaRPr lang="pl-PL"/>
          </a:p>
        </c:txPr>
        <c:crossAx val="139130752"/>
        <c:crosses val="autoZero"/>
        <c:auto val="1"/>
        <c:lblAlgn val="ctr"/>
        <c:lblOffset val="100"/>
        <c:noMultiLvlLbl val="0"/>
      </c:catAx>
      <c:valAx>
        <c:axId val="139130752"/>
        <c:scaling>
          <c:orientation val="minMax"/>
        </c:scaling>
        <c:delete val="0"/>
        <c:axPos val="l"/>
        <c:majorGridlines/>
        <c:numFmt formatCode="#,##0.00" sourceLinked="1"/>
        <c:majorTickMark val="out"/>
        <c:minorTickMark val="none"/>
        <c:tickLblPos val="nextTo"/>
        <c:crossAx val="139129216"/>
        <c:crosses val="autoZero"/>
        <c:crossBetween val="between"/>
      </c:valAx>
      <c:serAx>
        <c:axId val="139582976"/>
        <c:scaling>
          <c:orientation val="minMax"/>
        </c:scaling>
        <c:delete val="1"/>
        <c:axPos val="b"/>
        <c:majorTickMark val="out"/>
        <c:minorTickMark val="none"/>
        <c:tickLblPos val="none"/>
        <c:crossAx val="139130752"/>
        <c:crosses val="autoZero"/>
      </c:serAx>
    </c:plotArea>
    <c:legend>
      <c:legendPos val="b"/>
      <c:layout>
        <c:manualLayout>
          <c:xMode val="edge"/>
          <c:yMode val="edge"/>
          <c:x val="0.25437786598549345"/>
          <c:y val="0.83450330396133965"/>
          <c:w val="0.40988341808279088"/>
          <c:h val="7.3951686065490213E-2"/>
        </c:manualLayout>
      </c:layout>
      <c:overlay val="0"/>
    </c:legend>
    <c:plotVisOnly val="1"/>
    <c:dispBlanksAs val="gap"/>
    <c:showDLblsOverMax val="0"/>
  </c:chart>
  <c:spPr>
    <a:ln w="41275">
      <a:solidFill>
        <a:srgbClr val="D34817"/>
      </a:solidFill>
    </a:ln>
  </c:spPr>
  <c:txPr>
    <a:bodyPr/>
    <a:lstStyle/>
    <a:p>
      <a:pPr>
        <a:defRPr b="1">
          <a:latin typeface="Times New Roman" pitchFamily="18" charset="0"/>
          <a:cs typeface="Times New Roman" pitchFamily="18" charset="0"/>
        </a:defRPr>
      </a:pPr>
      <a:endParaRPr lang="pl-PL"/>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182129102694513E-2"/>
          <c:y val="7.7538287523049532E-2"/>
          <c:w val="0.62252847355330976"/>
          <c:h val="0.92246171247695052"/>
        </c:manualLayout>
      </c:layout>
      <c:pie3DChart>
        <c:varyColors val="1"/>
        <c:ser>
          <c:idx val="0"/>
          <c:order val="0"/>
          <c:explosion val="25"/>
          <c:dPt>
            <c:idx val="1"/>
            <c:bubble3D val="0"/>
            <c:spPr>
              <a:solidFill>
                <a:srgbClr val="00B0F0"/>
              </a:solidFill>
            </c:spPr>
          </c:dPt>
          <c:dPt>
            <c:idx val="2"/>
            <c:bubble3D val="0"/>
            <c:spPr>
              <a:solidFill>
                <a:srgbClr val="92D050"/>
              </a:solidFill>
            </c:spPr>
          </c:dPt>
          <c:dPt>
            <c:idx val="3"/>
            <c:bubble3D val="0"/>
            <c:spPr>
              <a:solidFill>
                <a:srgbClr val="7030A0"/>
              </a:solidFill>
            </c:spPr>
          </c:dPt>
          <c:dPt>
            <c:idx val="4"/>
            <c:bubble3D val="0"/>
            <c:spPr>
              <a:solidFill>
                <a:srgbClr val="FFFF00"/>
              </a:solidFill>
            </c:spPr>
          </c:dPt>
          <c:dPt>
            <c:idx val="5"/>
            <c:bubble3D val="0"/>
            <c:spPr>
              <a:solidFill>
                <a:schemeClr val="accent2">
                  <a:lumMod val="60000"/>
                  <a:lumOff val="40000"/>
                </a:schemeClr>
              </a:solidFill>
            </c:spPr>
          </c:dPt>
          <c:dLbls>
            <c:dLbl>
              <c:idx val="1"/>
              <c:layout>
                <c:manualLayout>
                  <c:x val="-0.10971857194765583"/>
                  <c:y val="5.1416475632607983E-2"/>
                </c:manualLayout>
              </c:layout>
              <c:dLblPos val="bestFit"/>
              <c:showLegendKey val="0"/>
              <c:showVal val="1"/>
              <c:showCatName val="0"/>
              <c:showSerName val="0"/>
              <c:showPercent val="0"/>
              <c:showBubbleSize val="0"/>
            </c:dLbl>
            <c:dLbl>
              <c:idx val="2"/>
              <c:layout>
                <c:manualLayout>
                  <c:x val="5.1632269151837024E-2"/>
                  <c:y val="-0.26499260518345086"/>
                </c:manualLayout>
              </c:layout>
              <c:dLblPos val="bestFit"/>
              <c:showLegendKey val="0"/>
              <c:showVal val="1"/>
              <c:showCatName val="0"/>
              <c:showSerName val="0"/>
              <c:showPercent val="0"/>
              <c:showBubbleSize val="0"/>
            </c:dLbl>
            <c:dLbl>
              <c:idx val="3"/>
              <c:layout>
                <c:manualLayout>
                  <c:x val="-3.8724201863877483E-2"/>
                  <c:y val="0"/>
                </c:manualLayout>
              </c:layout>
              <c:dLblPos val="bestFit"/>
              <c:showLegendKey val="0"/>
              <c:showVal val="1"/>
              <c:showCatName val="0"/>
              <c:showSerName val="0"/>
              <c:showPercent val="0"/>
              <c:showBubbleSize val="0"/>
            </c:dLbl>
            <c:dLbl>
              <c:idx val="4"/>
              <c:layout>
                <c:manualLayout>
                  <c:x val="2.1513445479932006E-2"/>
                  <c:y val="-5.1416475632607983E-2"/>
                </c:manualLayout>
              </c:layout>
              <c:dLblPos val="bestFit"/>
              <c:showLegendKey val="0"/>
              <c:showVal val="1"/>
              <c:showCatName val="0"/>
              <c:showSerName val="0"/>
              <c:showPercent val="0"/>
              <c:showBubbleSize val="0"/>
            </c:dLbl>
            <c:dLbl>
              <c:idx val="5"/>
              <c:layout>
                <c:manualLayout>
                  <c:x val="5.5934958247823033E-2"/>
                  <c:y val="7.5147156693811612E-2"/>
                </c:manualLayout>
              </c:layout>
              <c:dLblPos val="bestFi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1"/>
          </c:dLbls>
          <c:cat>
            <c:strRef>
              <c:f>'Priorytet I'!$B$48:$B$53</c:f>
              <c:strCache>
                <c:ptCount val="6"/>
                <c:pt idx="0">
                  <c:v>Forma prawna beneficjenta</c:v>
                </c:pt>
                <c:pt idx="1">
                  <c:v>JST [48 umów]</c:v>
                </c:pt>
                <c:pt idx="2">
                  <c:v>MSP [1877 umów]</c:v>
                </c:pt>
                <c:pt idx="3">
                  <c:v>stowarzyszenia/ fundacje [5 umów]</c:v>
                </c:pt>
                <c:pt idx="4">
                  <c:v>uczelnie wyższe [2 umowy]</c:v>
                </c:pt>
                <c:pt idx="5">
                  <c:v>fundusz (instrumenty inżynierii finansowej) [4 umowy]</c:v>
                </c:pt>
              </c:strCache>
            </c:strRef>
          </c:cat>
          <c:val>
            <c:numRef>
              <c:f>'Priorytet I'!$C$48:$C$53</c:f>
              <c:numCache>
                <c:formatCode>0%</c:formatCode>
                <c:ptCount val="6"/>
                <c:pt idx="1">
                  <c:v>0.24312393887945671</c:v>
                </c:pt>
                <c:pt idx="2">
                  <c:v>0.64556876061120527</c:v>
                </c:pt>
                <c:pt idx="3" formatCode="0.000">
                  <c:v>2.1052631578947411E-3</c:v>
                </c:pt>
                <c:pt idx="4">
                  <c:v>1.0186757215620054E-2</c:v>
                </c:pt>
                <c:pt idx="5">
                  <c:v>9.9015280135823544E-2</c:v>
                </c:pt>
              </c:numCache>
            </c:numRef>
          </c:val>
        </c:ser>
        <c:dLbls>
          <c:showLegendKey val="0"/>
          <c:showVal val="1"/>
          <c:showCatName val="0"/>
          <c:showSerName val="0"/>
          <c:showPercent val="0"/>
          <c:showBubbleSize val="0"/>
          <c:showLeaderLines val="1"/>
        </c:dLbls>
      </c:pie3DChart>
    </c:plotArea>
    <c:legend>
      <c:legendPos val="r"/>
      <c:legendEntry>
        <c:idx val="0"/>
        <c:delete val="1"/>
      </c:legendEntry>
      <c:layout>
        <c:manualLayout>
          <c:xMode val="edge"/>
          <c:yMode val="edge"/>
          <c:x val="0.63216852989479588"/>
          <c:y val="0.2238503933157959"/>
          <c:w val="0.35492340281725693"/>
          <c:h val="0.65117673969716283"/>
        </c:manualLayout>
      </c:layout>
      <c:overlay val="0"/>
      <c:txPr>
        <a:bodyPr/>
        <a:lstStyle/>
        <a:p>
          <a:pPr>
            <a:defRPr sz="1000" b="1">
              <a:latin typeface="Times New Roman" pitchFamily="18" charset="0"/>
              <a:cs typeface="Times New Roman" pitchFamily="18" charset="0"/>
            </a:defRPr>
          </a:pPr>
          <a:endParaRPr lang="pl-PL"/>
        </a:p>
      </c:txPr>
    </c:legend>
    <c:plotVisOnly val="1"/>
    <c:dispBlanksAs val="gap"/>
    <c:showDLblsOverMax val="0"/>
  </c:chart>
  <c:spPr>
    <a:ln w="34925">
      <a:solidFill>
        <a:schemeClr val="accent2">
          <a:lumMod val="60000"/>
          <a:lumOff val="40000"/>
        </a:schemeClr>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0"/>
      <c:perspective val="30"/>
    </c:view3D>
    <c:floor>
      <c:thickness val="0"/>
    </c:floor>
    <c:sideWall>
      <c:thickness val="0"/>
      <c:spPr>
        <a:solidFill>
          <a:prstClr val="white">
            <a:lumMod val="85000"/>
          </a:prstClr>
        </a:solidFill>
      </c:spPr>
    </c:sideWall>
    <c:backWall>
      <c:thickness val="0"/>
      <c:spPr>
        <a:solidFill>
          <a:prstClr val="white">
            <a:lumMod val="85000"/>
          </a:prstClr>
        </a:solidFill>
      </c:spPr>
    </c:backWall>
    <c:plotArea>
      <c:layout>
        <c:manualLayout>
          <c:layoutTarget val="inner"/>
          <c:xMode val="edge"/>
          <c:yMode val="edge"/>
          <c:x val="7.8772302393784549E-2"/>
          <c:y val="0.14468981266941597"/>
          <c:w val="0.89155129453815463"/>
          <c:h val="0.57773319615376861"/>
        </c:manualLayout>
      </c:layout>
      <c:bar3DChart>
        <c:barDir val="col"/>
        <c:grouping val="standard"/>
        <c:varyColors val="0"/>
        <c:ser>
          <c:idx val="0"/>
          <c:order val="0"/>
          <c:tx>
            <c:v>2011 rok</c:v>
          </c:tx>
          <c:spPr>
            <a:solidFill>
              <a:schemeClr val="accent2">
                <a:lumMod val="60000"/>
                <a:lumOff val="40000"/>
              </a:schemeClr>
            </a:solidFill>
          </c:spPr>
          <c:invertIfNegative val="0"/>
          <c:dPt>
            <c:idx val="0"/>
            <c:invertIfNegative val="0"/>
            <c:bubble3D val="0"/>
            <c:spPr>
              <a:solidFill>
                <a:srgbClr val="92D050"/>
              </a:solidFill>
            </c:spPr>
          </c:dPt>
          <c:dLbls>
            <c:dLbl>
              <c:idx val="2"/>
              <c:layout>
                <c:manualLayout>
                  <c:x val="5.5607157181146423E-3"/>
                  <c:y val="9.9137735881459368E-2"/>
                </c:manualLayout>
              </c:layout>
              <c:showLegendKey val="0"/>
              <c:showVal val="1"/>
              <c:showCatName val="0"/>
              <c:showSerName val="0"/>
              <c:showPercent val="0"/>
              <c:showBubbleSize val="0"/>
            </c:dLbl>
            <c:dLbl>
              <c:idx val="3"/>
              <c:layout>
                <c:manualLayout>
                  <c:x val="1.1121431436229427E-2"/>
                  <c:y val="8.3275698140427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'Priorytet II'!$A$3:$F$3</c:f>
              <c:strCache>
                <c:ptCount val="6"/>
                <c:pt idx="0">
                  <c:v>Alokacja</c:v>
                </c:pt>
                <c:pt idx="1">
                  <c:v>Wnioski po ocenie formalnej</c:v>
                </c:pt>
                <c:pt idx="2">
                  <c:v>Zatwiedzone wnioski do dofinansowanie</c:v>
                </c:pt>
                <c:pt idx="3">
                  <c:v>Podpisane umowy</c:v>
                </c:pt>
                <c:pt idx="4">
                  <c:v>Płatności</c:v>
                </c:pt>
                <c:pt idx="5">
                  <c:v>Deklaracje zatwierdzone przez IC</c:v>
                </c:pt>
              </c:strCache>
            </c:strRef>
          </c:cat>
          <c:val>
            <c:numRef>
              <c:f>'Priorytet II'!$A$4:$F$4</c:f>
              <c:numCache>
                <c:formatCode>#,##0.00</c:formatCode>
                <c:ptCount val="6"/>
                <c:pt idx="0">
                  <c:v>150</c:v>
                </c:pt>
                <c:pt idx="1">
                  <c:v>33.42</c:v>
                </c:pt>
                <c:pt idx="2">
                  <c:v>66.900000000000006</c:v>
                </c:pt>
                <c:pt idx="3">
                  <c:v>43.75</c:v>
                </c:pt>
                <c:pt idx="4">
                  <c:v>7.31</c:v>
                </c:pt>
                <c:pt idx="5">
                  <c:v>5.55</c:v>
                </c:pt>
              </c:numCache>
            </c:numRef>
          </c:val>
        </c:ser>
        <c:ser>
          <c:idx val="1"/>
          <c:order val="1"/>
          <c:tx>
            <c:v>od uruchomienia Programu</c:v>
          </c:tx>
          <c:spPr>
            <a:solidFill>
              <a:schemeClr val="accent6">
                <a:lumMod val="60000"/>
                <a:lumOff val="40000"/>
              </a:schemeClr>
            </a:solidFill>
          </c:spPr>
          <c:invertIfNegative val="0"/>
          <c:dLbls>
            <c:dLbl>
              <c:idx val="1"/>
              <c:layout>
                <c:manualLayout>
                  <c:x val="5.5607157181146423E-3"/>
                  <c:y val="0.11896528305775129"/>
                </c:manualLayout>
              </c:layout>
              <c:showLegendKey val="0"/>
              <c:showVal val="1"/>
              <c:showCatName val="0"/>
              <c:showSerName val="0"/>
              <c:showPercent val="0"/>
              <c:showBubbleSize val="0"/>
            </c:dLbl>
            <c:dLbl>
              <c:idx val="2"/>
              <c:layout>
                <c:manualLayout>
                  <c:x val="1.8535719060382351E-3"/>
                  <c:y val="9.9137735881459368E-2"/>
                </c:manualLayout>
              </c:layout>
              <c:showLegendKey val="0"/>
              <c:showVal val="1"/>
              <c:showCatName val="0"/>
              <c:showSerName val="0"/>
              <c:showPercent val="0"/>
              <c:showBubbleSize val="0"/>
            </c:dLbl>
            <c:dLbl>
              <c:idx val="3"/>
              <c:layout>
                <c:manualLayout>
                  <c:x val="9.2678595301911061E-3"/>
                  <c:y val="7.93101887051674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'Priorytet II'!$A$3:$F$3</c:f>
              <c:strCache>
                <c:ptCount val="6"/>
                <c:pt idx="0">
                  <c:v>Alokacja</c:v>
                </c:pt>
                <c:pt idx="1">
                  <c:v>Wnioski po ocenie formalnej</c:v>
                </c:pt>
                <c:pt idx="2">
                  <c:v>Zatwiedzone wnioski do dofinansowanie</c:v>
                </c:pt>
                <c:pt idx="3">
                  <c:v>Podpisane umowy</c:v>
                </c:pt>
                <c:pt idx="4">
                  <c:v>Płatności</c:v>
                </c:pt>
                <c:pt idx="5">
                  <c:v>Deklaracje zatwierdzone przez IC</c:v>
                </c:pt>
              </c:strCache>
            </c:strRef>
          </c:cat>
          <c:val>
            <c:numRef>
              <c:f>'Priorytet II'!$A$5:$F$5</c:f>
              <c:numCache>
                <c:formatCode>#,##0.00</c:formatCode>
                <c:ptCount val="6"/>
                <c:pt idx="1">
                  <c:v>130.72999999999999</c:v>
                </c:pt>
                <c:pt idx="2">
                  <c:v>120.19</c:v>
                </c:pt>
                <c:pt idx="3">
                  <c:v>76.66</c:v>
                </c:pt>
                <c:pt idx="4">
                  <c:v>11.99</c:v>
                </c:pt>
                <c:pt idx="5">
                  <c:v>10.16</c:v>
                </c:pt>
              </c:numCache>
            </c:numRef>
          </c:val>
        </c:ser>
        <c:dLbls>
          <c:showLegendKey val="0"/>
          <c:showVal val="1"/>
          <c:showCatName val="0"/>
          <c:showSerName val="0"/>
          <c:showPercent val="0"/>
          <c:showBubbleSize val="0"/>
        </c:dLbls>
        <c:gapWidth val="150"/>
        <c:shape val="box"/>
        <c:axId val="140253824"/>
        <c:axId val="140272000"/>
        <c:axId val="140171008"/>
      </c:bar3DChart>
      <c:catAx>
        <c:axId val="140253824"/>
        <c:scaling>
          <c:orientation val="minMax"/>
        </c:scaling>
        <c:delete val="0"/>
        <c:axPos val="b"/>
        <c:majorTickMark val="out"/>
        <c:minorTickMark val="none"/>
        <c:tickLblPos val="nextTo"/>
        <c:crossAx val="140272000"/>
        <c:crosses val="autoZero"/>
        <c:auto val="1"/>
        <c:lblAlgn val="ctr"/>
        <c:lblOffset val="100"/>
        <c:noMultiLvlLbl val="0"/>
      </c:catAx>
      <c:valAx>
        <c:axId val="140272000"/>
        <c:scaling>
          <c:orientation val="minMax"/>
        </c:scaling>
        <c:delete val="0"/>
        <c:axPos val="l"/>
        <c:majorGridlines/>
        <c:numFmt formatCode="#,##0.00" sourceLinked="1"/>
        <c:majorTickMark val="out"/>
        <c:minorTickMark val="none"/>
        <c:tickLblPos val="nextTo"/>
        <c:crossAx val="140253824"/>
        <c:crosses val="autoZero"/>
        <c:crossBetween val="between"/>
      </c:valAx>
      <c:serAx>
        <c:axId val="140171008"/>
        <c:scaling>
          <c:orientation val="minMax"/>
        </c:scaling>
        <c:delete val="1"/>
        <c:axPos val="b"/>
        <c:majorTickMark val="out"/>
        <c:minorTickMark val="none"/>
        <c:tickLblPos val="none"/>
        <c:crossAx val="140272000"/>
        <c:crosses val="autoZero"/>
      </c:serAx>
    </c:plotArea>
    <c:legend>
      <c:legendPos val="b"/>
      <c:layout>
        <c:manualLayout>
          <c:xMode val="edge"/>
          <c:yMode val="edge"/>
          <c:x val="0.28165857030350488"/>
          <c:y val="0.86531475060224228"/>
          <c:w val="0.39219713364808056"/>
          <c:h val="8.7099136174657255E-2"/>
        </c:manualLayout>
      </c:layout>
      <c:overlay val="0"/>
    </c:legend>
    <c:plotVisOnly val="1"/>
    <c:dispBlanksAs val="gap"/>
    <c:showDLblsOverMax val="0"/>
  </c:chart>
  <c:spPr>
    <a:ln w="34925">
      <a:solidFill>
        <a:srgbClr val="D34817"/>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60"/>
      <c:rAngAx val="0"/>
      <c:perspective val="90"/>
    </c:view3D>
    <c:floor>
      <c:thickness val="0"/>
    </c:floor>
    <c:sideWall>
      <c:thickness val="0"/>
    </c:sideWall>
    <c:backWall>
      <c:thickness val="0"/>
    </c:backWall>
    <c:plotArea>
      <c:layout>
        <c:manualLayout>
          <c:layoutTarget val="inner"/>
          <c:xMode val="edge"/>
          <c:yMode val="edge"/>
          <c:x val="3.030209532105059E-2"/>
          <c:y val="9.6276049820300233E-2"/>
          <c:w val="0.58220114358380215"/>
          <c:h val="0.89649388972368649"/>
        </c:manualLayout>
      </c:layout>
      <c:pie3DChart>
        <c:varyColors val="1"/>
        <c:ser>
          <c:idx val="0"/>
          <c:order val="0"/>
          <c:spPr>
            <a:solidFill>
              <a:srgbClr val="92D050"/>
            </a:solidFill>
          </c:spPr>
          <c:explosion val="25"/>
          <c:dPt>
            <c:idx val="1"/>
            <c:bubble3D val="0"/>
            <c:spPr>
              <a:solidFill>
                <a:srgbClr val="FF0000"/>
              </a:solidFill>
            </c:spPr>
          </c:dPt>
          <c:dPt>
            <c:idx val="2"/>
            <c:bubble3D val="0"/>
            <c:spPr>
              <a:solidFill>
                <a:srgbClr val="FFFF00"/>
              </a:solidFill>
            </c:spPr>
          </c:dPt>
          <c:dPt>
            <c:idx val="3"/>
            <c:bubble3D val="0"/>
            <c:spPr>
              <a:solidFill>
                <a:srgbClr val="00B0F0"/>
              </a:solidFill>
            </c:spPr>
          </c:dPt>
          <c:dPt>
            <c:idx val="4"/>
            <c:bubble3D val="0"/>
            <c:spPr>
              <a:solidFill>
                <a:srgbClr val="7030A0"/>
              </a:solidFill>
            </c:spPr>
          </c:dPt>
          <c:dPt>
            <c:idx val="5"/>
            <c:bubble3D val="0"/>
            <c:spPr>
              <a:solidFill>
                <a:schemeClr val="bg1">
                  <a:lumMod val="75000"/>
                </a:schemeClr>
              </a:solidFill>
            </c:spPr>
          </c:dPt>
          <c:dLbls>
            <c:dLbl>
              <c:idx val="0"/>
              <c:layout>
                <c:manualLayout>
                  <c:x val="4.308308849043449E-2"/>
                  <c:y val="-0.19651528687291575"/>
                </c:manualLayout>
              </c:layout>
              <c:dLblPos val="bestFit"/>
              <c:showLegendKey val="0"/>
              <c:showVal val="1"/>
              <c:showCatName val="0"/>
              <c:showSerName val="0"/>
              <c:showPercent val="0"/>
              <c:showBubbleSize val="0"/>
            </c:dLbl>
            <c:dLbl>
              <c:idx val="1"/>
              <c:layout>
                <c:manualLayout>
                  <c:x val="-8.2063025696065717E-2"/>
                  <c:y val="7.0622681219951924E-2"/>
                </c:manualLayout>
              </c:layout>
              <c:dLblPos val="bestFit"/>
              <c:showLegendKey val="0"/>
              <c:showVal val="1"/>
              <c:showCatName val="0"/>
              <c:showSerName val="0"/>
              <c:showPercent val="0"/>
              <c:showBubbleSize val="0"/>
            </c:dLbl>
            <c:dLbl>
              <c:idx val="2"/>
              <c:layout>
                <c:manualLayout>
                  <c:x val="-2.051575642401645E-2"/>
                  <c:y val="-3.0705513573892212E-2"/>
                </c:manualLayout>
              </c:layout>
              <c:dLblPos val="bestFit"/>
              <c:showLegendKey val="0"/>
              <c:showVal val="1"/>
              <c:showCatName val="0"/>
              <c:showSerName val="0"/>
              <c:showPercent val="0"/>
              <c:showBubbleSize val="0"/>
            </c:dLbl>
            <c:dLbl>
              <c:idx val="3"/>
              <c:layout>
                <c:manualLayout>
                  <c:x val="6.1547269272049458E-3"/>
                  <c:y val="-9.2116540721676743E-2"/>
                </c:manualLayout>
              </c:layout>
              <c:dLblPos val="bestFit"/>
              <c:showLegendKey val="0"/>
              <c:showVal val="1"/>
              <c:showCatName val="0"/>
              <c:showSerName val="0"/>
              <c:showPercent val="0"/>
              <c:showBubbleSize val="0"/>
            </c:dLbl>
            <c:dLbl>
              <c:idx val="4"/>
              <c:layout>
                <c:manualLayout>
                  <c:x val="0.10052720647768339"/>
                  <c:y val="-0.11361040022340074"/>
                </c:manualLayout>
              </c:layout>
              <c:dLblPos val="bestFit"/>
              <c:showLegendKey val="0"/>
              <c:showVal val="1"/>
              <c:showCatName val="0"/>
              <c:showSerName val="0"/>
              <c:showPercent val="0"/>
              <c:showBubbleSize val="0"/>
            </c:dLbl>
            <c:dLbl>
              <c:idx val="5"/>
              <c:layout>
                <c:manualLayout>
                  <c:x val="-6.1547269272049267E-2"/>
                  <c:y val="7.6763783934732918E-2"/>
                </c:manualLayout>
              </c:layout>
              <c:dLblPos val="bestFit"/>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1"/>
          </c:dLbls>
          <c:cat>
            <c:strRef>
              <c:f>kkkk!$C$37:$C$42</c:f>
              <c:strCache>
                <c:ptCount val="6"/>
                <c:pt idx="0">
                  <c:v>jst [93 umów]</c:v>
                </c:pt>
                <c:pt idx="1">
                  <c:v>szkoły wyższe [1 umowa]</c:v>
                </c:pt>
                <c:pt idx="2">
                  <c:v>fundacja/stowarzyszenie [2 umowy]</c:v>
                </c:pt>
                <c:pt idx="3">
                  <c:v>organy administracji rządowej [2 umowy]</c:v>
                </c:pt>
                <c:pt idx="4">
                  <c:v>zakład opieki zdrowotnej [1 umowa]</c:v>
                </c:pt>
                <c:pt idx="5">
                  <c:v>Komunkacyjny Związek Komunalny Górnośląskiego Okręgu Przemysłowego [1 umowa]</c:v>
                </c:pt>
              </c:strCache>
            </c:strRef>
          </c:cat>
          <c:val>
            <c:numRef>
              <c:f>kkkk!$D$37:$D$42</c:f>
              <c:numCache>
                <c:formatCode>0.00%</c:formatCode>
                <c:ptCount val="6"/>
                <c:pt idx="0">
                  <c:v>0.7391077484998696</c:v>
                </c:pt>
                <c:pt idx="1">
                  <c:v>4.0438298982520514E-3</c:v>
                </c:pt>
                <c:pt idx="2">
                  <c:v>4.9569527785024783E-3</c:v>
                </c:pt>
                <c:pt idx="3">
                  <c:v>2.2306287503261212E-2</c:v>
                </c:pt>
                <c:pt idx="4">
                  <c:v>3.5220453952517607E-3</c:v>
                </c:pt>
                <c:pt idx="5">
                  <c:v>0.22606313592486321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58296095483458066"/>
          <c:y val="0.14611417622438438"/>
          <c:w val="0.38771742710550494"/>
          <c:h val="0.64031301525611062"/>
        </c:manualLayout>
      </c:layout>
      <c:overlay val="1"/>
      <c:spPr>
        <a:ln w="3175"/>
      </c:spPr>
      <c:txPr>
        <a:bodyPr/>
        <a:lstStyle/>
        <a:p>
          <a:pPr>
            <a:defRPr b="1">
              <a:latin typeface="Times New Roman" pitchFamily="18" charset="0"/>
              <a:cs typeface="Times New Roman" pitchFamily="18" charset="0"/>
            </a:defRPr>
          </a:pPr>
          <a:endParaRPr lang="pl-PL"/>
        </a:p>
      </c:txPr>
    </c:legend>
    <c:plotVisOnly val="1"/>
    <c:dispBlanksAs val="gap"/>
    <c:showDLblsOverMax val="0"/>
  </c:chart>
  <c:spPr>
    <a:ln w="34925">
      <a:solidFill>
        <a:schemeClr val="accent2">
          <a:lumMod val="60000"/>
          <a:lumOff val="40000"/>
        </a:schemeClr>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0"/>
      <c:perspective val="30"/>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7.4587875836410522E-2"/>
          <c:y val="4.4690099591423123E-2"/>
          <c:w val="0.92047483875222258"/>
          <c:h val="0.30956683555312781"/>
        </c:manualLayout>
      </c:layout>
      <c:bar3DChart>
        <c:barDir val="col"/>
        <c:grouping val="standard"/>
        <c:varyColors val="0"/>
        <c:ser>
          <c:idx val="0"/>
          <c:order val="0"/>
          <c:tx>
            <c:v>2011 rok</c:v>
          </c:tx>
          <c:spPr>
            <a:solidFill>
              <a:schemeClr val="accent2">
                <a:lumMod val="60000"/>
                <a:lumOff val="40000"/>
              </a:schemeClr>
            </a:solidFill>
          </c:spPr>
          <c:invertIfNegative val="0"/>
          <c:dPt>
            <c:idx val="0"/>
            <c:invertIfNegative val="0"/>
            <c:bubble3D val="0"/>
            <c:spPr>
              <a:solidFill>
                <a:srgbClr val="92D050"/>
              </a:solidFill>
            </c:spPr>
          </c:dPt>
          <c:dLbls>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'Priorytet III'!$A$3:$F$3</c:f>
              <c:strCache>
                <c:ptCount val="6"/>
                <c:pt idx="0">
                  <c:v>Alokacja</c:v>
                </c:pt>
                <c:pt idx="1">
                  <c:v>Wnioski po ocenie formalnej</c:v>
                </c:pt>
                <c:pt idx="2">
                  <c:v>Zatwiedzone wnioski do dofinansowanie</c:v>
                </c:pt>
                <c:pt idx="3">
                  <c:v>Podpisane umowy</c:v>
                </c:pt>
                <c:pt idx="4">
                  <c:v>Płatności</c:v>
                </c:pt>
                <c:pt idx="5">
                  <c:v>Deklaracje zatwierdzone przez IC</c:v>
                </c:pt>
              </c:strCache>
            </c:strRef>
          </c:cat>
          <c:val>
            <c:numRef>
              <c:f>'Priorytet III'!$A$4:$F$4</c:f>
              <c:numCache>
                <c:formatCode>#,##0.00</c:formatCode>
                <c:ptCount val="6"/>
                <c:pt idx="0">
                  <c:v>110.42</c:v>
                </c:pt>
                <c:pt idx="1">
                  <c:v>19.54</c:v>
                </c:pt>
                <c:pt idx="2">
                  <c:v>32.050000000000004</c:v>
                </c:pt>
                <c:pt idx="3">
                  <c:v>25.830000000000005</c:v>
                </c:pt>
                <c:pt idx="4">
                  <c:v>19.02</c:v>
                </c:pt>
                <c:pt idx="5">
                  <c:v>17.670000000000005</c:v>
                </c:pt>
              </c:numCache>
            </c:numRef>
          </c:val>
        </c:ser>
        <c:ser>
          <c:idx val="1"/>
          <c:order val="1"/>
          <c:tx>
            <c:v>od uruchomienia Programu</c:v>
          </c:tx>
          <c:spPr>
            <a:solidFill>
              <a:schemeClr val="accent6">
                <a:lumMod val="60000"/>
                <a:lumOff val="40000"/>
              </a:schemeClr>
            </a:solidFill>
          </c:spPr>
          <c:invertIfNegative val="0"/>
          <c:dLbls>
            <c:txPr>
              <a:bodyPr/>
              <a:lstStyle/>
              <a:p>
                <a:pPr>
                  <a:defRPr b="1"/>
                </a:pPr>
                <a:endParaRPr lang="pl-PL"/>
              </a:p>
            </c:txPr>
            <c:showLegendKey val="0"/>
            <c:showVal val="1"/>
            <c:showCatName val="0"/>
            <c:showSerName val="0"/>
            <c:showPercent val="0"/>
            <c:showBubbleSize val="0"/>
            <c:showLeaderLines val="0"/>
          </c:dLbls>
          <c:cat>
            <c:strRef>
              <c:f>'Priorytet III'!$A$3:$F$3</c:f>
              <c:strCache>
                <c:ptCount val="6"/>
                <c:pt idx="0">
                  <c:v>Alokacja</c:v>
                </c:pt>
                <c:pt idx="1">
                  <c:v>Wnioski po ocenie formalnej</c:v>
                </c:pt>
                <c:pt idx="2">
                  <c:v>Zatwiedzone wnioski do dofinansowanie</c:v>
                </c:pt>
                <c:pt idx="3">
                  <c:v>Podpisane umowy</c:v>
                </c:pt>
                <c:pt idx="4">
                  <c:v>Płatności</c:v>
                </c:pt>
                <c:pt idx="5">
                  <c:v>Deklaracje zatwierdzone przez IC</c:v>
                </c:pt>
              </c:strCache>
            </c:strRef>
          </c:cat>
          <c:val>
            <c:numRef>
              <c:f>'Priorytet III'!$A$5:$F$5</c:f>
              <c:numCache>
                <c:formatCode>#,##0.00</c:formatCode>
                <c:ptCount val="6"/>
                <c:pt idx="1">
                  <c:v>132.76999999999998</c:v>
                </c:pt>
                <c:pt idx="2">
                  <c:v>84.88</c:v>
                </c:pt>
                <c:pt idx="3">
                  <c:v>69.440000000000026</c:v>
                </c:pt>
                <c:pt idx="4">
                  <c:v>35.690000000000012</c:v>
                </c:pt>
                <c:pt idx="5">
                  <c:v>32.760000000000012</c:v>
                </c:pt>
              </c:numCache>
            </c:numRef>
          </c:val>
        </c:ser>
        <c:dLbls>
          <c:showLegendKey val="0"/>
          <c:showVal val="1"/>
          <c:showCatName val="0"/>
          <c:showSerName val="0"/>
          <c:showPercent val="0"/>
          <c:showBubbleSize val="0"/>
        </c:dLbls>
        <c:gapWidth val="150"/>
        <c:shape val="box"/>
        <c:axId val="139968896"/>
        <c:axId val="139970432"/>
        <c:axId val="140258368"/>
      </c:bar3DChart>
      <c:catAx>
        <c:axId val="139968896"/>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pl-PL"/>
          </a:p>
        </c:txPr>
        <c:crossAx val="139970432"/>
        <c:crosses val="autoZero"/>
        <c:auto val="1"/>
        <c:lblAlgn val="ctr"/>
        <c:lblOffset val="100"/>
        <c:noMultiLvlLbl val="0"/>
      </c:catAx>
      <c:valAx>
        <c:axId val="139970432"/>
        <c:scaling>
          <c:orientation val="minMax"/>
        </c:scaling>
        <c:delete val="0"/>
        <c:axPos val="l"/>
        <c:majorGridlines/>
        <c:numFmt formatCode="#,##0.00" sourceLinked="1"/>
        <c:majorTickMark val="out"/>
        <c:minorTickMark val="none"/>
        <c:tickLblPos val="nextTo"/>
        <c:txPr>
          <a:bodyPr/>
          <a:lstStyle/>
          <a:p>
            <a:pPr>
              <a:defRPr b="1">
                <a:latin typeface="Times New Roman" pitchFamily="18" charset="0"/>
                <a:cs typeface="Times New Roman" pitchFamily="18" charset="0"/>
              </a:defRPr>
            </a:pPr>
            <a:endParaRPr lang="pl-PL"/>
          </a:p>
        </c:txPr>
        <c:crossAx val="139968896"/>
        <c:crosses val="autoZero"/>
        <c:crossBetween val="between"/>
      </c:valAx>
      <c:serAx>
        <c:axId val="140258368"/>
        <c:scaling>
          <c:orientation val="minMax"/>
        </c:scaling>
        <c:delete val="1"/>
        <c:axPos val="b"/>
        <c:majorTickMark val="out"/>
        <c:minorTickMark val="none"/>
        <c:tickLblPos val="none"/>
        <c:crossAx val="139970432"/>
        <c:crosses val="autoZero"/>
      </c:serAx>
    </c:plotArea>
    <c:legend>
      <c:legendPos val="b"/>
      <c:overlay val="0"/>
      <c:txPr>
        <a:bodyPr/>
        <a:lstStyle/>
        <a:p>
          <a:pPr>
            <a:defRPr b="1">
              <a:latin typeface="Times New Roman" pitchFamily="18" charset="0"/>
              <a:cs typeface="Times New Roman" pitchFamily="18" charset="0"/>
            </a:defRPr>
          </a:pPr>
          <a:endParaRPr lang="pl-PL"/>
        </a:p>
      </c:txPr>
    </c:legend>
    <c:plotVisOnly val="1"/>
    <c:dispBlanksAs val="gap"/>
    <c:showDLblsOverMax val="0"/>
  </c:chart>
  <c:spPr>
    <a:ln w="34925">
      <a:solidFill>
        <a:srgbClr val="D34817"/>
      </a:solidFill>
    </a:ln>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635650993112391E-2"/>
          <c:y val="0.12845505041086491"/>
          <c:w val="0.59253793717312098"/>
          <c:h val="0.86900493131801348"/>
        </c:manualLayout>
      </c:layout>
      <c:pie3DChart>
        <c:varyColors val="1"/>
        <c:ser>
          <c:idx val="0"/>
          <c:order val="0"/>
          <c:tx>
            <c:strRef>
              <c:f>'Priorytet III'!$C$28</c:f>
              <c:strCache>
                <c:ptCount val="1"/>
                <c:pt idx="0">
                  <c:v>%</c:v>
                </c:pt>
              </c:strCache>
            </c:strRef>
          </c:tx>
          <c:spPr>
            <a:solidFill>
              <a:srgbClr val="00B0F0"/>
            </a:solidFill>
          </c:spPr>
          <c:explosion val="25"/>
          <c:dPt>
            <c:idx val="0"/>
            <c:bubble3D val="0"/>
            <c:spPr>
              <a:solidFill>
                <a:srgbClr val="92D050"/>
              </a:solidFill>
            </c:spPr>
          </c:dPt>
          <c:dPt>
            <c:idx val="1"/>
            <c:bubble3D val="0"/>
            <c:spPr>
              <a:solidFill>
                <a:schemeClr val="accent2">
                  <a:lumMod val="60000"/>
                  <a:lumOff val="40000"/>
                </a:schemeClr>
              </a:solidFill>
            </c:spPr>
          </c:dPt>
          <c:dLbls>
            <c:dLbl>
              <c:idx val="0"/>
              <c:layout>
                <c:manualLayout>
                  <c:x val="-0.17071777160003698"/>
                  <c:y val="-0.20856241103444673"/>
                </c:manualLayout>
              </c:layout>
              <c:dLblPos val="bestFit"/>
              <c:showLegendKey val="0"/>
              <c:showVal val="1"/>
              <c:showCatName val="0"/>
              <c:showSerName val="0"/>
              <c:showPercent val="0"/>
              <c:showBubbleSize val="0"/>
            </c:dLbl>
            <c:txPr>
              <a:bodyPr/>
              <a:lstStyle/>
              <a:p>
                <a:pPr>
                  <a:defRPr sz="1200"/>
                </a:pPr>
                <a:endParaRPr lang="pl-PL"/>
              </a:p>
            </c:txPr>
            <c:dLblPos val="bestFit"/>
            <c:showLegendKey val="0"/>
            <c:showVal val="1"/>
            <c:showCatName val="0"/>
            <c:showSerName val="0"/>
            <c:showPercent val="0"/>
            <c:showBubbleSize val="0"/>
            <c:showLeaderLines val="1"/>
          </c:dLbls>
          <c:cat>
            <c:strRef>
              <c:f>'Priorytet III'!$B$29:$B$31</c:f>
              <c:strCache>
                <c:ptCount val="3"/>
                <c:pt idx="0">
                  <c:v>JST [97 umów]</c:v>
                </c:pt>
                <c:pt idx="1">
                  <c:v>MSP [203 umowy]</c:v>
                </c:pt>
                <c:pt idx="2">
                  <c:v>fundacja/stowarzyszenie [8 umów]</c:v>
                </c:pt>
              </c:strCache>
            </c:strRef>
          </c:cat>
          <c:val>
            <c:numRef>
              <c:f>'Priorytet III'!$C$29:$C$31</c:f>
              <c:numCache>
                <c:formatCode>0.00%</c:formatCode>
                <c:ptCount val="3"/>
                <c:pt idx="0">
                  <c:v>0.67792540419403613</c:v>
                </c:pt>
                <c:pt idx="1">
                  <c:v>0.30814791099728434</c:v>
                </c:pt>
                <c:pt idx="2">
                  <c:v>1.3926684808708381E-2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w="34925">
      <a:solidFill>
        <a:schemeClr val="accent1"/>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0"/>
      <c:perspective val="30"/>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5514726295133528E-2"/>
          <c:y val="3.5037039693680466E-2"/>
          <c:w val="0.90865493888143845"/>
          <c:h val="0.75261617838442885"/>
        </c:manualLayout>
      </c:layout>
      <c:bar3DChart>
        <c:barDir val="col"/>
        <c:grouping val="standard"/>
        <c:varyColors val="0"/>
        <c:ser>
          <c:idx val="0"/>
          <c:order val="0"/>
          <c:tx>
            <c:v>w 2011 roku</c:v>
          </c:tx>
          <c:spPr>
            <a:solidFill>
              <a:schemeClr val="accent2">
                <a:lumMod val="60000"/>
                <a:lumOff val="40000"/>
              </a:schemeClr>
            </a:solidFill>
            <a:ln>
              <a:solidFill>
                <a:schemeClr val="accent2">
                  <a:lumMod val="60000"/>
                  <a:lumOff val="40000"/>
                </a:schemeClr>
              </a:solidFill>
            </a:ln>
          </c:spPr>
          <c:invertIfNegative val="0"/>
          <c:dPt>
            <c:idx val="0"/>
            <c:invertIfNegative val="0"/>
            <c:bubble3D val="0"/>
            <c:spPr>
              <a:solidFill>
                <a:srgbClr val="92D050"/>
              </a:solidFill>
              <a:ln>
                <a:solidFill>
                  <a:srgbClr val="92D050"/>
                </a:solidFill>
              </a:ln>
            </c:spPr>
          </c:dPt>
          <c:dLbls>
            <c:dLbl>
              <c:idx val="0"/>
              <c:layout>
                <c:manualLayout>
                  <c:x val="1.7569540995322923E-17"/>
                  <c:y val="0.1305926024946272"/>
                </c:manualLayout>
              </c:layout>
              <c:showLegendKey val="0"/>
              <c:showVal val="1"/>
              <c:showCatName val="0"/>
              <c:showSerName val="0"/>
              <c:showPercent val="0"/>
              <c:showBubbleSize val="0"/>
            </c:dLbl>
            <c:dLbl>
              <c:idx val="2"/>
              <c:layout>
                <c:manualLayout>
                  <c:x val="1.3416895387757623E-2"/>
                  <c:y val="1.592592713349112E-2"/>
                </c:manualLayout>
              </c:layout>
              <c:showLegendKey val="0"/>
              <c:showVal val="1"/>
              <c:showCatName val="0"/>
              <c:showSerName val="0"/>
              <c:showPercent val="0"/>
              <c:showBubbleSize val="0"/>
            </c:dLbl>
            <c:dLbl>
              <c:idx val="3"/>
              <c:layout>
                <c:manualLayout>
                  <c:x val="9.5834967055412508E-3"/>
                  <c:y val="2.8666668840283998E-2"/>
                </c:manualLayout>
              </c:layout>
              <c:showLegendKey val="0"/>
              <c:showVal val="1"/>
              <c:showCatName val="0"/>
              <c:showSerName val="0"/>
              <c:showPercent val="0"/>
              <c:showBubbleSize val="0"/>
            </c:dLbl>
            <c:dLbl>
              <c:idx val="4"/>
              <c:layout>
                <c:manualLayout>
                  <c:x val="0"/>
                  <c:y val="4.7777781400473514E-2"/>
                </c:manualLayout>
              </c:layout>
              <c:showLegendKey val="0"/>
              <c:showVal val="1"/>
              <c:showCatName val="0"/>
              <c:showSerName val="0"/>
              <c:showPercent val="0"/>
              <c:showBubbleSize val="0"/>
            </c:dLbl>
            <c:dLbl>
              <c:idx val="5"/>
              <c:layout>
                <c:manualLayout>
                  <c:x val="0"/>
                  <c:y val="4.7777781400473514E-2"/>
                </c:manualLayout>
              </c:layout>
              <c:showLegendKey val="0"/>
              <c:showVal val="1"/>
              <c:showCatName val="0"/>
              <c:showSerName val="0"/>
              <c:showPercent val="0"/>
              <c:showBubbleSize val="0"/>
            </c:dLbl>
            <c:txPr>
              <a:bodyPr/>
              <a:lstStyle/>
              <a:p>
                <a:pPr>
                  <a:defRPr sz="1200"/>
                </a:pPr>
                <a:endParaRPr lang="pl-PL"/>
              </a:p>
            </c:txPr>
            <c:showLegendKey val="0"/>
            <c:showVal val="1"/>
            <c:showCatName val="0"/>
            <c:showSerName val="0"/>
            <c:showPercent val="0"/>
            <c:showBubbleSize val="0"/>
            <c:showLeaderLines val="0"/>
          </c:dLbls>
          <c:cat>
            <c:strRef>
              <c:f>'Priorytet IV'!$A$3:$F$3</c:f>
              <c:strCache>
                <c:ptCount val="6"/>
                <c:pt idx="0">
                  <c:v>Alokacja</c:v>
                </c:pt>
                <c:pt idx="1">
                  <c:v>Wnioski po ocenie formalnej</c:v>
                </c:pt>
                <c:pt idx="2">
                  <c:v>Zatwiedzone wnioski do dofinansowanie</c:v>
                </c:pt>
                <c:pt idx="3">
                  <c:v>Podpisane umowy</c:v>
                </c:pt>
                <c:pt idx="4">
                  <c:v>Wnioski o płatność</c:v>
                </c:pt>
                <c:pt idx="5">
                  <c:v>Deklaracje zatwierdzone przez IC</c:v>
                </c:pt>
              </c:strCache>
            </c:strRef>
          </c:cat>
          <c:val>
            <c:numRef>
              <c:f>'Priorytet IV'!$A$4:$F$4</c:f>
              <c:numCache>
                <c:formatCode>#,##0.00</c:formatCode>
                <c:ptCount val="6"/>
                <c:pt idx="0">
                  <c:v>53.27</c:v>
                </c:pt>
                <c:pt idx="1">
                  <c:v>0</c:v>
                </c:pt>
                <c:pt idx="2">
                  <c:v>1.9600000000000195</c:v>
                </c:pt>
                <c:pt idx="3">
                  <c:v>5.34</c:v>
                </c:pt>
                <c:pt idx="4">
                  <c:v>10.54</c:v>
                </c:pt>
                <c:pt idx="5">
                  <c:v>10.54</c:v>
                </c:pt>
              </c:numCache>
            </c:numRef>
          </c:val>
        </c:ser>
        <c:ser>
          <c:idx val="1"/>
          <c:order val="1"/>
          <c:tx>
            <c:v>od uruchomienia Programu</c:v>
          </c:tx>
          <c:spPr>
            <a:solidFill>
              <a:schemeClr val="accent3">
                <a:lumMod val="60000"/>
                <a:lumOff val="40000"/>
              </a:schemeClr>
            </a:solidFill>
            <a:ln>
              <a:solidFill>
                <a:schemeClr val="accent3">
                  <a:lumMod val="40000"/>
                  <a:lumOff val="60000"/>
                </a:schemeClr>
              </a:solidFill>
            </a:ln>
          </c:spPr>
          <c:invertIfNegative val="0"/>
          <c:dLbls>
            <c:dLbl>
              <c:idx val="1"/>
              <c:layout>
                <c:manualLayout>
                  <c:x val="1.9166993411081903E-3"/>
                  <c:y val="0.14970371505481653"/>
                </c:manualLayout>
              </c:layout>
              <c:showLegendKey val="0"/>
              <c:showVal val="1"/>
              <c:showCatName val="0"/>
              <c:showSerName val="0"/>
              <c:showPercent val="0"/>
              <c:showBubbleSize val="0"/>
            </c:dLbl>
            <c:dLbl>
              <c:idx val="2"/>
              <c:layout>
                <c:manualLayout>
                  <c:x val="0"/>
                  <c:y val="0.1305926024946272"/>
                </c:manualLayout>
              </c:layout>
              <c:showLegendKey val="0"/>
              <c:showVal val="1"/>
              <c:showCatName val="0"/>
              <c:showSerName val="0"/>
              <c:showPercent val="0"/>
              <c:showBubbleSize val="0"/>
            </c:dLbl>
            <c:dLbl>
              <c:idx val="3"/>
              <c:layout>
                <c:manualLayout>
                  <c:x val="0"/>
                  <c:y val="9.8740748227645045E-2"/>
                </c:manualLayout>
              </c:layout>
              <c:showLegendKey val="0"/>
              <c:showVal val="1"/>
              <c:showCatName val="0"/>
              <c:showSerName val="0"/>
              <c:showPercent val="0"/>
              <c:showBubbleSize val="0"/>
            </c:dLbl>
            <c:dLbl>
              <c:idx val="4"/>
              <c:layout>
                <c:manualLayout>
                  <c:x val="0"/>
                  <c:y val="7.6444450240757328E-2"/>
                </c:manualLayout>
              </c:layout>
              <c:showLegendKey val="0"/>
              <c:showVal val="1"/>
              <c:showCatName val="0"/>
              <c:showSerName val="0"/>
              <c:showPercent val="0"/>
              <c:showBubbleSize val="0"/>
            </c:dLbl>
            <c:dLbl>
              <c:idx val="5"/>
              <c:layout>
                <c:manualLayout>
                  <c:x val="3.8333986822164557E-3"/>
                  <c:y val="7.6444450240757383E-2"/>
                </c:manualLayout>
              </c:layout>
              <c:showLegendKey val="0"/>
              <c:showVal val="1"/>
              <c:showCatName val="0"/>
              <c:showSerName val="0"/>
              <c:showPercent val="0"/>
              <c:showBubbleSize val="0"/>
            </c:dLbl>
            <c:txPr>
              <a:bodyPr/>
              <a:lstStyle/>
              <a:p>
                <a:pPr>
                  <a:defRPr sz="1200"/>
                </a:pPr>
                <a:endParaRPr lang="pl-PL"/>
              </a:p>
            </c:txPr>
            <c:showLegendKey val="0"/>
            <c:showVal val="1"/>
            <c:showCatName val="0"/>
            <c:showSerName val="0"/>
            <c:showPercent val="0"/>
            <c:showBubbleSize val="0"/>
            <c:showLeaderLines val="0"/>
          </c:dLbls>
          <c:cat>
            <c:strRef>
              <c:f>'Priorytet IV'!$A$3:$F$3</c:f>
              <c:strCache>
                <c:ptCount val="6"/>
                <c:pt idx="0">
                  <c:v>Alokacja</c:v>
                </c:pt>
                <c:pt idx="1">
                  <c:v>Wnioski po ocenie formalnej</c:v>
                </c:pt>
                <c:pt idx="2">
                  <c:v>Zatwiedzone wnioski do dofinansowanie</c:v>
                </c:pt>
                <c:pt idx="3">
                  <c:v>Podpisane umowy</c:v>
                </c:pt>
                <c:pt idx="4">
                  <c:v>Wnioski o płatność</c:v>
                </c:pt>
                <c:pt idx="5">
                  <c:v>Deklaracje zatwierdzone przez IC</c:v>
                </c:pt>
              </c:strCache>
            </c:strRef>
          </c:cat>
          <c:val>
            <c:numRef>
              <c:f>'Priorytet IV'!$A$5:$F$5</c:f>
              <c:numCache>
                <c:formatCode>#,##0.00</c:formatCode>
                <c:ptCount val="6"/>
                <c:pt idx="1">
                  <c:v>97.3</c:v>
                </c:pt>
                <c:pt idx="2">
                  <c:v>51.55</c:v>
                </c:pt>
                <c:pt idx="3">
                  <c:v>45.93</c:v>
                </c:pt>
                <c:pt idx="4">
                  <c:v>31.39</c:v>
                </c:pt>
                <c:pt idx="5">
                  <c:v>30.150000000000031</c:v>
                </c:pt>
              </c:numCache>
            </c:numRef>
          </c:val>
        </c:ser>
        <c:dLbls>
          <c:showLegendKey val="0"/>
          <c:showVal val="0"/>
          <c:showCatName val="0"/>
          <c:showSerName val="0"/>
          <c:showPercent val="0"/>
          <c:showBubbleSize val="0"/>
        </c:dLbls>
        <c:gapWidth val="79"/>
        <c:gapDepth val="162"/>
        <c:shape val="box"/>
        <c:axId val="140825344"/>
        <c:axId val="140826880"/>
        <c:axId val="140789952"/>
      </c:bar3DChart>
      <c:catAx>
        <c:axId val="140825344"/>
        <c:scaling>
          <c:orientation val="minMax"/>
        </c:scaling>
        <c:delete val="0"/>
        <c:axPos val="b"/>
        <c:majorTickMark val="out"/>
        <c:minorTickMark val="none"/>
        <c:tickLblPos val="nextTo"/>
        <c:crossAx val="140826880"/>
        <c:crosses val="autoZero"/>
        <c:auto val="1"/>
        <c:lblAlgn val="ctr"/>
        <c:lblOffset val="100"/>
        <c:noMultiLvlLbl val="0"/>
      </c:catAx>
      <c:valAx>
        <c:axId val="140826880"/>
        <c:scaling>
          <c:orientation val="minMax"/>
        </c:scaling>
        <c:delete val="0"/>
        <c:axPos val="l"/>
        <c:majorGridlines/>
        <c:numFmt formatCode="#,##0.00" sourceLinked="1"/>
        <c:majorTickMark val="out"/>
        <c:minorTickMark val="none"/>
        <c:tickLblPos val="nextTo"/>
        <c:crossAx val="140825344"/>
        <c:crosses val="autoZero"/>
        <c:crossBetween val="between"/>
      </c:valAx>
      <c:serAx>
        <c:axId val="140789952"/>
        <c:scaling>
          <c:orientation val="minMax"/>
        </c:scaling>
        <c:delete val="1"/>
        <c:axPos val="b"/>
        <c:majorTickMark val="out"/>
        <c:minorTickMark val="none"/>
        <c:tickLblPos val="none"/>
        <c:crossAx val="140826880"/>
        <c:crosses val="autoZero"/>
      </c:serAx>
    </c:plotArea>
    <c:legend>
      <c:legendPos val="b"/>
      <c:layout>
        <c:manualLayout>
          <c:xMode val="edge"/>
          <c:yMode val="edge"/>
          <c:x val="0.25761148474171475"/>
          <c:y val="0.8915186036147088"/>
          <c:w val="0.48477687959536947"/>
          <c:h val="5.7518429558120795E-2"/>
        </c:manualLayout>
      </c:layout>
      <c:overlay val="0"/>
      <c:txPr>
        <a:bodyPr/>
        <a:lstStyle/>
        <a:p>
          <a:pPr>
            <a:defRPr sz="1100"/>
          </a:pPr>
          <a:endParaRPr lang="pl-PL"/>
        </a:p>
      </c:txPr>
    </c:legend>
    <c:plotVisOnly val="1"/>
    <c:dispBlanksAs val="gap"/>
    <c:showDLblsOverMax val="0"/>
  </c:chart>
  <c:spPr>
    <a:ln w="34925">
      <a:solidFill>
        <a:schemeClr val="accent2">
          <a:lumMod val="60000"/>
          <a:lumOff val="40000"/>
        </a:schemeClr>
      </a:solidFill>
    </a:ln>
  </c:spPr>
  <c:txPr>
    <a:bodyPr/>
    <a:lstStyle/>
    <a:p>
      <a:pPr>
        <a:defRPr sz="900" b="1">
          <a:latin typeface="Times New Roman" pitchFamily="18" charset="0"/>
          <a:cs typeface="Times New Roman" pitchFamily="18" charset="0"/>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08656698324164E-2"/>
          <c:y val="3.2830126070504742E-2"/>
          <c:w val="0.90375862923040062"/>
          <c:h val="0.7541669819643364"/>
        </c:manualLayout>
      </c:layout>
      <c:lineChart>
        <c:grouping val="standard"/>
        <c:varyColors val="0"/>
        <c:ser>
          <c:idx val="0"/>
          <c:order val="0"/>
          <c:tx>
            <c:strRef>
              <c:f>'Podział na kwartły'!$B$1</c:f>
              <c:strCache>
                <c:ptCount val="1"/>
                <c:pt idx="0">
                  <c:v>Zatwierdzone wnioski do dofinansowania</c:v>
                </c:pt>
              </c:strCache>
            </c:strRef>
          </c:tx>
          <c:spPr>
            <a:ln w="34925">
              <a:solidFill>
                <a:srgbClr val="FF0000"/>
              </a:solidFill>
            </a:ln>
          </c:spPr>
          <c:marker>
            <c:symbol val="none"/>
          </c:marker>
          <c:dLbls>
            <c:dLblPos val="t"/>
            <c:showLegendKey val="0"/>
            <c:showVal val="1"/>
            <c:showCatName val="0"/>
            <c:showSerName val="0"/>
            <c:showPercent val="0"/>
            <c:showBubbleSize val="0"/>
            <c:showLeaderLines val="0"/>
          </c:dLbls>
          <c:cat>
            <c:strRef>
              <c:f>'Podział na kwartły'!$A$2:$A$10</c:f>
              <c:strCache>
                <c:ptCount val="9"/>
                <c:pt idx="0">
                  <c:v>IV 2009</c:v>
                </c:pt>
                <c:pt idx="1">
                  <c:v>I 2010</c:v>
                </c:pt>
                <c:pt idx="2">
                  <c:v>II 2010</c:v>
                </c:pt>
                <c:pt idx="3">
                  <c:v>III 2010</c:v>
                </c:pt>
                <c:pt idx="4">
                  <c:v>IV 2010</c:v>
                </c:pt>
                <c:pt idx="5">
                  <c:v>I 2011</c:v>
                </c:pt>
                <c:pt idx="6">
                  <c:v>II 2011</c:v>
                </c:pt>
                <c:pt idx="7">
                  <c:v>III 2011</c:v>
                </c:pt>
                <c:pt idx="8">
                  <c:v>IV 2011</c:v>
                </c:pt>
              </c:strCache>
            </c:strRef>
          </c:cat>
          <c:val>
            <c:numRef>
              <c:f>'Podział na kwartły'!$B$2:$B$10</c:f>
              <c:numCache>
                <c:formatCode>#,##0.00</c:formatCode>
                <c:ptCount val="9"/>
                <c:pt idx="0">
                  <c:v>0.59642147117294508</c:v>
                </c:pt>
                <c:pt idx="1">
                  <c:v>0.67815330240779392</c:v>
                </c:pt>
                <c:pt idx="2">
                  <c:v>0.87033355423018888</c:v>
                </c:pt>
                <c:pt idx="3">
                  <c:v>0.9940357852882703</c:v>
                </c:pt>
                <c:pt idx="4">
                  <c:v>1.0558869008173184</c:v>
                </c:pt>
                <c:pt idx="5">
                  <c:v>1.1729622266401589</c:v>
                </c:pt>
                <c:pt idx="6">
                  <c:v>1.2569030262867564</c:v>
                </c:pt>
                <c:pt idx="7" formatCode="0.00">
                  <c:v>1.3165451734040203</c:v>
                </c:pt>
                <c:pt idx="8">
                  <c:v>1.4137397835210599</c:v>
                </c:pt>
              </c:numCache>
            </c:numRef>
          </c:val>
          <c:smooth val="0"/>
        </c:ser>
        <c:ser>
          <c:idx val="1"/>
          <c:order val="1"/>
          <c:tx>
            <c:strRef>
              <c:f>'Podział na kwartły'!$C$1</c:f>
              <c:strCache>
                <c:ptCount val="1"/>
                <c:pt idx="0">
                  <c:v>Podpisane umowy o dofinansowanie</c:v>
                </c:pt>
              </c:strCache>
            </c:strRef>
          </c:tx>
          <c:spPr>
            <a:ln w="34925">
              <a:solidFill>
                <a:srgbClr val="92D050"/>
              </a:solidFill>
            </a:ln>
          </c:spPr>
          <c:marker>
            <c:symbol val="none"/>
          </c:marker>
          <c:dLbls>
            <c:dLblPos val="b"/>
            <c:showLegendKey val="0"/>
            <c:showVal val="1"/>
            <c:showCatName val="0"/>
            <c:showSerName val="0"/>
            <c:showPercent val="0"/>
            <c:showBubbleSize val="0"/>
            <c:showLeaderLines val="0"/>
          </c:dLbls>
          <c:cat>
            <c:strRef>
              <c:f>'Podział na kwartły'!$A$2:$A$10</c:f>
              <c:strCache>
                <c:ptCount val="9"/>
                <c:pt idx="0">
                  <c:v>IV 2009</c:v>
                </c:pt>
                <c:pt idx="1">
                  <c:v>I 2010</c:v>
                </c:pt>
                <c:pt idx="2">
                  <c:v>II 2010</c:v>
                </c:pt>
                <c:pt idx="3">
                  <c:v>III 2010</c:v>
                </c:pt>
                <c:pt idx="4">
                  <c:v>IV 2010</c:v>
                </c:pt>
                <c:pt idx="5">
                  <c:v>I 2011</c:v>
                </c:pt>
                <c:pt idx="6">
                  <c:v>II 2011</c:v>
                </c:pt>
                <c:pt idx="7">
                  <c:v>III 2011</c:v>
                </c:pt>
                <c:pt idx="8">
                  <c:v>IV 2011</c:v>
                </c:pt>
              </c:strCache>
            </c:strRef>
          </c:cat>
          <c:val>
            <c:numRef>
              <c:f>'Podział na kwartły'!$C$2:$C$10</c:f>
              <c:numCache>
                <c:formatCode>#,##0.00</c:formatCode>
                <c:ptCount val="9"/>
                <c:pt idx="0">
                  <c:v>0.37552462999780967</c:v>
                </c:pt>
                <c:pt idx="1">
                  <c:v>0.45062955599734938</c:v>
                </c:pt>
                <c:pt idx="2">
                  <c:v>0.57433178705544508</c:v>
                </c:pt>
                <c:pt idx="3">
                  <c:v>0.77755688093660258</c:v>
                </c:pt>
                <c:pt idx="4">
                  <c:v>0.93881157499447765</c:v>
                </c:pt>
                <c:pt idx="5">
                  <c:v>0.97857300640600864</c:v>
                </c:pt>
                <c:pt idx="6">
                  <c:v>1.0514689639938435</c:v>
                </c:pt>
                <c:pt idx="7" formatCode="0.00">
                  <c:v>1.150872542522642</c:v>
                </c:pt>
                <c:pt idx="8">
                  <c:v>1.1707532582284073</c:v>
                </c:pt>
              </c:numCache>
            </c:numRef>
          </c:val>
          <c:smooth val="0"/>
        </c:ser>
        <c:ser>
          <c:idx val="2"/>
          <c:order val="2"/>
          <c:tx>
            <c:strRef>
              <c:f>'Podział na kwartły'!$D$1</c:f>
              <c:strCache>
                <c:ptCount val="1"/>
                <c:pt idx="0">
                  <c:v>Zatwierdzone wnioski o płatność</c:v>
                </c:pt>
              </c:strCache>
            </c:strRef>
          </c:tx>
          <c:spPr>
            <a:ln w="34925">
              <a:solidFill>
                <a:srgbClr val="0070C0"/>
              </a:solidFill>
            </a:ln>
          </c:spPr>
          <c:marker>
            <c:symbol val="none"/>
          </c:marker>
          <c:dLbls>
            <c:dLblPos val="t"/>
            <c:showLegendKey val="0"/>
            <c:showVal val="1"/>
            <c:showCatName val="0"/>
            <c:showSerName val="0"/>
            <c:showPercent val="0"/>
            <c:showBubbleSize val="0"/>
            <c:showLeaderLines val="0"/>
          </c:dLbls>
          <c:cat>
            <c:strRef>
              <c:f>'Podział na kwartły'!$A$2:$A$10</c:f>
              <c:strCache>
                <c:ptCount val="9"/>
                <c:pt idx="0">
                  <c:v>IV 2009</c:v>
                </c:pt>
                <c:pt idx="1">
                  <c:v>I 2010</c:v>
                </c:pt>
                <c:pt idx="2">
                  <c:v>II 2010</c:v>
                </c:pt>
                <c:pt idx="3">
                  <c:v>III 2010</c:v>
                </c:pt>
                <c:pt idx="4">
                  <c:v>IV 2010</c:v>
                </c:pt>
                <c:pt idx="5">
                  <c:v>I 2011</c:v>
                </c:pt>
                <c:pt idx="6">
                  <c:v>II 2011</c:v>
                </c:pt>
                <c:pt idx="7">
                  <c:v>III 2011</c:v>
                </c:pt>
                <c:pt idx="8">
                  <c:v>IV 2011</c:v>
                </c:pt>
              </c:strCache>
            </c:strRef>
          </c:cat>
          <c:val>
            <c:numRef>
              <c:f>'Podział na kwartły'!$D$2:$D$10</c:f>
              <c:numCache>
                <c:formatCode>#,##0.00</c:formatCode>
                <c:ptCount val="9"/>
                <c:pt idx="0">
                  <c:v>6.6269052352551358E-2</c:v>
                </c:pt>
                <c:pt idx="1">
                  <c:v>9.4985641705323628E-2</c:v>
                </c:pt>
                <c:pt idx="2">
                  <c:v>0.13032913629335097</c:v>
                </c:pt>
                <c:pt idx="3">
                  <c:v>0.24519549370444593</c:v>
                </c:pt>
                <c:pt idx="4">
                  <c:v>0.33134526176277296</c:v>
                </c:pt>
                <c:pt idx="5">
                  <c:v>0.37994256682130251</c:v>
                </c:pt>
                <c:pt idx="6">
                  <c:v>0.41970399823283255</c:v>
                </c:pt>
                <c:pt idx="7" formatCode="0.00">
                  <c:v>0.49259995582063182</c:v>
                </c:pt>
                <c:pt idx="8">
                  <c:v>0.58537662911419996</c:v>
                </c:pt>
              </c:numCache>
            </c:numRef>
          </c:val>
          <c:smooth val="0"/>
        </c:ser>
        <c:ser>
          <c:idx val="3"/>
          <c:order val="3"/>
          <c:tx>
            <c:strRef>
              <c:f>'Podział na kwartły'!$E$1</c:f>
              <c:strCache>
                <c:ptCount val="1"/>
                <c:pt idx="0">
                  <c:v>Środki scertyfikowane</c:v>
                </c:pt>
              </c:strCache>
            </c:strRef>
          </c:tx>
          <c:spPr>
            <a:ln w="34925">
              <a:solidFill>
                <a:schemeClr val="tx1">
                  <a:lumMod val="95000"/>
                  <a:lumOff val="5000"/>
                </a:schemeClr>
              </a:solidFill>
            </a:ln>
          </c:spPr>
          <c:marker>
            <c:symbol val="none"/>
          </c:marker>
          <c:dLbls>
            <c:dLbl>
              <c:idx val="0"/>
              <c:layout>
                <c:manualLayout>
                  <c:x val="-3.7110693452882593E-2"/>
                  <c:y val="2.7732783735679802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'Podział na kwartły'!$A$2:$A$10</c:f>
              <c:strCache>
                <c:ptCount val="9"/>
                <c:pt idx="0">
                  <c:v>IV 2009</c:v>
                </c:pt>
                <c:pt idx="1">
                  <c:v>I 2010</c:v>
                </c:pt>
                <c:pt idx="2">
                  <c:v>II 2010</c:v>
                </c:pt>
                <c:pt idx="3">
                  <c:v>III 2010</c:v>
                </c:pt>
                <c:pt idx="4">
                  <c:v>IV 2010</c:v>
                </c:pt>
                <c:pt idx="5">
                  <c:v>I 2011</c:v>
                </c:pt>
                <c:pt idx="6">
                  <c:v>II 2011</c:v>
                </c:pt>
                <c:pt idx="7">
                  <c:v>III 2011</c:v>
                </c:pt>
                <c:pt idx="8">
                  <c:v>IV 2011</c:v>
                </c:pt>
              </c:strCache>
            </c:strRef>
          </c:cat>
          <c:val>
            <c:numRef>
              <c:f>'Podział na kwartły'!$E$2:$E$10</c:f>
              <c:numCache>
                <c:formatCode>#,##0.00</c:formatCode>
                <c:ptCount val="9"/>
                <c:pt idx="0">
                  <c:v>5.5224210293792798E-2</c:v>
                </c:pt>
                <c:pt idx="1">
                  <c:v>8.8358736470068505E-2</c:v>
                </c:pt>
                <c:pt idx="2">
                  <c:v>0.11707532582284071</c:v>
                </c:pt>
                <c:pt idx="3">
                  <c:v>0.22973271482217841</c:v>
                </c:pt>
                <c:pt idx="4">
                  <c:v>0.30041970399824519</c:v>
                </c:pt>
                <c:pt idx="5">
                  <c:v>0.34459907223326708</c:v>
                </c:pt>
                <c:pt idx="6">
                  <c:v>0.3644797879390515</c:v>
                </c:pt>
                <c:pt idx="7" formatCode="0.00">
                  <c:v>0.3954053457035645</c:v>
                </c:pt>
                <c:pt idx="8">
                  <c:v>0.53457035564391431</c:v>
                </c:pt>
              </c:numCache>
            </c:numRef>
          </c:val>
          <c:smooth val="0"/>
        </c:ser>
        <c:dLbls>
          <c:showLegendKey val="0"/>
          <c:showVal val="0"/>
          <c:showCatName val="0"/>
          <c:showSerName val="0"/>
          <c:showPercent val="0"/>
          <c:showBubbleSize val="0"/>
        </c:dLbls>
        <c:marker val="1"/>
        <c:smooth val="0"/>
        <c:axId val="136924544"/>
        <c:axId val="136930432"/>
      </c:lineChart>
      <c:catAx>
        <c:axId val="136924544"/>
        <c:scaling>
          <c:orientation val="minMax"/>
        </c:scaling>
        <c:delete val="0"/>
        <c:axPos val="b"/>
        <c:majorTickMark val="out"/>
        <c:minorTickMark val="none"/>
        <c:tickLblPos val="nextTo"/>
        <c:crossAx val="136930432"/>
        <c:crosses val="autoZero"/>
        <c:auto val="1"/>
        <c:lblAlgn val="ctr"/>
        <c:lblOffset val="100"/>
        <c:noMultiLvlLbl val="0"/>
      </c:catAx>
      <c:valAx>
        <c:axId val="136930432"/>
        <c:scaling>
          <c:orientation val="minMax"/>
        </c:scaling>
        <c:delete val="0"/>
        <c:axPos val="l"/>
        <c:majorGridlines/>
        <c:numFmt formatCode="#,##0.00" sourceLinked="1"/>
        <c:majorTickMark val="out"/>
        <c:minorTickMark val="none"/>
        <c:tickLblPos val="nextTo"/>
        <c:crossAx val="136924544"/>
        <c:crosses val="autoZero"/>
        <c:crossBetween val="between"/>
      </c:valAx>
      <c:spPr>
        <a:solidFill>
          <a:sysClr val="window" lastClr="FFFFFF">
            <a:lumMod val="85000"/>
          </a:sysClr>
        </a:solidFill>
      </c:spPr>
    </c:plotArea>
    <c:legend>
      <c:legendPos val="b"/>
      <c:overlay val="0"/>
    </c:legend>
    <c:plotVisOnly val="1"/>
    <c:dispBlanksAs val="gap"/>
    <c:showDLblsOverMax val="0"/>
  </c:chart>
  <c:spPr>
    <a:noFill/>
    <a:ln w="28575">
      <a:solidFill>
        <a:schemeClr val="tx1"/>
      </a:solidFill>
    </a:ln>
  </c:spPr>
  <c:txPr>
    <a:bodyPr/>
    <a:lstStyle/>
    <a:p>
      <a:pPr>
        <a:defRPr b="1">
          <a:latin typeface="Times New Roman" pitchFamily="18" charset="0"/>
          <a:cs typeface="Times New Roman" pitchFamily="18" charset="0"/>
        </a:defRPr>
      </a:pPr>
      <a:endParaRPr lang="pl-PL"/>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1.5491284743253265E-2"/>
          <c:w val="0.65667279090113762"/>
          <c:h val="0.984508715256737"/>
        </c:manualLayout>
      </c:layout>
      <c:pie3DChart>
        <c:varyColors val="1"/>
        <c:ser>
          <c:idx val="0"/>
          <c:order val="0"/>
          <c:explosion val="25"/>
          <c:dPt>
            <c:idx val="0"/>
            <c:bubble3D val="0"/>
            <c:spPr>
              <a:solidFill>
                <a:schemeClr val="accent1">
                  <a:lumMod val="60000"/>
                  <a:lumOff val="40000"/>
                </a:schemeClr>
              </a:solidFill>
            </c:spPr>
          </c:dPt>
          <c:dPt>
            <c:idx val="1"/>
            <c:bubble3D val="0"/>
            <c:spPr>
              <a:solidFill>
                <a:srgbClr val="92D050"/>
              </a:solidFill>
            </c:spPr>
          </c:dPt>
          <c:dPt>
            <c:idx val="2"/>
            <c:bubble3D val="0"/>
            <c:spPr>
              <a:solidFill>
                <a:srgbClr val="00B0F0"/>
              </a:solidFill>
            </c:spPr>
          </c:dPt>
          <c:dLbls>
            <c:dLbl>
              <c:idx val="0"/>
              <c:layout>
                <c:manualLayout>
                  <c:x val="-0.14722222222222486"/>
                  <c:y val="-8.5470085470085472E-2"/>
                </c:manualLayout>
              </c:layout>
              <c:dLblPos val="bestFit"/>
              <c:showLegendKey val="0"/>
              <c:showVal val="1"/>
              <c:showCatName val="0"/>
              <c:showSerName val="0"/>
              <c:showPercent val="0"/>
              <c:showBubbleSize val="0"/>
            </c:dLbl>
            <c:dLbl>
              <c:idx val="1"/>
              <c:layout>
                <c:manualLayout>
                  <c:x val="9.4444444444444525E-2"/>
                  <c:y val="4.2735042735042739E-3"/>
                </c:manualLayout>
              </c:layout>
              <c:dLblPos val="bestFit"/>
              <c:showLegendKey val="0"/>
              <c:showVal val="1"/>
              <c:showCatName val="0"/>
              <c:showSerName val="0"/>
              <c:showPercent val="0"/>
              <c:showBubbleSize val="0"/>
            </c:dLbl>
            <c:dLbl>
              <c:idx val="2"/>
              <c:layout>
                <c:manualLayout>
                  <c:x val="4.7222222222222332E-2"/>
                  <c:y val="4.273504273504293E-3"/>
                </c:manualLayout>
              </c:layout>
              <c:dLblPos val="bestFit"/>
              <c:showLegendKey val="0"/>
              <c:showVal val="1"/>
              <c:showCatName val="0"/>
              <c:showSerName val="0"/>
              <c:showPercent val="0"/>
              <c:showBubbleSize val="0"/>
            </c:dLbl>
            <c:txPr>
              <a:bodyPr/>
              <a:lstStyle/>
              <a:p>
                <a:pPr>
                  <a:defRPr sz="1100"/>
                </a:pPr>
                <a:endParaRPr lang="pl-PL"/>
              </a:p>
            </c:txPr>
            <c:dLblPos val="outEnd"/>
            <c:showLegendKey val="0"/>
            <c:showVal val="1"/>
            <c:showCatName val="0"/>
            <c:showSerName val="0"/>
            <c:showPercent val="0"/>
            <c:showBubbleSize val="0"/>
            <c:showLeaderLines val="1"/>
          </c:dLbls>
          <c:cat>
            <c:strRef>
              <c:f>'Priorytet IV'!$B$21:$B$23</c:f>
              <c:strCache>
                <c:ptCount val="3"/>
                <c:pt idx="0">
                  <c:v>JST [103 umowy]</c:v>
                </c:pt>
                <c:pt idx="1">
                  <c:v>kościoły/związki wyznaniowe [16 umów]</c:v>
                </c:pt>
                <c:pt idx="2">
                  <c:v>fundacja/stowarzyszenie [7 umów]</c:v>
                </c:pt>
              </c:strCache>
            </c:strRef>
          </c:cat>
          <c:val>
            <c:numRef>
              <c:f>'Priorytet IV'!$C$21:$C$23</c:f>
              <c:numCache>
                <c:formatCode>0.00%</c:formatCode>
                <c:ptCount val="3"/>
                <c:pt idx="0">
                  <c:v>0.60876198779424551</c:v>
                </c:pt>
                <c:pt idx="1">
                  <c:v>0.31233653007847106</c:v>
                </c:pt>
                <c:pt idx="2">
                  <c:v>7.8901482127288591E-2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7945144356957554"/>
          <c:y val="0.22268153980752406"/>
          <c:w val="0.30388188976378888"/>
          <c:h val="0.58455145029948175"/>
        </c:manualLayout>
      </c:layout>
      <c:overlay val="0"/>
    </c:legend>
    <c:plotVisOnly val="1"/>
    <c:dispBlanksAs val="gap"/>
    <c:showDLblsOverMax val="0"/>
  </c:chart>
  <c:spPr>
    <a:ln w="34925">
      <a:solidFill>
        <a:srgbClr val="9B2D1F">
          <a:lumMod val="60000"/>
          <a:lumOff val="40000"/>
        </a:srgbClr>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rAngAx val="0"/>
      <c:perspective val="30"/>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8703905879860767E-2"/>
          <c:y val="5.0925925925925923E-2"/>
          <c:w val="0.89074115490213968"/>
          <c:h val="0.72108270034104149"/>
        </c:manualLayout>
      </c:layout>
      <c:bar3DChart>
        <c:barDir val="col"/>
        <c:grouping val="standard"/>
        <c:varyColors val="0"/>
        <c:ser>
          <c:idx val="0"/>
          <c:order val="0"/>
          <c:tx>
            <c:v>2011 rok</c:v>
          </c:tx>
          <c:spPr>
            <a:solidFill>
              <a:schemeClr val="accent2">
                <a:lumMod val="60000"/>
                <a:lumOff val="40000"/>
              </a:schemeClr>
            </a:solidFill>
          </c:spPr>
          <c:invertIfNegative val="0"/>
          <c:dPt>
            <c:idx val="0"/>
            <c:invertIfNegative val="0"/>
            <c:bubble3D val="0"/>
            <c:spPr>
              <a:solidFill>
                <a:srgbClr val="92D050"/>
              </a:solidFill>
            </c:spPr>
          </c:dPt>
          <c:dLbls>
            <c:dLbl>
              <c:idx val="0"/>
              <c:layout>
                <c:manualLayout>
                  <c:x val="5.6058925140000174E-3"/>
                  <c:y val="0.1111111111111111"/>
                </c:manualLayout>
              </c:layout>
              <c:showLegendKey val="0"/>
              <c:showVal val="1"/>
              <c:showCatName val="0"/>
              <c:showSerName val="0"/>
              <c:showPercent val="0"/>
              <c:showBubbleSize val="0"/>
            </c:dLbl>
            <c:dLbl>
              <c:idx val="1"/>
              <c:layout>
                <c:manualLayout>
                  <c:x val="7.4760483975379469E-3"/>
                  <c:y val="8.2755792482539267E-2"/>
                </c:manualLayout>
              </c:layout>
              <c:showLegendKey val="0"/>
              <c:showVal val="1"/>
              <c:showCatName val="0"/>
              <c:showSerName val="0"/>
              <c:showPercent val="0"/>
              <c:showBubbleSize val="0"/>
            </c:dLbl>
            <c:dLbl>
              <c:idx val="2"/>
              <c:layout>
                <c:manualLayout>
                  <c:x val="3.7372616760000805E-3"/>
                  <c:y val="4.1666666666666664E-2"/>
                </c:manualLayout>
              </c:layout>
              <c:showLegendKey val="0"/>
              <c:showVal val="1"/>
              <c:showCatName val="0"/>
              <c:showSerName val="0"/>
              <c:showPercent val="0"/>
              <c:showBubbleSize val="0"/>
            </c:dLbl>
            <c:dLbl>
              <c:idx val="3"/>
              <c:layout>
                <c:manualLayout>
                  <c:x val="1.8684603886397761E-3"/>
                  <c:y val="1.9893595891204981E-2"/>
                </c:manualLayout>
              </c:layout>
              <c:showLegendKey val="0"/>
              <c:showVal val="1"/>
              <c:showCatName val="0"/>
              <c:showSerName val="0"/>
              <c:showPercent val="0"/>
              <c:showBubbleSize val="0"/>
            </c:dLbl>
            <c:txPr>
              <a:bodyPr/>
              <a:lstStyle/>
              <a:p>
                <a:pPr>
                  <a:defRPr sz="1100"/>
                </a:pPr>
                <a:endParaRPr lang="pl-PL"/>
              </a:p>
            </c:txPr>
            <c:showLegendKey val="0"/>
            <c:showVal val="1"/>
            <c:showCatName val="0"/>
            <c:showSerName val="0"/>
            <c:showPercent val="0"/>
            <c:showBubbleSize val="0"/>
            <c:showLeaderLines val="0"/>
          </c:dLbls>
          <c:cat>
            <c:strRef>
              <c:f>'Priorytet V'!$A$4:$F$4</c:f>
              <c:strCache>
                <c:ptCount val="6"/>
                <c:pt idx="0">
                  <c:v>Alokacja</c:v>
                </c:pt>
                <c:pt idx="1">
                  <c:v>Wnioski po ocenie formalnej</c:v>
                </c:pt>
                <c:pt idx="2">
                  <c:v>Zatwiedzone wnioski do dofinansowanie</c:v>
                </c:pt>
                <c:pt idx="3">
                  <c:v>Podpisane umowy</c:v>
                </c:pt>
                <c:pt idx="4">
                  <c:v>Płatności</c:v>
                </c:pt>
                <c:pt idx="5">
                  <c:v>Deklaracje zatwierdzone przez IC</c:v>
                </c:pt>
              </c:strCache>
            </c:strRef>
          </c:cat>
          <c:val>
            <c:numRef>
              <c:f>'Priorytet V'!$A$5:$F$5</c:f>
              <c:numCache>
                <c:formatCode>#,##0.00</c:formatCode>
                <c:ptCount val="6"/>
                <c:pt idx="0">
                  <c:v>180.68</c:v>
                </c:pt>
                <c:pt idx="1">
                  <c:v>113.5</c:v>
                </c:pt>
                <c:pt idx="2">
                  <c:v>41.39</c:v>
                </c:pt>
                <c:pt idx="3">
                  <c:v>33.700000000000003</c:v>
                </c:pt>
                <c:pt idx="4">
                  <c:v>31.66</c:v>
                </c:pt>
                <c:pt idx="5">
                  <c:v>29.47</c:v>
                </c:pt>
              </c:numCache>
            </c:numRef>
          </c:val>
        </c:ser>
        <c:ser>
          <c:idx val="1"/>
          <c:order val="1"/>
          <c:tx>
            <c:v>od uruchomienia Programu</c:v>
          </c:tx>
          <c:spPr>
            <a:solidFill>
              <a:schemeClr val="accent6">
                <a:lumMod val="60000"/>
                <a:lumOff val="40000"/>
              </a:schemeClr>
            </a:solidFill>
          </c:spPr>
          <c:invertIfNegative val="0"/>
          <c:dLbls>
            <c:dLbl>
              <c:idx val="1"/>
              <c:layout>
                <c:manualLayout>
                  <c:x val="3.7372616760000805E-3"/>
                  <c:y val="0.16666666666666666"/>
                </c:manualLayout>
              </c:layout>
              <c:showLegendKey val="0"/>
              <c:showVal val="1"/>
              <c:showCatName val="0"/>
              <c:showSerName val="0"/>
              <c:showPercent val="0"/>
              <c:showBubbleSize val="0"/>
            </c:dLbl>
            <c:dLbl>
              <c:idx val="2"/>
              <c:layout>
                <c:manualLayout>
                  <c:x val="9.3431541900000567E-3"/>
                  <c:y val="7.8703703703703734E-2"/>
                </c:manualLayout>
              </c:layout>
              <c:showLegendKey val="0"/>
              <c:showVal val="1"/>
              <c:showCatName val="0"/>
              <c:showSerName val="0"/>
              <c:showPercent val="0"/>
              <c:showBubbleSize val="0"/>
            </c:dLbl>
            <c:dLbl>
              <c:idx val="3"/>
              <c:layout>
                <c:manualLayout>
                  <c:x val="1.8684603886397761E-3"/>
                  <c:y val="6.3659506851855688E-2"/>
                </c:manualLayout>
              </c:layout>
              <c:showLegendKey val="0"/>
              <c:showVal val="1"/>
              <c:showCatName val="0"/>
              <c:showSerName val="0"/>
              <c:showPercent val="0"/>
              <c:showBubbleSize val="0"/>
            </c:dLbl>
            <c:txPr>
              <a:bodyPr/>
              <a:lstStyle/>
              <a:p>
                <a:pPr>
                  <a:defRPr sz="1100"/>
                </a:pPr>
                <a:endParaRPr lang="pl-PL"/>
              </a:p>
            </c:txPr>
            <c:showLegendKey val="0"/>
            <c:showVal val="1"/>
            <c:showCatName val="0"/>
            <c:showSerName val="0"/>
            <c:showPercent val="0"/>
            <c:showBubbleSize val="0"/>
            <c:showLeaderLines val="0"/>
          </c:dLbls>
          <c:cat>
            <c:strRef>
              <c:f>'Priorytet V'!$A$4:$F$4</c:f>
              <c:strCache>
                <c:ptCount val="6"/>
                <c:pt idx="0">
                  <c:v>Alokacja</c:v>
                </c:pt>
                <c:pt idx="1">
                  <c:v>Wnioski po ocenie formalnej</c:v>
                </c:pt>
                <c:pt idx="2">
                  <c:v>Zatwiedzone wnioski do dofinansowanie</c:v>
                </c:pt>
                <c:pt idx="3">
                  <c:v>Podpisane umowy</c:v>
                </c:pt>
                <c:pt idx="4">
                  <c:v>Płatności</c:v>
                </c:pt>
                <c:pt idx="5">
                  <c:v>Deklaracje zatwierdzone przez IC</c:v>
                </c:pt>
              </c:strCache>
            </c:strRef>
          </c:cat>
          <c:val>
            <c:numRef>
              <c:f>'Priorytet V'!$A$6:$F$6</c:f>
              <c:numCache>
                <c:formatCode>#,##0.00</c:formatCode>
                <c:ptCount val="6"/>
                <c:pt idx="1">
                  <c:v>490.90999999999963</c:v>
                </c:pt>
                <c:pt idx="2">
                  <c:v>182.26999999999998</c:v>
                </c:pt>
                <c:pt idx="3">
                  <c:v>134.02000000000001</c:v>
                </c:pt>
                <c:pt idx="4">
                  <c:v>54.87</c:v>
                </c:pt>
                <c:pt idx="5">
                  <c:v>48.89</c:v>
                </c:pt>
              </c:numCache>
            </c:numRef>
          </c:val>
        </c:ser>
        <c:dLbls>
          <c:showLegendKey val="0"/>
          <c:showVal val="0"/>
          <c:showCatName val="0"/>
          <c:showSerName val="0"/>
          <c:showPercent val="0"/>
          <c:showBubbleSize val="0"/>
        </c:dLbls>
        <c:gapWidth val="48"/>
        <c:gapDepth val="111"/>
        <c:shape val="box"/>
        <c:axId val="137363840"/>
        <c:axId val="137365376"/>
        <c:axId val="140877312"/>
      </c:bar3DChart>
      <c:catAx>
        <c:axId val="137363840"/>
        <c:scaling>
          <c:orientation val="minMax"/>
        </c:scaling>
        <c:delete val="0"/>
        <c:axPos val="b"/>
        <c:majorTickMark val="out"/>
        <c:minorTickMark val="none"/>
        <c:tickLblPos val="nextTo"/>
        <c:crossAx val="137365376"/>
        <c:crosses val="autoZero"/>
        <c:auto val="1"/>
        <c:lblAlgn val="ctr"/>
        <c:lblOffset val="100"/>
        <c:noMultiLvlLbl val="0"/>
      </c:catAx>
      <c:valAx>
        <c:axId val="137365376"/>
        <c:scaling>
          <c:orientation val="minMax"/>
        </c:scaling>
        <c:delete val="0"/>
        <c:axPos val="l"/>
        <c:majorGridlines/>
        <c:numFmt formatCode="#,##0.00" sourceLinked="1"/>
        <c:majorTickMark val="out"/>
        <c:minorTickMark val="none"/>
        <c:tickLblPos val="nextTo"/>
        <c:crossAx val="137363840"/>
        <c:crosses val="autoZero"/>
        <c:crossBetween val="between"/>
      </c:valAx>
      <c:serAx>
        <c:axId val="140877312"/>
        <c:scaling>
          <c:orientation val="minMax"/>
        </c:scaling>
        <c:delete val="1"/>
        <c:axPos val="b"/>
        <c:majorTickMark val="out"/>
        <c:minorTickMark val="none"/>
        <c:tickLblPos val="none"/>
        <c:crossAx val="137365376"/>
        <c:crosses val="autoZero"/>
      </c:serAx>
    </c:plotArea>
    <c:legend>
      <c:legendPos val="b"/>
      <c:overlay val="0"/>
    </c:legend>
    <c:plotVisOnly val="1"/>
    <c:dispBlanksAs val="gap"/>
    <c:showDLblsOverMax val="0"/>
  </c:chart>
  <c:spPr>
    <a:ln w="34925">
      <a:solidFill>
        <a:schemeClr val="accent1"/>
      </a:solidFill>
    </a:ln>
  </c:spPr>
  <c:txPr>
    <a:bodyPr/>
    <a:lstStyle/>
    <a:p>
      <a:pPr>
        <a:defRPr b="1">
          <a:latin typeface="Times New Roman" pitchFamily="18" charset="0"/>
          <a:cs typeface="Times New Roman" pitchFamily="18" charset="0"/>
        </a:defRPr>
      </a:pPr>
      <a:endParaRPr lang="pl-PL"/>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913908369034312E-2"/>
          <c:y val="0.13535179002989928"/>
          <c:w val="0.97908609163096549"/>
          <c:h val="0.51726469348749893"/>
        </c:manualLayout>
      </c:layout>
      <c:pie3DChart>
        <c:varyColors val="1"/>
        <c:ser>
          <c:idx val="0"/>
          <c:order val="0"/>
          <c:explosion val="25"/>
          <c:dPt>
            <c:idx val="0"/>
            <c:bubble3D val="0"/>
            <c:explosion val="39"/>
            <c:spPr>
              <a:solidFill>
                <a:srgbClr val="92D050"/>
              </a:solidFill>
            </c:spPr>
          </c:dPt>
          <c:dPt>
            <c:idx val="1"/>
            <c:bubble3D val="0"/>
            <c:spPr>
              <a:solidFill>
                <a:srgbClr val="FFC000"/>
              </a:solidFill>
            </c:spPr>
          </c:dPt>
          <c:dPt>
            <c:idx val="2"/>
            <c:bubble3D val="0"/>
            <c:spPr>
              <a:solidFill>
                <a:srgbClr val="00B0F0"/>
              </a:solidFill>
            </c:spPr>
          </c:dPt>
          <c:dPt>
            <c:idx val="3"/>
            <c:bubble3D val="0"/>
            <c:spPr>
              <a:solidFill>
                <a:schemeClr val="accent2">
                  <a:lumMod val="60000"/>
                  <a:lumOff val="40000"/>
                </a:schemeClr>
              </a:solidFill>
            </c:spPr>
          </c:dPt>
          <c:dPt>
            <c:idx val="4"/>
            <c:bubble3D val="0"/>
            <c:spPr>
              <a:solidFill>
                <a:srgbClr val="FFFF00"/>
              </a:solidFill>
            </c:spPr>
          </c:dPt>
          <c:dLbls>
            <c:dLbl>
              <c:idx val="2"/>
              <c:tx>
                <c:rich>
                  <a:bodyPr/>
                  <a:lstStyle/>
                  <a:p>
                    <a:r>
                      <a:rPr lang="en-US"/>
                      <a:t>1,</a:t>
                    </a:r>
                    <a:r>
                      <a:rPr lang="pl-PL"/>
                      <a:t>01</a:t>
                    </a:r>
                    <a:r>
                      <a:rPr lang="en-US"/>
                      <a:t>%</a:t>
                    </a:r>
                  </a:p>
                </c:rich>
              </c:tx>
              <c:dLblPos val="bestFit"/>
              <c:showLegendKey val="0"/>
              <c:showVal val="1"/>
              <c:showCatName val="0"/>
              <c:showSerName val="0"/>
              <c:showPercent val="0"/>
              <c:showBubbleSize val="0"/>
            </c:dLbl>
            <c:dLbl>
              <c:idx val="3"/>
              <c:layout>
                <c:manualLayout>
                  <c:x val="3.2916637105356542E-2"/>
                  <c:y val="-1.7140263514107752E-2"/>
                </c:manualLayout>
              </c:layout>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'Priorytet V'!$C$31:$C$35</c:f>
              <c:strCache>
                <c:ptCount val="5"/>
                <c:pt idx="0">
                  <c:v>JST [132 umowy]</c:v>
                </c:pt>
                <c:pt idx="1">
                  <c:v>uczelnia wyższa [2 umowy]</c:v>
                </c:pt>
                <c:pt idx="2">
                  <c:v>fundacja/stowarzyszenie [3 umowy]</c:v>
                </c:pt>
                <c:pt idx="3">
                  <c:v>podmioty działające na zlecenie JST lub w których większość udziałów posiadają JST [11 umów]</c:v>
                </c:pt>
                <c:pt idx="4">
                  <c:v>publiczny/niepubliczny zakład opieki zdrowotnej [7 umów]</c:v>
                </c:pt>
              </c:strCache>
            </c:strRef>
          </c:cat>
          <c:val>
            <c:numRef>
              <c:f>'Priorytet V'!$D$31:$D$35</c:f>
              <c:numCache>
                <c:formatCode>0.00%</c:formatCode>
                <c:ptCount val="5"/>
                <c:pt idx="0">
                  <c:v>0.87109813608804776</c:v>
                </c:pt>
                <c:pt idx="1">
                  <c:v>1.8788831499364181E-2</c:v>
                </c:pt>
                <c:pt idx="2">
                  <c:v>1.2500935698779863E-2</c:v>
                </c:pt>
                <c:pt idx="3" formatCode="0%">
                  <c:v>6.8193727075379879E-2</c:v>
                </c:pt>
                <c:pt idx="4" formatCode="0%">
                  <c:v>2.941836963844599E-2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3.6022033409110983E-4"/>
          <c:y val="0.42511725556000418"/>
          <c:w val="0.80656718792547044"/>
          <c:h val="0.54642227750279204"/>
        </c:manualLayout>
      </c:layout>
      <c:overlay val="0"/>
    </c:legend>
    <c:plotVisOnly val="1"/>
    <c:dispBlanksAs val="gap"/>
    <c:showDLblsOverMax val="0"/>
  </c:chart>
  <c:spPr>
    <a:ln w="34925">
      <a:solidFill>
        <a:srgbClr val="D34817"/>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solidFill>
          <a:sysClr val="window" lastClr="FFFFFF">
            <a:lumMod val="85000"/>
          </a:sysClr>
        </a:solidFill>
      </c:spPr>
    </c:sideWall>
    <c:backWall>
      <c:thickness val="0"/>
      <c:spPr>
        <a:solidFill>
          <a:sysClr val="window" lastClr="FFFFFF">
            <a:lumMod val="85000"/>
          </a:sysClr>
        </a:solidFill>
      </c:spPr>
    </c:backWall>
    <c:plotArea>
      <c:layout>
        <c:manualLayout>
          <c:layoutTarget val="inner"/>
          <c:xMode val="edge"/>
          <c:yMode val="edge"/>
          <c:x val="8.0836885466495548E-2"/>
          <c:y val="4.8192771084338497E-2"/>
          <c:w val="0.91126783903161457"/>
          <c:h val="0.64484267779781534"/>
        </c:manualLayout>
      </c:layout>
      <c:bar3DChart>
        <c:barDir val="col"/>
        <c:grouping val="standard"/>
        <c:varyColors val="0"/>
        <c:ser>
          <c:idx val="0"/>
          <c:order val="0"/>
          <c:tx>
            <c:strRef>
              <c:f>'realizacja priorytetu'!$A$3</c:f>
              <c:strCache>
                <c:ptCount val="1"/>
                <c:pt idx="0">
                  <c:v>2011r.</c:v>
                </c:pt>
              </c:strCache>
            </c:strRef>
          </c:tx>
          <c:spPr>
            <a:solidFill>
              <a:schemeClr val="accent2">
                <a:lumMod val="60000"/>
                <a:lumOff val="40000"/>
              </a:schemeClr>
            </a:solidFill>
          </c:spPr>
          <c:invertIfNegative val="0"/>
          <c:dLbls>
            <c:dLbl>
              <c:idx val="1"/>
              <c:layout>
                <c:manualLayout>
                  <c:x val="8.4566596194505916E-3"/>
                  <c:y val="1.2048192771084338E-2"/>
                </c:manualLayout>
              </c:layout>
              <c:showLegendKey val="0"/>
              <c:showVal val="1"/>
              <c:showCatName val="0"/>
              <c:showSerName val="0"/>
              <c:showPercent val="0"/>
              <c:showBubbleSize val="0"/>
            </c:dLbl>
            <c:dLbl>
              <c:idx val="2"/>
              <c:layout>
                <c:manualLayout>
                  <c:x val="7.0472163495419824E-3"/>
                  <c:y val="2.0080321285140586E-2"/>
                </c:manualLayout>
              </c:layout>
              <c:showLegendKey val="0"/>
              <c:showVal val="1"/>
              <c:showCatName val="0"/>
              <c:showSerName val="0"/>
              <c:showPercent val="0"/>
              <c:showBubbleSize val="0"/>
            </c:dLbl>
            <c:dLbl>
              <c:idx val="3"/>
              <c:layout>
                <c:manualLayout>
                  <c:x val="7.0472163495419312E-3"/>
                  <c:y val="8.0321285140562242E-3"/>
                </c:manualLayout>
              </c:layout>
              <c:showLegendKey val="0"/>
              <c:showVal val="1"/>
              <c:showCatName val="0"/>
              <c:showSerName val="0"/>
              <c:showPercent val="0"/>
              <c:showBubbleSize val="0"/>
            </c:dLbl>
            <c:dLbl>
              <c:idx val="4"/>
              <c:layout>
                <c:manualLayout>
                  <c:x val="9.8661028893589804E-3"/>
                  <c:y val="4.0160642570280375E-3"/>
                </c:manualLayout>
              </c:layout>
              <c:showLegendKey val="0"/>
              <c:showVal val="1"/>
              <c:showCatName val="0"/>
              <c:showSerName val="0"/>
              <c:showPercent val="0"/>
              <c:showBubbleSize val="0"/>
            </c:dLbl>
            <c:dLbl>
              <c:idx val="5"/>
              <c:layout>
                <c:manualLayout>
                  <c:x val="8.4566596194505274E-3"/>
                  <c:y val="1.2048192771084338E-2"/>
                </c:manualLayout>
              </c:layout>
              <c:showLegendKey val="0"/>
              <c:showVal val="1"/>
              <c:showCatName val="0"/>
              <c:showSerName val="0"/>
              <c:showPercent val="0"/>
              <c:showBubbleSize val="0"/>
            </c:dLbl>
            <c:txPr>
              <a:bodyPr/>
              <a:lstStyle/>
              <a:p>
                <a:pPr>
                  <a:defRPr sz="1100"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Płatności</c:v>
                </c:pt>
                <c:pt idx="5">
                  <c:v>Deklaracje zatwierdzone przez IC</c:v>
                </c:pt>
              </c:strCache>
            </c:strRef>
          </c:cat>
          <c:val>
            <c:numRef>
              <c:f>'realizacja priorytetu'!$B$3:$G$3</c:f>
              <c:numCache>
                <c:formatCode>#,##0.00</c:formatCode>
                <c:ptCount val="6"/>
                <c:pt idx="1">
                  <c:v>67.900000000000006</c:v>
                </c:pt>
                <c:pt idx="2">
                  <c:v>65.260000000000005</c:v>
                </c:pt>
                <c:pt idx="3">
                  <c:v>47.63</c:v>
                </c:pt>
                <c:pt idx="4">
                  <c:v>22.939999999999987</c:v>
                </c:pt>
                <c:pt idx="5">
                  <c:v>18.77</c:v>
                </c:pt>
              </c:numCache>
            </c:numRef>
          </c:val>
        </c:ser>
        <c:ser>
          <c:idx val="1"/>
          <c:order val="1"/>
          <c:tx>
            <c:strRef>
              <c:f>'realizacja priorytetu'!$A$4</c:f>
              <c:strCache>
                <c:ptCount val="1"/>
                <c:pt idx="0">
                  <c:v>od uruchomienia Programu</c:v>
                </c:pt>
              </c:strCache>
            </c:strRef>
          </c:tx>
          <c:spPr>
            <a:solidFill>
              <a:schemeClr val="accent6">
                <a:lumMod val="60000"/>
                <a:lumOff val="40000"/>
              </a:schemeClr>
            </a:solidFill>
          </c:spPr>
          <c:invertIfNegative val="0"/>
          <c:dPt>
            <c:idx val="0"/>
            <c:invertIfNegative val="0"/>
            <c:bubble3D val="0"/>
            <c:spPr>
              <a:solidFill>
                <a:srgbClr val="92D050"/>
              </a:solidFill>
            </c:spPr>
          </c:dPt>
          <c:dLbls>
            <c:dLbl>
              <c:idx val="0"/>
              <c:layout>
                <c:manualLayout>
                  <c:x val="5.6377730796335493E-3"/>
                  <c:y val="0.15662650602409639"/>
                </c:manualLayout>
              </c:layout>
              <c:showLegendKey val="0"/>
              <c:showVal val="1"/>
              <c:showCatName val="0"/>
              <c:showSerName val="0"/>
              <c:showPercent val="0"/>
              <c:showBubbleSize val="0"/>
            </c:dLbl>
            <c:dLbl>
              <c:idx val="1"/>
              <c:layout>
                <c:manualLayout>
                  <c:x val="1.7083058166116341E-2"/>
                  <c:y val="-3.614457831325301E-2"/>
                </c:manualLayout>
              </c:layout>
              <c:showLegendKey val="0"/>
              <c:showVal val="1"/>
              <c:showCatName val="0"/>
              <c:showSerName val="0"/>
              <c:showPercent val="0"/>
              <c:showBubbleSize val="0"/>
            </c:dLbl>
            <c:dLbl>
              <c:idx val="2"/>
              <c:layout>
                <c:manualLayout>
                  <c:x val="1.985346992916243E-2"/>
                  <c:y val="-4.0160642570281097E-2"/>
                </c:manualLayout>
              </c:layout>
              <c:showLegendKey val="0"/>
              <c:showVal val="1"/>
              <c:showCatName val="0"/>
              <c:showSerName val="0"/>
              <c:showPercent val="0"/>
              <c:showBubbleSize val="0"/>
            </c:dLbl>
            <c:dLbl>
              <c:idx val="3"/>
              <c:layout>
                <c:manualLayout>
                  <c:x val="1.7058787006462902E-2"/>
                  <c:y val="-3.614457831325301E-2"/>
                </c:manualLayout>
              </c:layout>
              <c:showLegendKey val="0"/>
              <c:showVal val="1"/>
              <c:showCatName val="0"/>
              <c:showSerName val="0"/>
              <c:showPercent val="0"/>
              <c:showBubbleSize val="0"/>
            </c:dLbl>
            <c:dLbl>
              <c:idx val="4"/>
              <c:layout>
                <c:manualLayout>
                  <c:x val="1.5503852341038377E-2"/>
                  <c:y val="-3.614457831325301E-2"/>
                </c:manualLayout>
              </c:layout>
              <c:showLegendKey val="0"/>
              <c:showVal val="1"/>
              <c:showCatName val="0"/>
              <c:showSerName val="0"/>
              <c:showPercent val="0"/>
              <c:showBubbleSize val="0"/>
            </c:dLbl>
            <c:dLbl>
              <c:idx val="5"/>
              <c:layout>
                <c:manualLayout>
                  <c:x val="1.7058674117348339E-2"/>
                  <c:y val="-3.2128514056224897E-2"/>
                </c:manualLayout>
              </c:layout>
              <c:showLegendKey val="0"/>
              <c:showVal val="1"/>
              <c:showCatName val="0"/>
              <c:showSerName val="0"/>
              <c:showPercent val="0"/>
              <c:showBubbleSize val="0"/>
            </c:dLbl>
            <c:txPr>
              <a:bodyPr/>
              <a:lstStyle/>
              <a:p>
                <a:pPr>
                  <a:defRPr sz="1000"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Płatności</c:v>
                </c:pt>
                <c:pt idx="5">
                  <c:v>Deklaracje zatwierdzone przez IC</c:v>
                </c:pt>
              </c:strCache>
            </c:strRef>
          </c:cat>
          <c:val>
            <c:numRef>
              <c:f>'realizacja priorytetu'!$B$4:$G$4</c:f>
              <c:numCache>
                <c:formatCode>#,##0.00</c:formatCode>
                <c:ptCount val="6"/>
                <c:pt idx="0">
                  <c:v>312.8</c:v>
                </c:pt>
                <c:pt idx="1">
                  <c:v>351.2</c:v>
                </c:pt>
                <c:pt idx="2">
                  <c:v>235.12</c:v>
                </c:pt>
                <c:pt idx="3">
                  <c:v>262.33</c:v>
                </c:pt>
                <c:pt idx="4">
                  <c:v>101.84</c:v>
                </c:pt>
                <c:pt idx="5">
                  <c:v>85.36999999999999</c:v>
                </c:pt>
              </c:numCache>
            </c:numRef>
          </c:val>
        </c:ser>
        <c:dLbls>
          <c:showLegendKey val="0"/>
          <c:showVal val="0"/>
          <c:showCatName val="0"/>
          <c:showSerName val="0"/>
          <c:showPercent val="0"/>
          <c:showBubbleSize val="0"/>
        </c:dLbls>
        <c:gapWidth val="76"/>
        <c:gapDepth val="62"/>
        <c:shape val="box"/>
        <c:axId val="152658304"/>
        <c:axId val="152659840"/>
        <c:axId val="152700672"/>
      </c:bar3DChart>
      <c:catAx>
        <c:axId val="152658304"/>
        <c:scaling>
          <c:orientation val="minMax"/>
        </c:scaling>
        <c:delete val="0"/>
        <c:axPos val="b"/>
        <c:numFmt formatCode="General" sourceLinked="1"/>
        <c:majorTickMark val="none"/>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pl-PL"/>
          </a:p>
        </c:txPr>
        <c:crossAx val="152659840"/>
        <c:crosses val="autoZero"/>
        <c:auto val="1"/>
        <c:lblAlgn val="ctr"/>
        <c:lblOffset val="100"/>
        <c:noMultiLvlLbl val="0"/>
      </c:catAx>
      <c:valAx>
        <c:axId val="152659840"/>
        <c:scaling>
          <c:orientation val="minMax"/>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pl-PL"/>
                  <a:t>mln EUR </a:t>
                </a:r>
              </a:p>
            </c:rich>
          </c:tx>
          <c:layout>
            <c:manualLayout>
              <c:xMode val="edge"/>
              <c:yMode val="edge"/>
              <c:x val="1.4759513065688941E-2"/>
              <c:y val="5.9701069723328434E-2"/>
            </c:manualLayout>
          </c:layout>
          <c:overlay val="0"/>
        </c:title>
        <c:numFmt formatCode="#,##0.00"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pl-PL"/>
          </a:p>
        </c:txPr>
        <c:crossAx val="152658304"/>
        <c:crosses val="autoZero"/>
        <c:crossBetween val="between"/>
      </c:valAx>
      <c:serAx>
        <c:axId val="152700672"/>
        <c:scaling>
          <c:orientation val="minMax"/>
        </c:scaling>
        <c:delete val="1"/>
        <c:axPos val="b"/>
        <c:majorTickMark val="out"/>
        <c:minorTickMark val="none"/>
        <c:tickLblPos val="none"/>
        <c:crossAx val="152659840"/>
        <c:crosses val="autoZero"/>
      </c:serAx>
      <c:spPr>
        <a:noFill/>
      </c:spPr>
    </c:plotArea>
    <c:legend>
      <c:legendPos val="b"/>
      <c:overlay val="0"/>
      <c:txPr>
        <a:bodyPr/>
        <a:lstStyle/>
        <a:p>
          <a:pPr>
            <a:defRPr sz="675" b="1"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ln w="34925">
      <a:solidFill>
        <a:srgbClr val="D34817"/>
      </a:solid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0709456328565323E-2"/>
          <c:y val="0.11015336824974276"/>
          <c:w val="0.58592058088287857"/>
          <c:h val="0.75558718379443757"/>
        </c:manualLayout>
      </c:layout>
      <c:pie3DChart>
        <c:varyColors val="1"/>
        <c:ser>
          <c:idx val="0"/>
          <c:order val="0"/>
          <c:tx>
            <c:strRef>
              <c:f>'rozkład projektów'!$A$2</c:f>
              <c:strCache>
                <c:ptCount val="1"/>
                <c:pt idx="0">
                  <c:v>mln EUR</c:v>
                </c:pt>
              </c:strCache>
            </c:strRef>
          </c:tx>
          <c:explosion val="25"/>
          <c:dPt>
            <c:idx val="0"/>
            <c:bubble3D val="0"/>
            <c:spPr>
              <a:solidFill>
                <a:srgbClr val="92D050"/>
              </a:solidFill>
            </c:spPr>
          </c:dPt>
          <c:dPt>
            <c:idx val="1"/>
            <c:bubble3D val="0"/>
            <c:spPr>
              <a:solidFill>
                <a:schemeClr val="bg1">
                  <a:lumMod val="75000"/>
                </a:schemeClr>
              </a:solidFill>
            </c:spPr>
          </c:dPt>
          <c:dPt>
            <c:idx val="2"/>
            <c:bubble3D val="0"/>
            <c:spPr>
              <a:solidFill>
                <a:srgbClr val="FFFF00"/>
              </a:solidFill>
            </c:spPr>
          </c:dPt>
          <c:dPt>
            <c:idx val="3"/>
            <c:bubble3D val="0"/>
            <c:spPr>
              <a:solidFill>
                <a:srgbClr val="00B0F0"/>
              </a:solidFill>
            </c:spPr>
          </c:dPt>
          <c:dPt>
            <c:idx val="4"/>
            <c:bubble3D val="0"/>
            <c:spPr>
              <a:solidFill>
                <a:srgbClr val="7030A0"/>
              </a:solidFill>
            </c:spPr>
          </c:dPt>
          <c:dPt>
            <c:idx val="5"/>
            <c:bubble3D val="0"/>
            <c:spPr>
              <a:solidFill>
                <a:srgbClr val="FFC000"/>
              </a:solidFill>
            </c:spPr>
          </c:dPt>
          <c:dPt>
            <c:idx val="6"/>
            <c:bubble3D val="0"/>
            <c:spPr>
              <a:solidFill>
                <a:schemeClr val="tx1">
                  <a:lumMod val="85000"/>
                  <a:lumOff val="15000"/>
                </a:schemeClr>
              </a:solidFill>
            </c:spPr>
          </c:dPt>
          <c:dPt>
            <c:idx val="7"/>
            <c:bubble3D val="0"/>
            <c:spPr>
              <a:solidFill>
                <a:schemeClr val="accent2">
                  <a:lumMod val="60000"/>
                  <a:lumOff val="40000"/>
                </a:schemeClr>
              </a:solidFill>
            </c:spPr>
          </c:dPt>
          <c:dLbls>
            <c:dLbl>
              <c:idx val="0"/>
              <c:layout>
                <c:manualLayout>
                  <c:x val="-0.12775861840799321"/>
                  <c:y val="-7.8508675998833904E-2"/>
                </c:manualLayout>
              </c:layout>
              <c:dLblPos val="bestFit"/>
              <c:showLegendKey val="0"/>
              <c:showVal val="1"/>
              <c:showCatName val="0"/>
              <c:showSerName val="0"/>
              <c:showPercent val="0"/>
              <c:showBubbleSize val="0"/>
            </c:dLbl>
            <c:dLbl>
              <c:idx val="1"/>
              <c:layout>
                <c:manualLayout>
                  <c:x val="4.0643684245351724E-2"/>
                  <c:y val="-0.21536125692621771"/>
                </c:manualLayout>
              </c:layout>
              <c:dLblPos val="bestFit"/>
              <c:showLegendKey val="0"/>
              <c:showVal val="1"/>
              <c:showCatName val="0"/>
              <c:showSerName val="0"/>
              <c:showPercent val="0"/>
              <c:showBubbleSize val="0"/>
            </c:dLbl>
            <c:dLbl>
              <c:idx val="6"/>
              <c:layout>
                <c:manualLayout>
                  <c:x val="1.7274046626524618E-2"/>
                  <c:y val="-0.18603127734033512"/>
                </c:manualLayout>
              </c:layout>
              <c:dLblPos val="bestFit"/>
              <c:showLegendKey val="0"/>
              <c:showVal val="1"/>
              <c:showCatName val="0"/>
              <c:showSerName val="0"/>
              <c:showPercent val="0"/>
              <c:showBubbleSize val="0"/>
            </c:dLbl>
            <c:dLbl>
              <c:idx val="7"/>
              <c:layout>
                <c:manualLayout>
                  <c:x val="7.8483248417477225E-2"/>
                  <c:y val="8.092155147273257E-2"/>
                </c:manualLayout>
              </c:layout>
              <c:dLblPos val="bestFit"/>
              <c:showLegendKey val="0"/>
              <c:showVal val="1"/>
              <c:showCatName val="0"/>
              <c:showSerName val="0"/>
              <c:showPercent val="0"/>
              <c:showBubbleSize val="0"/>
            </c:dLbl>
            <c:txPr>
              <a:bodyPr/>
              <a:lstStyle/>
              <a:p>
                <a:pPr>
                  <a:defRPr sz="1000"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1"/>
          </c:dLbls>
          <c:cat>
            <c:strRef>
              <c:f>'rozkład projektów'!$B$1:$I$1</c:f>
              <c:strCache>
                <c:ptCount val="8"/>
                <c:pt idx="0">
                  <c:v>JST [50 umów]</c:v>
                </c:pt>
                <c:pt idx="1">
                  <c:v>uczelnie wyższe [2 umowy]</c:v>
                </c:pt>
                <c:pt idx="2">
                  <c:v>jednostki organizacyjne JST [3 umowy]</c:v>
                </c:pt>
                <c:pt idx="3">
                  <c:v>spółdzielnie mieszkaniowe [13 umów]</c:v>
                </c:pt>
                <c:pt idx="4">
                  <c:v>publiczne zakłady opieki zdrowotnej [1 umowa]</c:v>
                </c:pt>
                <c:pt idx="5">
                  <c:v>kościoły [1 umowa]</c:v>
                </c:pt>
                <c:pt idx="6">
                  <c:v>fundacje [1 umowa]</c:v>
                </c:pt>
                <c:pt idx="7">
                  <c:v>inne [1 umowa]</c:v>
                </c:pt>
              </c:strCache>
            </c:strRef>
          </c:cat>
          <c:val>
            <c:numRef>
              <c:f>'rozkład projektów'!$B$2:$I$2</c:f>
              <c:numCache>
                <c:formatCode>0%</c:formatCode>
                <c:ptCount val="8"/>
                <c:pt idx="0">
                  <c:v>0.52</c:v>
                </c:pt>
                <c:pt idx="1">
                  <c:v>5.3000000000000012E-2</c:v>
                </c:pt>
                <c:pt idx="2">
                  <c:v>0.19700000000000001</c:v>
                </c:pt>
                <c:pt idx="3">
                  <c:v>2.3E-2</c:v>
                </c:pt>
                <c:pt idx="4" formatCode="0.00%">
                  <c:v>1.4000000000000041E-3</c:v>
                </c:pt>
                <c:pt idx="5" formatCode="0.00%">
                  <c:v>9.0000000000000028E-3</c:v>
                </c:pt>
                <c:pt idx="6" formatCode="0.00%">
                  <c:v>9.0000000000000028E-3</c:v>
                </c:pt>
                <c:pt idx="7">
                  <c:v>0.18000000000000024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347317761750505"/>
          <c:y val="0.12862860892388023"/>
          <c:w val="0.35182284567370925"/>
          <c:h val="0.84829833770778662"/>
        </c:manualLayout>
      </c:layout>
      <c:overlay val="0"/>
      <c:txPr>
        <a:bodyPr/>
        <a:lstStyle/>
        <a:p>
          <a:pPr>
            <a:defRPr sz="845" b="1" i="0" u="none" strike="noStrike" baseline="0">
              <a:solidFill>
                <a:srgbClr val="000000"/>
              </a:solidFill>
              <a:latin typeface="Times New Roman"/>
              <a:ea typeface="Times New Roman"/>
              <a:cs typeface="Times New Roman"/>
            </a:defRPr>
          </a:pPr>
          <a:endParaRPr lang="pl-PL"/>
        </a:p>
      </c:txPr>
    </c:legend>
    <c:plotVisOnly val="1"/>
    <c:dispBlanksAs val="zero"/>
    <c:showDLblsOverMax val="0"/>
  </c:chart>
  <c:spPr>
    <a:noFill/>
    <a:ln w="34925">
      <a:solidFill>
        <a:srgbClr val="D34817"/>
      </a:solid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solidFill>
          <a:schemeClr val="bg1">
            <a:lumMod val="75000"/>
          </a:schemeClr>
        </a:solidFill>
      </c:spPr>
    </c:sideWall>
    <c:backWall>
      <c:thickness val="0"/>
      <c:spPr>
        <a:solidFill>
          <a:schemeClr val="bg1">
            <a:lumMod val="75000"/>
          </a:schemeClr>
        </a:solidFill>
      </c:spPr>
    </c:backWall>
    <c:plotArea>
      <c:layout>
        <c:manualLayout>
          <c:layoutTarget val="inner"/>
          <c:xMode val="edge"/>
          <c:yMode val="edge"/>
          <c:x val="0.10321717487080102"/>
          <c:y val="4.8192771084338511E-2"/>
          <c:w val="0.83499651877948566"/>
          <c:h val="0.64484267779781546"/>
        </c:manualLayout>
      </c:layout>
      <c:bar3DChart>
        <c:barDir val="col"/>
        <c:grouping val="standard"/>
        <c:varyColors val="0"/>
        <c:ser>
          <c:idx val="0"/>
          <c:order val="0"/>
          <c:tx>
            <c:strRef>
              <c:f>'realizacja priorytetu'!$A$3</c:f>
              <c:strCache>
                <c:ptCount val="1"/>
                <c:pt idx="0">
                  <c:v>2011r.</c:v>
                </c:pt>
              </c:strCache>
            </c:strRef>
          </c:tx>
          <c:spPr>
            <a:solidFill>
              <a:schemeClr val="accent2">
                <a:lumMod val="60000"/>
                <a:lumOff val="40000"/>
              </a:schemeClr>
            </a:solidFill>
          </c:spPr>
          <c:invertIfNegative val="0"/>
          <c:dLbls>
            <c:dLbl>
              <c:idx val="1"/>
              <c:layout>
                <c:manualLayout>
                  <c:x val="8.456659619450595E-3"/>
                  <c:y val="1.2048192771084338E-2"/>
                </c:manualLayout>
              </c:layout>
              <c:showLegendKey val="0"/>
              <c:showVal val="1"/>
              <c:showCatName val="0"/>
              <c:showSerName val="0"/>
              <c:showPercent val="0"/>
              <c:showBubbleSize val="0"/>
            </c:dLbl>
            <c:dLbl>
              <c:idx val="2"/>
              <c:layout>
                <c:manualLayout>
                  <c:x val="7.0472163495419824E-3"/>
                  <c:y val="2.0080321285140586E-2"/>
                </c:manualLayout>
              </c:layout>
              <c:showLegendKey val="0"/>
              <c:showVal val="1"/>
              <c:showCatName val="0"/>
              <c:showSerName val="0"/>
              <c:showPercent val="0"/>
              <c:showBubbleSize val="0"/>
            </c:dLbl>
            <c:dLbl>
              <c:idx val="3"/>
              <c:layout>
                <c:manualLayout>
                  <c:x val="7.0472163495419321E-3"/>
                  <c:y val="8.0321285140562276E-3"/>
                </c:manualLayout>
              </c:layout>
              <c:showLegendKey val="0"/>
              <c:showVal val="1"/>
              <c:showCatName val="0"/>
              <c:showSerName val="0"/>
              <c:showPercent val="0"/>
              <c:showBubbleSize val="0"/>
            </c:dLbl>
            <c:dLbl>
              <c:idx val="4"/>
              <c:layout>
                <c:manualLayout>
                  <c:x val="9.8661028893589839E-3"/>
                  <c:y val="4.0160642570280375E-3"/>
                </c:manualLayout>
              </c:layout>
              <c:showLegendKey val="0"/>
              <c:showVal val="1"/>
              <c:showCatName val="0"/>
              <c:showSerName val="0"/>
              <c:showPercent val="0"/>
              <c:showBubbleSize val="0"/>
            </c:dLbl>
            <c:dLbl>
              <c:idx val="5"/>
              <c:layout>
                <c:manualLayout>
                  <c:x val="8.4566596194505309E-3"/>
                  <c:y val="1.2048192771084338E-2"/>
                </c:manualLayout>
              </c:layout>
              <c:showLegendKey val="0"/>
              <c:showVal val="1"/>
              <c:showCatName val="0"/>
              <c:showSerName val="0"/>
              <c:showPercent val="0"/>
              <c:showBubbleSize val="0"/>
            </c:dLbl>
            <c:txPr>
              <a:bodyPr/>
              <a:lstStyle/>
              <a:p>
                <a:pPr>
                  <a:defRPr sz="1000"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Płatności</c:v>
                </c:pt>
                <c:pt idx="5">
                  <c:v>Deklaracje zatwierdzone przez IC</c:v>
                </c:pt>
              </c:strCache>
            </c:strRef>
          </c:cat>
          <c:val>
            <c:numRef>
              <c:f>'realizacja priorytetu'!$B$3:$G$3</c:f>
              <c:numCache>
                <c:formatCode>#,##0.00</c:formatCode>
                <c:ptCount val="6"/>
                <c:pt idx="1">
                  <c:v>76.510000000000005</c:v>
                </c:pt>
                <c:pt idx="2">
                  <c:v>87.22</c:v>
                </c:pt>
                <c:pt idx="3">
                  <c:v>51.55</c:v>
                </c:pt>
                <c:pt idx="4">
                  <c:v>97.45</c:v>
                </c:pt>
                <c:pt idx="5">
                  <c:v>92.05</c:v>
                </c:pt>
              </c:numCache>
            </c:numRef>
          </c:val>
        </c:ser>
        <c:ser>
          <c:idx val="1"/>
          <c:order val="1"/>
          <c:tx>
            <c:strRef>
              <c:f>'realizacja priorytetu'!$A$4</c:f>
              <c:strCache>
                <c:ptCount val="1"/>
                <c:pt idx="0">
                  <c:v>od uruchomienia Programu</c:v>
                </c:pt>
              </c:strCache>
            </c:strRef>
          </c:tx>
          <c:spPr>
            <a:solidFill>
              <a:schemeClr val="accent6">
                <a:lumMod val="60000"/>
                <a:lumOff val="40000"/>
              </a:schemeClr>
            </a:solidFill>
          </c:spPr>
          <c:invertIfNegative val="0"/>
          <c:dPt>
            <c:idx val="0"/>
            <c:invertIfNegative val="0"/>
            <c:bubble3D val="0"/>
            <c:spPr>
              <a:solidFill>
                <a:srgbClr val="92D050"/>
              </a:solidFill>
            </c:spPr>
          </c:dPt>
          <c:dLbls>
            <c:dLbl>
              <c:idx val="0"/>
              <c:layout>
                <c:manualLayout>
                  <c:x val="-1.7185989682324241E-3"/>
                  <c:y val="8.4337349397592964E-2"/>
                </c:manualLayout>
              </c:layout>
              <c:showLegendKey val="0"/>
              <c:showVal val="1"/>
              <c:showCatName val="0"/>
              <c:showSerName val="0"/>
              <c:showPercent val="0"/>
              <c:showBubbleSize val="0"/>
            </c:dLbl>
            <c:dLbl>
              <c:idx val="1"/>
              <c:layout>
                <c:manualLayout>
                  <c:x val="7.0472163495419321E-3"/>
                  <c:y val="-1.2048192771084338E-2"/>
                </c:manualLayout>
              </c:layout>
              <c:showLegendKey val="0"/>
              <c:showVal val="1"/>
              <c:showCatName val="0"/>
              <c:showSerName val="0"/>
              <c:showPercent val="0"/>
              <c:showBubbleSize val="0"/>
            </c:dLbl>
            <c:dLbl>
              <c:idx val="2"/>
              <c:layout>
                <c:manualLayout>
                  <c:x val="1.2684989429175482E-2"/>
                  <c:y val="-1.6064257028112521E-2"/>
                </c:manualLayout>
              </c:layout>
              <c:showLegendKey val="0"/>
              <c:showVal val="1"/>
              <c:showCatName val="0"/>
              <c:showSerName val="0"/>
              <c:showPercent val="0"/>
              <c:showBubbleSize val="0"/>
            </c:dLbl>
            <c:dLbl>
              <c:idx val="3"/>
              <c:layout>
                <c:manualLayout>
                  <c:x val="8.456659619450595E-3"/>
                  <c:y val="-2.4096385542168676E-2"/>
                </c:manualLayout>
              </c:layout>
              <c:showLegendKey val="0"/>
              <c:showVal val="1"/>
              <c:showCatName val="0"/>
              <c:showSerName val="0"/>
              <c:showPercent val="0"/>
              <c:showBubbleSize val="0"/>
            </c:dLbl>
            <c:dLbl>
              <c:idx val="4"/>
              <c:layout>
                <c:manualLayout>
                  <c:x val="1.5503875968992605E-2"/>
                  <c:y val="-1.2048192771084338E-2"/>
                </c:manualLayout>
              </c:layout>
              <c:showLegendKey val="0"/>
              <c:showVal val="1"/>
              <c:showCatName val="0"/>
              <c:showSerName val="0"/>
              <c:showPercent val="0"/>
              <c:showBubbleSize val="0"/>
            </c:dLbl>
            <c:dLbl>
              <c:idx val="5"/>
              <c:layout>
                <c:manualLayout>
                  <c:x val="8.4566596194505309E-3"/>
                  <c:y val="-1.2048192771084338E-2"/>
                </c:manualLayout>
              </c:layout>
              <c:showLegendKey val="0"/>
              <c:showVal val="1"/>
              <c:showCatName val="0"/>
              <c:showSerName val="0"/>
              <c:showPercent val="0"/>
              <c:showBubbleSize val="0"/>
            </c:dLbl>
            <c:txPr>
              <a:bodyPr/>
              <a:lstStyle/>
              <a:p>
                <a:pPr>
                  <a:defRPr sz="1000"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Płatności</c:v>
                </c:pt>
                <c:pt idx="5">
                  <c:v>Deklaracje zatwierdzone przez IC</c:v>
                </c:pt>
              </c:strCache>
            </c:strRef>
          </c:cat>
          <c:val>
            <c:numRef>
              <c:f>'realizacja priorytetu'!$B$4:$G$4</c:f>
              <c:numCache>
                <c:formatCode>#,##0.00</c:formatCode>
                <c:ptCount val="6"/>
                <c:pt idx="0">
                  <c:v>460.25</c:v>
                </c:pt>
                <c:pt idx="1">
                  <c:v>512.80999999999949</c:v>
                </c:pt>
                <c:pt idx="2">
                  <c:v>402.14000000000038</c:v>
                </c:pt>
                <c:pt idx="3">
                  <c:v>296.75</c:v>
                </c:pt>
                <c:pt idx="4">
                  <c:v>185.68</c:v>
                </c:pt>
                <c:pt idx="5">
                  <c:v>170.91</c:v>
                </c:pt>
              </c:numCache>
            </c:numRef>
          </c:val>
        </c:ser>
        <c:dLbls>
          <c:showLegendKey val="0"/>
          <c:showVal val="0"/>
          <c:showCatName val="0"/>
          <c:showSerName val="0"/>
          <c:showPercent val="0"/>
          <c:showBubbleSize val="0"/>
        </c:dLbls>
        <c:gapWidth val="60"/>
        <c:gapDepth val="140"/>
        <c:shape val="box"/>
        <c:axId val="152597248"/>
        <c:axId val="152598784"/>
        <c:axId val="139986240"/>
      </c:bar3DChart>
      <c:catAx>
        <c:axId val="152597248"/>
        <c:scaling>
          <c:orientation val="minMax"/>
        </c:scaling>
        <c:delete val="0"/>
        <c:axPos val="b"/>
        <c:numFmt formatCode="General" sourceLinked="1"/>
        <c:majorTickMark val="none"/>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pl-PL"/>
          </a:p>
        </c:txPr>
        <c:crossAx val="152598784"/>
        <c:crosses val="autoZero"/>
        <c:auto val="1"/>
        <c:lblAlgn val="ctr"/>
        <c:lblOffset val="100"/>
        <c:noMultiLvlLbl val="0"/>
      </c:catAx>
      <c:valAx>
        <c:axId val="152598784"/>
        <c:scaling>
          <c:orientation val="minMax"/>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pl-PL"/>
                  <a:t>mln EUR </a:t>
                </a:r>
              </a:p>
            </c:rich>
          </c:tx>
          <c:layout>
            <c:manualLayout>
              <c:xMode val="edge"/>
              <c:yMode val="edge"/>
              <c:x val="3.4513313422030109E-2"/>
              <c:y val="9.7965088701261763E-2"/>
            </c:manualLayout>
          </c:layout>
          <c:overlay val="0"/>
        </c:title>
        <c:numFmt formatCode="#,##0.00"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pl-PL"/>
          </a:p>
        </c:txPr>
        <c:crossAx val="152597248"/>
        <c:crosses val="autoZero"/>
        <c:crossBetween val="between"/>
      </c:valAx>
      <c:serAx>
        <c:axId val="139986240"/>
        <c:scaling>
          <c:orientation val="minMax"/>
        </c:scaling>
        <c:delete val="1"/>
        <c:axPos val="b"/>
        <c:majorTickMark val="out"/>
        <c:minorTickMark val="none"/>
        <c:tickLblPos val="none"/>
        <c:crossAx val="152598784"/>
        <c:crosses val="autoZero"/>
      </c:serAx>
      <c:spPr>
        <a:noFill/>
      </c:spPr>
    </c:plotArea>
    <c:legend>
      <c:legendPos val="b"/>
      <c:overlay val="0"/>
      <c:txPr>
        <a:bodyPr/>
        <a:lstStyle/>
        <a:p>
          <a:pPr>
            <a:defRPr sz="825" b="1"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ln w="34925">
      <a:solidFill>
        <a:schemeClr val="accent1"/>
      </a:solid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80"/>
      <c:rAngAx val="0"/>
      <c:perspective val="30"/>
    </c:view3D>
    <c:floor>
      <c:thickness val="0"/>
    </c:floor>
    <c:sideWall>
      <c:thickness val="0"/>
    </c:sideWall>
    <c:backWall>
      <c:thickness val="0"/>
    </c:backWall>
    <c:plotArea>
      <c:layout>
        <c:manualLayout>
          <c:layoutTarget val="inner"/>
          <c:xMode val="edge"/>
          <c:yMode val="edge"/>
          <c:x val="7.1596498884671711E-4"/>
          <c:y val="6.1608614498952052E-2"/>
          <c:w val="0.95956609330745557"/>
          <c:h val="0.9383913855010475"/>
        </c:manualLayout>
      </c:layout>
      <c:pie3DChart>
        <c:varyColors val="1"/>
        <c:ser>
          <c:idx val="0"/>
          <c:order val="0"/>
          <c:tx>
            <c:strRef>
              <c:f>'rozkład projektów'!$A$2</c:f>
              <c:strCache>
                <c:ptCount val="1"/>
                <c:pt idx="0">
                  <c:v>mln EUR</c:v>
                </c:pt>
              </c:strCache>
            </c:strRef>
          </c:tx>
          <c:explosion val="25"/>
          <c:dPt>
            <c:idx val="0"/>
            <c:bubble3D val="0"/>
            <c:spPr>
              <a:solidFill>
                <a:srgbClr val="92D050"/>
              </a:solidFill>
            </c:spPr>
          </c:dPt>
          <c:dLbls>
            <c:dLbl>
              <c:idx val="0"/>
              <c:spPr/>
              <c:txPr>
                <a:bodyPr/>
                <a:lstStyle/>
                <a:p>
                  <a:pPr>
                    <a:defRPr sz="1200" b="1" i="0" u="none" strike="noStrike" baseline="0">
                      <a:solidFill>
                        <a:srgbClr val="000000"/>
                      </a:solidFill>
                      <a:latin typeface="Times New Roman"/>
                      <a:ea typeface="Times New Roman"/>
                      <a:cs typeface="Times New Roman"/>
                    </a:defRPr>
                  </a:pPr>
                  <a:endParaRPr lang="pl-PL"/>
                </a:p>
              </c:txPr>
              <c:dLblPos val="ctr"/>
              <c:showLegendKey val="0"/>
              <c:showVal val="1"/>
              <c:showCatName val="1"/>
              <c:showSerName val="0"/>
              <c:showPercent val="0"/>
              <c:showBubbleSize val="0"/>
            </c:dLbl>
            <c:dLbl>
              <c:idx val="1"/>
              <c:layout>
                <c:manualLayout>
                  <c:x val="-7.5983363287083674E-2"/>
                  <c:y val="0.46799956342944976"/>
                </c:manualLayout>
              </c:layout>
              <c:tx>
                <c:rich>
                  <a:bodyPr/>
                  <a:lstStyle/>
                  <a:p>
                    <a:r>
                      <a:rPr lang="en-US" sz="900"/>
                      <a:t>podmioty, w których większość udziałów posiada JST lub związek JST realizujące zadania z zakresu transportu zbiorowego [5 umów]; </a:t>
                    </a:r>
                  </a:p>
                </c:rich>
              </c:tx>
              <c:dLblPos val="bestFit"/>
              <c:showLegendKey val="1"/>
              <c:showVal val="1"/>
              <c:showCatName val="1"/>
              <c:showSerName val="0"/>
              <c:showPercent val="0"/>
              <c:showBubbleSize val="0"/>
            </c:dLbl>
            <c:txPr>
              <a:bodyPr/>
              <a:lstStyle/>
              <a:p>
                <a:pPr>
                  <a:defRPr sz="1000" b="1" i="0" u="none" strike="noStrike" baseline="0">
                    <a:solidFill>
                      <a:srgbClr val="000000"/>
                    </a:solidFill>
                    <a:latin typeface="Times New Roman"/>
                    <a:ea typeface="Times New Roman"/>
                    <a:cs typeface="Times New Roman"/>
                  </a:defRPr>
                </a:pPr>
                <a:endParaRPr lang="pl-PL"/>
              </a:p>
            </c:txPr>
            <c:dLblPos val="ctr"/>
            <c:showLegendKey val="0"/>
            <c:showVal val="1"/>
            <c:showCatName val="1"/>
            <c:showSerName val="0"/>
            <c:showPercent val="0"/>
            <c:showBubbleSize val="0"/>
            <c:showLeaderLines val="1"/>
          </c:dLbls>
          <c:cat>
            <c:strRef>
              <c:f>'rozkład projektów'!$B$1:$C$1</c:f>
              <c:strCache>
                <c:ptCount val="2"/>
                <c:pt idx="0">
                  <c:v>JST [157 umów]</c:v>
                </c:pt>
                <c:pt idx="1">
                  <c:v>podmioty, w których większość udziałów posiada JST lub związek JST realizujące zadania z zakresu transportu zbiorowego [5 umów]</c:v>
                </c:pt>
              </c:strCache>
            </c:strRef>
          </c:cat>
          <c:val>
            <c:numRef>
              <c:f>'rozkład projektów'!$B$2:$C$2</c:f>
              <c:numCache>
                <c:formatCode>0%</c:formatCode>
                <c:ptCount val="2"/>
                <c:pt idx="0">
                  <c:v>0.92</c:v>
                </c:pt>
                <c:pt idx="1">
                  <c:v>8.0000000000000043E-2</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ln w="34925">
      <a:solidFill>
        <a:srgbClr val="D34817"/>
      </a:solid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solidFill>
          <a:sysClr val="window" lastClr="FFFFFF">
            <a:lumMod val="85000"/>
          </a:sysClr>
        </a:solidFill>
      </c:spPr>
    </c:sideWall>
    <c:backWall>
      <c:thickness val="0"/>
      <c:spPr>
        <a:solidFill>
          <a:sysClr val="window" lastClr="FFFFFF">
            <a:lumMod val="85000"/>
          </a:sysClr>
        </a:solidFill>
      </c:spPr>
    </c:backWall>
    <c:plotArea>
      <c:layout>
        <c:manualLayout>
          <c:layoutTarget val="inner"/>
          <c:xMode val="edge"/>
          <c:yMode val="edge"/>
          <c:x val="0.10321717487080102"/>
          <c:y val="4.8192771084338525E-2"/>
          <c:w val="0.88978548298882765"/>
          <c:h val="0.64484267779781568"/>
        </c:manualLayout>
      </c:layout>
      <c:bar3DChart>
        <c:barDir val="col"/>
        <c:grouping val="standard"/>
        <c:varyColors val="0"/>
        <c:ser>
          <c:idx val="0"/>
          <c:order val="0"/>
          <c:tx>
            <c:strRef>
              <c:f>'realizacja priorytetu'!$A$3</c:f>
              <c:strCache>
                <c:ptCount val="1"/>
                <c:pt idx="0">
                  <c:v>2011r.</c:v>
                </c:pt>
              </c:strCache>
            </c:strRef>
          </c:tx>
          <c:spPr>
            <a:solidFill>
              <a:schemeClr val="accent2">
                <a:lumMod val="60000"/>
                <a:lumOff val="40000"/>
              </a:schemeClr>
            </a:solidFill>
          </c:spPr>
          <c:invertIfNegative val="0"/>
          <c:dLbls>
            <c:dLbl>
              <c:idx val="1"/>
              <c:layout>
                <c:manualLayout>
                  <c:x val="8.4566596194505985E-3"/>
                  <c:y val="1.2048192771084338E-2"/>
                </c:manualLayout>
              </c:layout>
              <c:showLegendKey val="0"/>
              <c:showVal val="1"/>
              <c:showCatName val="0"/>
              <c:showSerName val="0"/>
              <c:showPercent val="0"/>
              <c:showBubbleSize val="0"/>
            </c:dLbl>
            <c:dLbl>
              <c:idx val="2"/>
              <c:layout>
                <c:manualLayout>
                  <c:x val="7.0472163495419824E-3"/>
                  <c:y val="2.0080321285140586E-2"/>
                </c:manualLayout>
              </c:layout>
              <c:showLegendKey val="0"/>
              <c:showVal val="1"/>
              <c:showCatName val="0"/>
              <c:showSerName val="0"/>
              <c:showPercent val="0"/>
              <c:showBubbleSize val="0"/>
            </c:dLbl>
            <c:dLbl>
              <c:idx val="3"/>
              <c:layout>
                <c:manualLayout>
                  <c:x val="7.0472163495419312E-3"/>
                  <c:y val="8.0321285140562242E-3"/>
                </c:manualLayout>
              </c:layout>
              <c:showLegendKey val="0"/>
              <c:showVal val="1"/>
              <c:showCatName val="0"/>
              <c:showSerName val="0"/>
              <c:showPercent val="0"/>
              <c:showBubbleSize val="0"/>
            </c:dLbl>
            <c:dLbl>
              <c:idx val="4"/>
              <c:layout>
                <c:manualLayout>
                  <c:x val="9.8661028893589891E-3"/>
                  <c:y val="4.0160642570280375E-3"/>
                </c:manualLayout>
              </c:layout>
              <c:showLegendKey val="0"/>
              <c:showVal val="1"/>
              <c:showCatName val="0"/>
              <c:showSerName val="0"/>
              <c:showPercent val="0"/>
              <c:showBubbleSize val="0"/>
            </c:dLbl>
            <c:dLbl>
              <c:idx val="5"/>
              <c:layout>
                <c:manualLayout>
                  <c:x val="8.4566596194505309E-3"/>
                  <c:y val="1.2048192771084338E-2"/>
                </c:manualLayout>
              </c:layout>
              <c:showLegendKey val="0"/>
              <c:showVal val="1"/>
              <c:showCatName val="0"/>
              <c:showSerName val="0"/>
              <c:showPercent val="0"/>
              <c:showBubbleSize val="0"/>
            </c:dLbl>
            <c:txPr>
              <a:bodyPr/>
              <a:lstStyle/>
              <a:p>
                <a:pPr>
                  <a:defRPr sz="1100"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Płatności</c:v>
                </c:pt>
                <c:pt idx="5">
                  <c:v>Deklaracje zatwierdzone przez IC</c:v>
                </c:pt>
              </c:strCache>
            </c:strRef>
          </c:cat>
          <c:val>
            <c:numRef>
              <c:f>'realizacja priorytetu'!$B$3:$G$3</c:f>
              <c:numCache>
                <c:formatCode>#,##0.00</c:formatCode>
                <c:ptCount val="6"/>
                <c:pt idx="1">
                  <c:v>8.08</c:v>
                </c:pt>
                <c:pt idx="2">
                  <c:v>8.68</c:v>
                </c:pt>
                <c:pt idx="3">
                  <c:v>9.49</c:v>
                </c:pt>
                <c:pt idx="4">
                  <c:v>18.55</c:v>
                </c:pt>
                <c:pt idx="5">
                  <c:v>16.649999999999999</c:v>
                </c:pt>
              </c:numCache>
            </c:numRef>
          </c:val>
        </c:ser>
        <c:ser>
          <c:idx val="1"/>
          <c:order val="1"/>
          <c:tx>
            <c:strRef>
              <c:f>'realizacja priorytetu'!$A$4</c:f>
              <c:strCache>
                <c:ptCount val="1"/>
                <c:pt idx="0">
                  <c:v>od uruchomienia Programu</c:v>
                </c:pt>
              </c:strCache>
            </c:strRef>
          </c:tx>
          <c:spPr>
            <a:solidFill>
              <a:schemeClr val="accent6">
                <a:lumMod val="60000"/>
                <a:lumOff val="40000"/>
              </a:schemeClr>
            </a:solidFill>
          </c:spPr>
          <c:invertIfNegative val="0"/>
          <c:dPt>
            <c:idx val="0"/>
            <c:invertIfNegative val="0"/>
            <c:bubble3D val="0"/>
            <c:spPr>
              <a:solidFill>
                <a:srgbClr val="92D050"/>
              </a:solidFill>
            </c:spPr>
          </c:dPt>
          <c:dLbls>
            <c:dLbl>
              <c:idx val="0"/>
              <c:layout>
                <c:manualLayout>
                  <c:x val="-1.7185989682324241E-3"/>
                  <c:y val="8.4337349397592964E-2"/>
                </c:manualLayout>
              </c:layout>
              <c:showLegendKey val="0"/>
              <c:showVal val="1"/>
              <c:showCatName val="0"/>
              <c:showSerName val="0"/>
              <c:showPercent val="0"/>
              <c:showBubbleSize val="0"/>
            </c:dLbl>
            <c:dLbl>
              <c:idx val="1"/>
              <c:layout>
                <c:manualLayout>
                  <c:x val="7.0472163495419312E-3"/>
                  <c:y val="-1.2048192771084338E-2"/>
                </c:manualLayout>
              </c:layout>
              <c:showLegendKey val="0"/>
              <c:showVal val="1"/>
              <c:showCatName val="0"/>
              <c:showSerName val="0"/>
              <c:showPercent val="0"/>
              <c:showBubbleSize val="0"/>
            </c:dLbl>
            <c:dLbl>
              <c:idx val="2"/>
              <c:layout>
                <c:manualLayout>
                  <c:x val="1.2684989429175481E-2"/>
                  <c:y val="-1.6064257028112521E-2"/>
                </c:manualLayout>
              </c:layout>
              <c:showLegendKey val="0"/>
              <c:showVal val="1"/>
              <c:showCatName val="0"/>
              <c:showSerName val="0"/>
              <c:showPercent val="0"/>
              <c:showBubbleSize val="0"/>
            </c:dLbl>
            <c:dLbl>
              <c:idx val="3"/>
              <c:layout>
                <c:manualLayout>
                  <c:x val="8.4566596194505985E-3"/>
                  <c:y val="-2.4096385542168676E-2"/>
                </c:manualLayout>
              </c:layout>
              <c:showLegendKey val="0"/>
              <c:showVal val="1"/>
              <c:showCatName val="0"/>
              <c:showSerName val="0"/>
              <c:showPercent val="0"/>
              <c:showBubbleSize val="0"/>
            </c:dLbl>
            <c:dLbl>
              <c:idx val="4"/>
              <c:layout>
                <c:manualLayout>
                  <c:x val="1.5503875968992609E-2"/>
                  <c:y val="-1.2048192771084338E-2"/>
                </c:manualLayout>
              </c:layout>
              <c:tx>
                <c:rich>
                  <a:bodyPr/>
                  <a:lstStyle/>
                  <a:p>
                    <a:r>
                      <a:rPr lang="en-US"/>
                      <a:t>41,7</a:t>
                    </a:r>
                    <a:r>
                      <a:rPr lang="pl-PL"/>
                      <a:t>6</a:t>
                    </a:r>
                    <a:endParaRPr lang="en-US"/>
                  </a:p>
                </c:rich>
              </c:tx>
              <c:showLegendKey val="0"/>
              <c:showVal val="1"/>
              <c:showCatName val="0"/>
              <c:showSerName val="0"/>
              <c:showPercent val="0"/>
              <c:showBubbleSize val="0"/>
            </c:dLbl>
            <c:dLbl>
              <c:idx val="5"/>
              <c:layout>
                <c:manualLayout>
                  <c:x val="8.4566596194505309E-3"/>
                  <c:y val="-1.2048192771084338E-2"/>
                </c:manualLayout>
              </c:layout>
              <c:showLegendKey val="0"/>
              <c:showVal val="1"/>
              <c:showCatName val="0"/>
              <c:showSerName val="0"/>
              <c:showPercent val="0"/>
              <c:showBubbleSize val="0"/>
            </c:dLbl>
            <c:txPr>
              <a:bodyPr/>
              <a:lstStyle/>
              <a:p>
                <a:pPr>
                  <a:defRPr sz="1100"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Płatności</c:v>
                </c:pt>
                <c:pt idx="5">
                  <c:v>Deklaracje zatwierdzone przez IC</c:v>
                </c:pt>
              </c:strCache>
            </c:strRef>
          </c:cat>
          <c:val>
            <c:numRef>
              <c:f>'realizacja priorytetu'!$B$4:$G$4</c:f>
              <c:numCache>
                <c:formatCode>#,##0.00</c:formatCode>
                <c:ptCount val="6"/>
                <c:pt idx="0">
                  <c:v>82.48</c:v>
                </c:pt>
                <c:pt idx="1">
                  <c:v>268.14999999999998</c:v>
                </c:pt>
                <c:pt idx="2">
                  <c:v>74.599999999999994</c:v>
                </c:pt>
                <c:pt idx="3">
                  <c:v>69.649999999999991</c:v>
                </c:pt>
                <c:pt idx="4">
                  <c:v>41.730000000000011</c:v>
                </c:pt>
                <c:pt idx="5">
                  <c:v>39.300000000000004</c:v>
                </c:pt>
              </c:numCache>
            </c:numRef>
          </c:val>
        </c:ser>
        <c:dLbls>
          <c:showLegendKey val="0"/>
          <c:showVal val="0"/>
          <c:showCatName val="0"/>
          <c:showSerName val="0"/>
          <c:showPercent val="0"/>
          <c:showBubbleSize val="0"/>
        </c:dLbls>
        <c:gapWidth val="60"/>
        <c:gapDepth val="140"/>
        <c:shape val="box"/>
        <c:axId val="153211264"/>
        <c:axId val="153212800"/>
        <c:axId val="152611904"/>
      </c:bar3DChart>
      <c:catAx>
        <c:axId val="153211264"/>
        <c:scaling>
          <c:orientation val="minMax"/>
        </c:scaling>
        <c:delete val="0"/>
        <c:axPos val="b"/>
        <c:numFmt formatCode="General" sourceLinked="1"/>
        <c:majorTickMark val="none"/>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pl-PL"/>
          </a:p>
        </c:txPr>
        <c:crossAx val="153212800"/>
        <c:crosses val="autoZero"/>
        <c:auto val="1"/>
        <c:lblAlgn val="ctr"/>
        <c:lblOffset val="100"/>
        <c:noMultiLvlLbl val="0"/>
      </c:catAx>
      <c:valAx>
        <c:axId val="153212800"/>
        <c:scaling>
          <c:orientation val="minMax"/>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pl-PL"/>
                  <a:t>mln EUR </a:t>
                </a:r>
              </a:p>
            </c:rich>
          </c:tx>
          <c:layout>
            <c:manualLayout>
              <c:xMode val="edge"/>
              <c:yMode val="edge"/>
              <c:x val="3.4513313422030116E-2"/>
              <c:y val="9.7965088701261763E-2"/>
            </c:manualLayout>
          </c:layout>
          <c:overlay val="0"/>
        </c:title>
        <c:numFmt formatCode="#,##0.00" sourceLinked="1"/>
        <c:majorTickMark val="out"/>
        <c:minorTickMark val="none"/>
        <c:tickLblPos val="nextTo"/>
        <c:txPr>
          <a:bodyPr rot="0" vert="horz"/>
          <a:lstStyle/>
          <a:p>
            <a:pPr>
              <a:defRPr sz="800" b="1" i="0" u="none" strike="noStrike" baseline="0">
                <a:solidFill>
                  <a:srgbClr val="000000"/>
                </a:solidFill>
                <a:latin typeface="Times New Roman"/>
                <a:ea typeface="Times New Roman"/>
                <a:cs typeface="Times New Roman"/>
              </a:defRPr>
            </a:pPr>
            <a:endParaRPr lang="pl-PL"/>
          </a:p>
        </c:txPr>
        <c:crossAx val="153211264"/>
        <c:crosses val="autoZero"/>
        <c:crossBetween val="between"/>
      </c:valAx>
      <c:serAx>
        <c:axId val="152611904"/>
        <c:scaling>
          <c:orientation val="minMax"/>
        </c:scaling>
        <c:delete val="1"/>
        <c:axPos val="b"/>
        <c:majorTickMark val="out"/>
        <c:minorTickMark val="none"/>
        <c:tickLblPos val="none"/>
        <c:crossAx val="153212800"/>
        <c:crosses val="autoZero"/>
      </c:serAx>
      <c:spPr>
        <a:noFill/>
      </c:spPr>
    </c:plotArea>
    <c:legend>
      <c:legendPos val="b"/>
      <c:overlay val="0"/>
      <c:txPr>
        <a:bodyPr/>
        <a:lstStyle/>
        <a:p>
          <a:pPr>
            <a:defRPr sz="1000" b="1"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ln w="34925">
      <a:solidFill>
        <a:srgbClr val="D34817"/>
      </a:solid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704233750747047E-2"/>
          <c:y val="9.1666666666668228E-2"/>
          <c:w val="0.59892578030661558"/>
          <c:h val="0.77407407407409412"/>
        </c:manualLayout>
      </c:layout>
      <c:pie3DChart>
        <c:varyColors val="1"/>
        <c:ser>
          <c:idx val="0"/>
          <c:order val="0"/>
          <c:tx>
            <c:strRef>
              <c:f>'rozkład projektów'!$A$2</c:f>
              <c:strCache>
                <c:ptCount val="1"/>
                <c:pt idx="0">
                  <c:v>mln EUR</c:v>
                </c:pt>
              </c:strCache>
            </c:strRef>
          </c:tx>
          <c:explosion val="25"/>
          <c:dPt>
            <c:idx val="0"/>
            <c:bubble3D val="0"/>
            <c:spPr>
              <a:solidFill>
                <a:schemeClr val="accent1">
                  <a:lumMod val="40000"/>
                  <a:lumOff val="60000"/>
                </a:schemeClr>
              </a:solidFill>
            </c:spPr>
          </c:dPt>
          <c:dPt>
            <c:idx val="1"/>
            <c:bubble3D val="0"/>
            <c:spPr>
              <a:solidFill>
                <a:srgbClr val="92D050"/>
              </a:solidFill>
            </c:spPr>
          </c:dPt>
          <c:dPt>
            <c:idx val="2"/>
            <c:bubble3D val="0"/>
            <c:spPr>
              <a:solidFill>
                <a:srgbClr val="00B0F0"/>
              </a:solidFill>
            </c:spPr>
          </c:dPt>
          <c:dPt>
            <c:idx val="3"/>
            <c:bubble3D val="0"/>
            <c:spPr>
              <a:solidFill>
                <a:schemeClr val="accent4">
                  <a:lumMod val="75000"/>
                </a:schemeClr>
              </a:solidFill>
            </c:spPr>
          </c:dPt>
          <c:dPt>
            <c:idx val="4"/>
            <c:bubble3D val="0"/>
            <c:spPr>
              <a:solidFill>
                <a:srgbClr val="FFFF00"/>
              </a:solidFill>
            </c:spPr>
          </c:dPt>
          <c:dPt>
            <c:idx val="5"/>
            <c:bubble3D val="0"/>
            <c:spPr>
              <a:solidFill>
                <a:schemeClr val="tx1">
                  <a:lumMod val="75000"/>
                  <a:lumOff val="25000"/>
                </a:schemeClr>
              </a:solidFill>
            </c:spPr>
          </c:dPt>
          <c:dPt>
            <c:idx val="6"/>
            <c:bubble3D val="0"/>
            <c:spPr>
              <a:solidFill>
                <a:srgbClr val="FFC000"/>
              </a:solidFill>
            </c:spPr>
          </c:dPt>
          <c:dLbls>
            <c:dLbl>
              <c:idx val="0"/>
              <c:layout>
                <c:manualLayout>
                  <c:x val="-9.6386069388385287E-2"/>
                  <c:y val="9.7417249927092525E-2"/>
                </c:manualLayout>
              </c:layout>
              <c:dLblPos val="bestFit"/>
              <c:showLegendKey val="0"/>
              <c:showVal val="1"/>
              <c:showCatName val="0"/>
              <c:showSerName val="0"/>
              <c:showPercent val="0"/>
              <c:showBubbleSize val="0"/>
            </c:dLbl>
            <c:dLbl>
              <c:idx val="1"/>
              <c:layout>
                <c:manualLayout>
                  <c:x val="6.7534440547872721E-2"/>
                  <c:y val="-0.28480570137067218"/>
                </c:manualLayout>
              </c:layout>
              <c:dLblPos val="bestFit"/>
              <c:showLegendKey val="0"/>
              <c:showVal val="1"/>
              <c:showCatName val="0"/>
              <c:showSerName val="0"/>
              <c:showPercent val="0"/>
              <c:showBubbleSize val="0"/>
            </c:dLbl>
            <c:txPr>
              <a:bodyPr/>
              <a:lstStyle/>
              <a:p>
                <a:pPr>
                  <a:defRPr sz="1000"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1"/>
          </c:dLbls>
          <c:cat>
            <c:strRef>
              <c:f>'rozkład projektów'!$B$1:$H$1</c:f>
              <c:strCache>
                <c:ptCount val="7"/>
                <c:pt idx="0">
                  <c:v>JST [41 umów]</c:v>
                </c:pt>
                <c:pt idx="1">
                  <c:v>uczelnie wyższe [28 umów]</c:v>
                </c:pt>
                <c:pt idx="2">
                  <c:v>jednostki naukowe [1 umowa]</c:v>
                </c:pt>
                <c:pt idx="3">
                  <c:v>szkoły lub placówki oświatowe [2 umowy]</c:v>
                </c:pt>
                <c:pt idx="4">
                  <c:v>stowarzyszenia [3 umowy]</c:v>
                </c:pt>
                <c:pt idx="5">
                  <c:v>kościoły [1 umowa]</c:v>
                </c:pt>
                <c:pt idx="6">
                  <c:v>MSP [1 umowa]</c:v>
                </c:pt>
              </c:strCache>
            </c:strRef>
          </c:cat>
          <c:val>
            <c:numRef>
              <c:f>'rozkład projektów'!$B$2:$H$2</c:f>
              <c:numCache>
                <c:formatCode>0%</c:formatCode>
                <c:ptCount val="7"/>
                <c:pt idx="0">
                  <c:v>0.22</c:v>
                </c:pt>
                <c:pt idx="1">
                  <c:v>0.69000000000000061</c:v>
                </c:pt>
                <c:pt idx="2" formatCode="0.00">
                  <c:v>2.0000000000000011E-2</c:v>
                </c:pt>
                <c:pt idx="3">
                  <c:v>2.8000000000000001E-2</c:v>
                </c:pt>
                <c:pt idx="4" formatCode="0.00%">
                  <c:v>4.2000000000000023E-2</c:v>
                </c:pt>
                <c:pt idx="5" formatCode="0.00%">
                  <c:v>7.0000000000000114E-3</c:v>
                </c:pt>
                <c:pt idx="6" formatCode="0.00%">
                  <c:v>4.0000000000000114E-3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347317761750505"/>
          <c:y val="5.7153258868036114E-2"/>
          <c:w val="0.35182284567370936"/>
          <c:h val="0.91977375493988689"/>
        </c:manualLayout>
      </c:layout>
      <c:overlay val="0"/>
      <c:txPr>
        <a:bodyPr/>
        <a:lstStyle/>
        <a:p>
          <a:pPr>
            <a:defRPr sz="1000" b="1" i="0" u="none" strike="noStrike" baseline="0">
              <a:solidFill>
                <a:srgbClr val="000000"/>
              </a:solidFill>
              <a:latin typeface="Times New Roman"/>
              <a:ea typeface="Times New Roman"/>
              <a:cs typeface="Times New Roman"/>
            </a:defRPr>
          </a:pPr>
          <a:endParaRPr lang="pl-PL"/>
        </a:p>
      </c:txPr>
    </c:legend>
    <c:plotVisOnly val="1"/>
    <c:dispBlanksAs val="zero"/>
    <c:showDLblsOverMax val="0"/>
  </c:chart>
  <c:spPr>
    <a:ln w="34925">
      <a:solidFill>
        <a:srgbClr val="D34817"/>
      </a:solid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0.10321717487080102"/>
          <c:y val="4.8192771084338587E-2"/>
          <c:w val="0.83499651877948622"/>
          <c:h val="0.64484267779781612"/>
        </c:manualLayout>
      </c:layout>
      <c:bar3DChart>
        <c:barDir val="col"/>
        <c:grouping val="standard"/>
        <c:varyColors val="0"/>
        <c:ser>
          <c:idx val="0"/>
          <c:order val="0"/>
          <c:tx>
            <c:strRef>
              <c:f>'realizacja priorytetu'!$A$3</c:f>
              <c:strCache>
                <c:ptCount val="1"/>
                <c:pt idx="0">
                  <c:v>2011r.</c:v>
                </c:pt>
              </c:strCache>
            </c:strRef>
          </c:tx>
          <c:spPr>
            <a:solidFill>
              <a:schemeClr val="accent2">
                <a:lumMod val="60000"/>
                <a:lumOff val="40000"/>
              </a:schemeClr>
            </a:solidFill>
          </c:spPr>
          <c:invertIfNegative val="0"/>
          <c:dLbls>
            <c:dLbl>
              <c:idx val="1"/>
              <c:layout>
                <c:manualLayout>
                  <c:x val="8.4566596194506159E-3"/>
                  <c:y val="1.2048192771084338E-2"/>
                </c:manualLayout>
              </c:layout>
              <c:showLegendKey val="0"/>
              <c:showVal val="1"/>
              <c:showCatName val="0"/>
              <c:showSerName val="0"/>
              <c:showPercent val="0"/>
              <c:showBubbleSize val="0"/>
            </c:dLbl>
            <c:dLbl>
              <c:idx val="2"/>
              <c:layout>
                <c:manualLayout>
                  <c:x val="7.0472163495419824E-3"/>
                  <c:y val="2.0080321285140586E-2"/>
                </c:manualLayout>
              </c:layout>
              <c:showLegendKey val="0"/>
              <c:showVal val="1"/>
              <c:showCatName val="0"/>
              <c:showSerName val="0"/>
              <c:showPercent val="0"/>
              <c:showBubbleSize val="0"/>
            </c:dLbl>
            <c:dLbl>
              <c:idx val="3"/>
              <c:layout>
                <c:manualLayout>
                  <c:x val="7.0472163495419312E-3"/>
                  <c:y val="8.0321285140562242E-3"/>
                </c:manualLayout>
              </c:layout>
              <c:showLegendKey val="0"/>
              <c:showVal val="1"/>
              <c:showCatName val="0"/>
              <c:showSerName val="0"/>
              <c:showPercent val="0"/>
              <c:showBubbleSize val="0"/>
            </c:dLbl>
            <c:dLbl>
              <c:idx val="4"/>
              <c:layout>
                <c:manualLayout>
                  <c:x val="9.866102889359003E-3"/>
                  <c:y val="4.0160642570280375E-3"/>
                </c:manualLayout>
              </c:layout>
              <c:showLegendKey val="0"/>
              <c:showVal val="1"/>
              <c:showCatName val="0"/>
              <c:showSerName val="0"/>
              <c:showPercent val="0"/>
              <c:showBubbleSize val="0"/>
            </c:dLbl>
            <c:dLbl>
              <c:idx val="5"/>
              <c:layout>
                <c:manualLayout>
                  <c:x val="8.4566596194505413E-3"/>
                  <c:y val="1.204819277108433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Płatności</c:v>
                </c:pt>
                <c:pt idx="5">
                  <c:v>Deklaracje zatwierdzone przez IC</c:v>
                </c:pt>
              </c:strCache>
            </c:strRef>
          </c:cat>
          <c:val>
            <c:numRef>
              <c:f>'realizacja priorytetu'!$B$3:$G$3</c:f>
              <c:numCache>
                <c:formatCode>#,##0.00</c:formatCode>
                <c:ptCount val="6"/>
                <c:pt idx="1">
                  <c:v>0.9</c:v>
                </c:pt>
                <c:pt idx="2">
                  <c:v>6.53</c:v>
                </c:pt>
                <c:pt idx="3">
                  <c:v>5.14</c:v>
                </c:pt>
                <c:pt idx="4">
                  <c:v>10.81</c:v>
                </c:pt>
                <c:pt idx="5">
                  <c:v>11.450000000000006</c:v>
                </c:pt>
              </c:numCache>
            </c:numRef>
          </c:val>
        </c:ser>
        <c:ser>
          <c:idx val="1"/>
          <c:order val="1"/>
          <c:tx>
            <c:strRef>
              <c:f>'realizacja priorytetu'!$A$4</c:f>
              <c:strCache>
                <c:ptCount val="1"/>
                <c:pt idx="0">
                  <c:v>od uruchomienia Programu</c:v>
                </c:pt>
              </c:strCache>
            </c:strRef>
          </c:tx>
          <c:spPr>
            <a:solidFill>
              <a:schemeClr val="accent6">
                <a:lumMod val="60000"/>
                <a:lumOff val="40000"/>
              </a:schemeClr>
            </a:solidFill>
          </c:spPr>
          <c:invertIfNegative val="0"/>
          <c:dPt>
            <c:idx val="0"/>
            <c:invertIfNegative val="0"/>
            <c:bubble3D val="0"/>
            <c:spPr>
              <a:solidFill>
                <a:srgbClr val="92D050"/>
              </a:solidFill>
            </c:spPr>
          </c:dPt>
          <c:dLbls>
            <c:dLbl>
              <c:idx val="0"/>
              <c:layout>
                <c:manualLayout>
                  <c:x val="5.6377730796335493E-3"/>
                  <c:y val="0.15662650602409639"/>
                </c:manualLayout>
              </c:layout>
              <c:showLegendKey val="0"/>
              <c:showVal val="1"/>
              <c:showCatName val="0"/>
              <c:showSerName val="0"/>
              <c:showPercent val="0"/>
              <c:showBubbleSize val="0"/>
            </c:dLbl>
            <c:dLbl>
              <c:idx val="1"/>
              <c:layout>
                <c:manualLayout>
                  <c:x val="7.0472163495419312E-3"/>
                  <c:y val="-1.2048192771084338E-2"/>
                </c:manualLayout>
              </c:layout>
              <c:showLegendKey val="0"/>
              <c:showVal val="1"/>
              <c:showCatName val="0"/>
              <c:showSerName val="0"/>
              <c:showPercent val="0"/>
              <c:showBubbleSize val="0"/>
            </c:dLbl>
            <c:dLbl>
              <c:idx val="2"/>
              <c:layout>
                <c:manualLayout>
                  <c:x val="1.2684989429175481E-2"/>
                  <c:y val="-1.6064257028112521E-2"/>
                </c:manualLayout>
              </c:layout>
              <c:showLegendKey val="0"/>
              <c:showVal val="1"/>
              <c:showCatName val="0"/>
              <c:showSerName val="0"/>
              <c:showPercent val="0"/>
              <c:showBubbleSize val="0"/>
            </c:dLbl>
            <c:dLbl>
              <c:idx val="3"/>
              <c:layout>
                <c:manualLayout>
                  <c:x val="8.4566596194506159E-3"/>
                  <c:y val="-2.4096385542168676E-2"/>
                </c:manualLayout>
              </c:layout>
              <c:showLegendKey val="0"/>
              <c:showVal val="1"/>
              <c:showCatName val="0"/>
              <c:showSerName val="0"/>
              <c:showPercent val="0"/>
              <c:showBubbleSize val="0"/>
            </c:dLbl>
            <c:dLbl>
              <c:idx val="4"/>
              <c:layout>
                <c:manualLayout>
                  <c:x val="1.5503875968992624E-2"/>
                  <c:y val="-1.2048192771084338E-2"/>
                </c:manualLayout>
              </c:layout>
              <c:showLegendKey val="0"/>
              <c:showVal val="1"/>
              <c:showCatName val="0"/>
              <c:showSerName val="0"/>
              <c:showPercent val="0"/>
              <c:showBubbleSize val="0"/>
            </c:dLbl>
            <c:dLbl>
              <c:idx val="5"/>
              <c:layout>
                <c:manualLayout>
                  <c:x val="8.4566596194505413E-3"/>
                  <c:y val="-1.204819277108433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Płatności</c:v>
                </c:pt>
                <c:pt idx="5">
                  <c:v>Deklaracje zatwierdzone przez IC</c:v>
                </c:pt>
              </c:strCache>
            </c:strRef>
          </c:cat>
          <c:val>
            <c:numRef>
              <c:f>'realizacja priorytetu'!$B$4:$G$4</c:f>
              <c:numCache>
                <c:formatCode>#,##0.00</c:formatCode>
                <c:ptCount val="6"/>
                <c:pt idx="0">
                  <c:v>57.760000000000012</c:v>
                </c:pt>
                <c:pt idx="1">
                  <c:v>130.85000000000107</c:v>
                </c:pt>
                <c:pt idx="2">
                  <c:v>57.18</c:v>
                </c:pt>
                <c:pt idx="3">
                  <c:v>49.58</c:v>
                </c:pt>
                <c:pt idx="4">
                  <c:v>38.47</c:v>
                </c:pt>
                <c:pt idx="5">
                  <c:v>37.28</c:v>
                </c:pt>
              </c:numCache>
            </c:numRef>
          </c:val>
        </c:ser>
        <c:dLbls>
          <c:showLegendKey val="0"/>
          <c:showVal val="0"/>
          <c:showCatName val="0"/>
          <c:showSerName val="0"/>
          <c:showPercent val="0"/>
          <c:showBubbleSize val="0"/>
        </c:dLbls>
        <c:gapWidth val="60"/>
        <c:gapDepth val="140"/>
        <c:shape val="box"/>
        <c:axId val="139107712"/>
        <c:axId val="153298048"/>
        <c:axId val="139481536"/>
      </c:bar3DChart>
      <c:catAx>
        <c:axId val="139107712"/>
        <c:scaling>
          <c:orientation val="minMax"/>
        </c:scaling>
        <c:delete val="0"/>
        <c:axPos val="b"/>
        <c:numFmt formatCode="General" sourceLinked="1"/>
        <c:majorTickMark val="none"/>
        <c:minorTickMark val="none"/>
        <c:tickLblPos val="nextTo"/>
        <c:txPr>
          <a:bodyPr/>
          <a:lstStyle/>
          <a:p>
            <a:pPr>
              <a:defRPr sz="800" b="1">
                <a:latin typeface="Times New Roman" pitchFamily="18" charset="0"/>
                <a:cs typeface="Times New Roman" pitchFamily="18" charset="0"/>
              </a:defRPr>
            </a:pPr>
            <a:endParaRPr lang="pl-PL"/>
          </a:p>
        </c:txPr>
        <c:crossAx val="153298048"/>
        <c:crosses val="autoZero"/>
        <c:auto val="1"/>
        <c:lblAlgn val="ctr"/>
        <c:lblOffset val="100"/>
        <c:noMultiLvlLbl val="0"/>
      </c:catAx>
      <c:valAx>
        <c:axId val="153298048"/>
        <c:scaling>
          <c:orientation val="minMax"/>
        </c:scaling>
        <c:delete val="0"/>
        <c:axPos val="l"/>
        <c:majorGridlines/>
        <c:title>
          <c:tx>
            <c:rich>
              <a:bodyPr rot="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mln</a:t>
                </a:r>
                <a:r>
                  <a:rPr lang="pl-PL">
                    <a:latin typeface="Times New Roman" pitchFamily="18" charset="0"/>
                    <a:cs typeface="Times New Roman" pitchFamily="18" charset="0"/>
                  </a:rPr>
                  <a:t> EUR</a:t>
                </a:r>
                <a:r>
                  <a:rPr lang="en-US">
                    <a:latin typeface="Times New Roman" pitchFamily="18" charset="0"/>
                    <a:cs typeface="Times New Roman" pitchFamily="18" charset="0"/>
                  </a:rPr>
                  <a:t> </a:t>
                </a:r>
              </a:p>
            </c:rich>
          </c:tx>
          <c:layout>
            <c:manualLayout>
              <c:xMode val="edge"/>
              <c:yMode val="edge"/>
              <c:x val="3.4513313422030158E-2"/>
              <c:y val="9.7965088701261763E-2"/>
            </c:manualLayout>
          </c:layout>
          <c:overlay val="0"/>
        </c:title>
        <c:numFmt formatCode="#,##0.00" sourceLinked="1"/>
        <c:majorTickMark val="out"/>
        <c:minorTickMark val="none"/>
        <c:tickLblPos val="nextTo"/>
        <c:txPr>
          <a:bodyPr/>
          <a:lstStyle/>
          <a:p>
            <a:pPr>
              <a:defRPr sz="800" b="1">
                <a:latin typeface="Times New Roman" pitchFamily="18" charset="0"/>
                <a:cs typeface="Times New Roman" pitchFamily="18" charset="0"/>
              </a:defRPr>
            </a:pPr>
            <a:endParaRPr lang="pl-PL"/>
          </a:p>
        </c:txPr>
        <c:crossAx val="139107712"/>
        <c:crosses val="autoZero"/>
        <c:crossBetween val="between"/>
      </c:valAx>
      <c:serAx>
        <c:axId val="139481536"/>
        <c:scaling>
          <c:orientation val="minMax"/>
        </c:scaling>
        <c:delete val="1"/>
        <c:axPos val="b"/>
        <c:majorTickMark val="out"/>
        <c:minorTickMark val="none"/>
        <c:tickLblPos val="none"/>
        <c:crossAx val="153298048"/>
        <c:crosses val="autoZero"/>
      </c:serAx>
      <c:spPr>
        <a:noFill/>
      </c:spPr>
    </c:plotArea>
    <c:legend>
      <c:legendPos val="b"/>
      <c:overlay val="0"/>
      <c:txPr>
        <a:bodyPr/>
        <a:lstStyle/>
        <a:p>
          <a:pPr>
            <a:defRPr sz="1000" b="1">
              <a:latin typeface="Times New Roman" pitchFamily="18" charset="0"/>
              <a:cs typeface="Times New Roman" pitchFamily="18" charset="0"/>
            </a:defRPr>
          </a:pPr>
          <a:endParaRPr lang="pl-PL"/>
        </a:p>
      </c:txPr>
    </c:legend>
    <c:plotVisOnly val="1"/>
    <c:dispBlanksAs val="gap"/>
    <c:showDLblsOverMax val="0"/>
  </c:chart>
  <c:spPr>
    <a:ln w="34925">
      <a:solidFill>
        <a:schemeClr val="accent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0"/>
    <c:view3D>
      <c:rotX val="15"/>
      <c:rotY val="20"/>
      <c:rAngAx val="1"/>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bar"/>
        <c:grouping val="clustered"/>
        <c:varyColors val="0"/>
        <c:ser>
          <c:idx val="0"/>
          <c:order val="0"/>
          <c:tx>
            <c:strRef>
              <c:f>'Rodzaj projektu'!$B$2</c:f>
              <c:strCache>
                <c:ptCount val="1"/>
                <c:pt idx="0">
                  <c:v>Alokacja EURO</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projektu'!$B$3:$B$14</c:f>
            </c:numRef>
          </c:val>
        </c:ser>
        <c:ser>
          <c:idx val="1"/>
          <c:order val="1"/>
          <c:tx>
            <c:strRef>
              <c:f>'Rodzaj projektu'!$C$2</c:f>
              <c:strCache>
                <c:ptCount val="1"/>
                <c:pt idx="0">
                  <c:v>Alokaca PLN</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projektu'!$C$3:$C$14</c:f>
            </c:numRef>
          </c:val>
        </c:ser>
        <c:ser>
          <c:idx val="2"/>
          <c:order val="2"/>
          <c:tx>
            <c:strRef>
              <c:f>'Rodzaj projektu'!$D$2</c:f>
              <c:strCache>
                <c:ptCount val="1"/>
                <c:pt idx="0">
                  <c:v>Projekty zakończone</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projektu'!$D$3:$D$14</c:f>
            </c:numRef>
          </c:val>
        </c:ser>
        <c:ser>
          <c:idx val="3"/>
          <c:order val="3"/>
          <c:tx>
            <c:strRef>
              <c:f>'Rodzaj projektu'!$E$2</c:f>
              <c:strCache>
                <c:ptCount val="1"/>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projektu'!$E$3:$E$14</c:f>
            </c:numRef>
          </c:val>
        </c:ser>
        <c:ser>
          <c:idx val="4"/>
          <c:order val="4"/>
          <c:tx>
            <c:strRef>
              <c:f>'Rodzaj projektu'!$F$2</c:f>
              <c:strCache>
                <c:ptCount val="1"/>
                <c:pt idx="0">
                  <c:v>Projekty zakończone </c:v>
                </c:pt>
              </c:strCache>
            </c:strRef>
          </c:tx>
          <c:spPr>
            <a:solidFill>
              <a:srgbClr val="92D050"/>
            </a:solidFill>
          </c:spPr>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projektu'!$F$3:$F$14</c:f>
              <c:numCache>
                <c:formatCode>0.00%</c:formatCode>
                <c:ptCount val="12"/>
                <c:pt idx="1">
                  <c:v>0.13738942407009624</c:v>
                </c:pt>
                <c:pt idx="2">
                  <c:v>1.6037110669317858E-2</c:v>
                </c:pt>
                <c:pt idx="3">
                  <c:v>7.9660498239407532E-2</c:v>
                </c:pt>
                <c:pt idx="4">
                  <c:v>0.18701797516426633</c:v>
                </c:pt>
                <c:pt idx="5">
                  <c:v>3.6775387328698082E-2</c:v>
                </c:pt>
                <c:pt idx="6">
                  <c:v>5.359996881456359E-3</c:v>
                </c:pt>
                <c:pt idx="7">
                  <c:v>0.10077983424217804</c:v>
                </c:pt>
                <c:pt idx="8">
                  <c:v>5.4742136683080783E-2</c:v>
                </c:pt>
                <c:pt idx="9">
                  <c:v>0.17446873085892708</c:v>
                </c:pt>
                <c:pt idx="10">
                  <c:v>0.1614285480532443</c:v>
                </c:pt>
                <c:pt idx="11">
                  <c:v>7.9066933563559039E-2</c:v>
                </c:pt>
              </c:numCache>
            </c:numRef>
          </c:val>
        </c:ser>
        <c:ser>
          <c:idx val="5"/>
          <c:order val="5"/>
          <c:tx>
            <c:strRef>
              <c:f>'Rodzaj projektu'!$G$2</c:f>
              <c:strCache>
                <c:ptCount val="1"/>
                <c:pt idx="0">
                  <c:v>Projekty w realizacji ( podpisane umowy)</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projektu'!$G$3:$G$14</c:f>
            </c:numRef>
          </c:val>
        </c:ser>
        <c:ser>
          <c:idx val="6"/>
          <c:order val="6"/>
          <c:tx>
            <c:strRef>
              <c:f>'Rodzaj projektu'!$H$2</c:f>
              <c:strCache>
                <c:ptCount val="1"/>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projektu'!$H$3:$H$14</c:f>
            </c:numRef>
          </c:val>
        </c:ser>
        <c:ser>
          <c:idx val="7"/>
          <c:order val="7"/>
          <c:tx>
            <c:strRef>
              <c:f>'Rodzaj projektu'!$I$2</c:f>
              <c:strCache>
                <c:ptCount val="1"/>
                <c:pt idx="0">
                  <c:v>Projekty w realizacji </c:v>
                </c:pt>
              </c:strCache>
            </c:strRef>
          </c:tx>
          <c:spPr>
            <a:solidFill>
              <a:schemeClr val="tx1">
                <a:lumMod val="65000"/>
                <a:lumOff val="35000"/>
              </a:schemeClr>
            </a:solidFill>
          </c:spPr>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projektu'!$I$3:$I$14</c:f>
              <c:numCache>
                <c:formatCode>0.00%</c:formatCode>
                <c:ptCount val="12"/>
                <c:pt idx="1">
                  <c:v>0.50847881773481285</c:v>
                </c:pt>
                <c:pt idx="2">
                  <c:v>0.51109638465503249</c:v>
                </c:pt>
                <c:pt idx="3">
                  <c:v>0.62888182387091862</c:v>
                </c:pt>
                <c:pt idx="4">
                  <c:v>0.86219018616748921</c:v>
                </c:pt>
                <c:pt idx="5">
                  <c:v>0.74176738697033351</c:v>
                </c:pt>
                <c:pt idx="6">
                  <c:v>0.83864530916236013</c:v>
                </c:pt>
                <c:pt idx="7">
                  <c:v>0.64476920239684243</c:v>
                </c:pt>
                <c:pt idx="8">
                  <c:v>0.84440549289669964</c:v>
                </c:pt>
                <c:pt idx="9">
                  <c:v>0.85834638215643055</c:v>
                </c:pt>
                <c:pt idx="10">
                  <c:v>0.40017099051779881</c:v>
                </c:pt>
                <c:pt idx="11">
                  <c:v>0.67099359464909814</c:v>
                </c:pt>
              </c:numCache>
            </c:numRef>
          </c:val>
        </c:ser>
        <c:ser>
          <c:idx val="8"/>
          <c:order val="8"/>
          <c:tx>
            <c:strRef>
              <c:f>'Rodzaj projektu'!$J$2</c:f>
              <c:strCache>
                <c:ptCount val="1"/>
                <c:pt idx="0">
                  <c:v>Projekty zatwierdzone do realizacji (niezakontraktowane)</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projektu'!$J$3:$J$14</c:f>
            </c:numRef>
          </c:val>
        </c:ser>
        <c:ser>
          <c:idx val="9"/>
          <c:order val="9"/>
          <c:tx>
            <c:strRef>
              <c:f>'Rodzaj projektu'!$K$2</c:f>
              <c:strCache>
                <c:ptCount val="1"/>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projektu'!$K$3:$K$14</c:f>
            </c:numRef>
          </c:val>
        </c:ser>
        <c:ser>
          <c:idx val="10"/>
          <c:order val="10"/>
          <c:tx>
            <c:strRef>
              <c:f>'Rodzaj projektu'!$L$2</c:f>
              <c:strCache>
                <c:ptCount val="1"/>
                <c:pt idx="0">
                  <c:v>Projekty zatwierdzone do realizacji (niezakontraktowane)</c:v>
                </c:pt>
              </c:strCache>
            </c:strRef>
          </c:tx>
          <c:spPr>
            <a:solidFill>
              <a:schemeClr val="accent1">
                <a:lumMod val="60000"/>
                <a:lumOff val="40000"/>
              </a:schemeClr>
            </a:solidFill>
            <a:scene3d>
              <a:camera prst="orthographicFront"/>
              <a:lightRig rig="threePt" dir="t"/>
            </a:scene3d>
            <a:sp3d/>
          </c:spPr>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RPO WSL</c:v>
                </c:pt>
              </c:strCache>
            </c:strRef>
          </c:cat>
          <c:val>
            <c:numRef>
              <c:f>'Rodzaj projektu'!$L$3:$L$14</c:f>
              <c:numCache>
                <c:formatCode>0.00%</c:formatCode>
                <c:ptCount val="12"/>
                <c:pt idx="1">
                  <c:v>0.63674125916927926</c:v>
                </c:pt>
                <c:pt idx="2">
                  <c:v>0.80123702231059335</c:v>
                </c:pt>
                <c:pt idx="3">
                  <c:v>0.76873781161370791</c:v>
                </c:pt>
                <c:pt idx="4">
                  <c:v>0.96764178502395704</c:v>
                </c:pt>
                <c:pt idx="5">
                  <c:v>1.0088168502086146</c:v>
                </c:pt>
                <c:pt idx="6">
                  <c:v>0.75167777082886078</c:v>
                </c:pt>
                <c:pt idx="7">
                  <c:v>0.87374839621816414</c:v>
                </c:pt>
                <c:pt idx="8">
                  <c:v>0.90453078489938588</c:v>
                </c:pt>
                <c:pt idx="9">
                  <c:v>0.98998193051601169</c:v>
                </c:pt>
                <c:pt idx="10">
                  <c:v>0.47508160911077407</c:v>
                </c:pt>
                <c:pt idx="11">
                  <c:v>0.81111787671695557</c:v>
                </c:pt>
              </c:numCache>
            </c:numRef>
          </c:val>
        </c:ser>
        <c:dLbls>
          <c:showLegendKey val="0"/>
          <c:showVal val="0"/>
          <c:showCatName val="0"/>
          <c:showSerName val="0"/>
          <c:showPercent val="0"/>
          <c:showBubbleSize val="0"/>
        </c:dLbls>
        <c:gapWidth val="150"/>
        <c:shape val="box"/>
        <c:axId val="137458816"/>
        <c:axId val="137460352"/>
        <c:axId val="0"/>
      </c:bar3DChart>
      <c:catAx>
        <c:axId val="137458816"/>
        <c:scaling>
          <c:orientation val="minMax"/>
        </c:scaling>
        <c:delete val="0"/>
        <c:axPos val="l"/>
        <c:majorTickMark val="out"/>
        <c:minorTickMark val="none"/>
        <c:tickLblPos val="nextTo"/>
        <c:crossAx val="137460352"/>
        <c:crosses val="autoZero"/>
        <c:auto val="1"/>
        <c:lblAlgn val="ctr"/>
        <c:lblOffset val="100"/>
        <c:noMultiLvlLbl val="0"/>
      </c:catAx>
      <c:valAx>
        <c:axId val="137460352"/>
        <c:scaling>
          <c:orientation val="minMax"/>
        </c:scaling>
        <c:delete val="0"/>
        <c:axPos val="b"/>
        <c:majorGridlines/>
        <c:numFmt formatCode="0%" sourceLinked="0"/>
        <c:majorTickMark val="out"/>
        <c:minorTickMark val="none"/>
        <c:tickLblPos val="nextTo"/>
        <c:crossAx val="137458816"/>
        <c:crosses val="autoZero"/>
        <c:crossBetween val="between"/>
      </c:valAx>
    </c:plotArea>
    <c:legend>
      <c:legendPos val="b"/>
      <c:overlay val="0"/>
    </c:legend>
    <c:plotVisOnly val="1"/>
    <c:dispBlanksAs val="gap"/>
    <c:showDLblsOverMax val="0"/>
  </c:chart>
  <c:spPr>
    <a:ln w="34925">
      <a:solidFill>
        <a:schemeClr val="accent2">
          <a:lumMod val="60000"/>
          <a:lumOff val="40000"/>
        </a:schemeClr>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199037305133124E-2"/>
          <c:y val="0.1069878371395929"/>
          <c:w val="0.62588945414966435"/>
          <c:h val="0.80820098553230857"/>
        </c:manualLayout>
      </c:layout>
      <c:pie3DChart>
        <c:varyColors val="1"/>
        <c:ser>
          <c:idx val="0"/>
          <c:order val="0"/>
          <c:tx>
            <c:strRef>
              <c:f>'rozkład projektów'!$A$2</c:f>
              <c:strCache>
                <c:ptCount val="1"/>
                <c:pt idx="0">
                  <c:v>mln EUR</c:v>
                </c:pt>
              </c:strCache>
            </c:strRef>
          </c:tx>
          <c:explosion val="4"/>
          <c:dPt>
            <c:idx val="0"/>
            <c:bubble3D val="0"/>
            <c:explosion val="24"/>
            <c:spPr>
              <a:solidFill>
                <a:schemeClr val="accent2">
                  <a:lumMod val="60000"/>
                  <a:lumOff val="40000"/>
                </a:schemeClr>
              </a:solidFill>
            </c:spPr>
          </c:dPt>
          <c:dPt>
            <c:idx val="1"/>
            <c:bubble3D val="0"/>
            <c:spPr>
              <a:solidFill>
                <a:srgbClr val="92D050"/>
              </a:solidFill>
            </c:spPr>
          </c:dPt>
          <c:dPt>
            <c:idx val="2"/>
            <c:bubble3D val="0"/>
            <c:spPr>
              <a:solidFill>
                <a:srgbClr val="FFFF00"/>
              </a:solidFill>
            </c:spPr>
          </c:dPt>
          <c:dPt>
            <c:idx val="3"/>
            <c:bubble3D val="0"/>
            <c:spPr>
              <a:solidFill>
                <a:srgbClr val="00B0F0"/>
              </a:solidFill>
            </c:spPr>
          </c:dPt>
          <c:dPt>
            <c:idx val="4"/>
            <c:bubble3D val="0"/>
            <c:spPr>
              <a:solidFill>
                <a:srgbClr val="FFC000"/>
              </a:solidFill>
            </c:spPr>
          </c:dPt>
          <c:dPt>
            <c:idx val="5"/>
            <c:bubble3D val="0"/>
            <c:spPr>
              <a:solidFill>
                <a:schemeClr val="tx1">
                  <a:lumMod val="75000"/>
                  <a:lumOff val="25000"/>
                </a:schemeClr>
              </a:solidFill>
            </c:spPr>
          </c:dPt>
          <c:dLbls>
            <c:dLbl>
              <c:idx val="0"/>
              <c:layout>
                <c:manualLayout>
                  <c:x val="-0.12327680751006002"/>
                  <c:y val="3.2602435112277652E-2"/>
                </c:manualLayout>
              </c:layout>
              <c:tx>
                <c:rich>
                  <a:bodyPr/>
                  <a:lstStyle/>
                  <a:p>
                    <a:r>
                      <a:rPr lang="en-US"/>
                      <a:t>40</a:t>
                    </a:r>
                    <a:r>
                      <a:rPr lang="pl-PL"/>
                      <a:t>,83</a:t>
                    </a:r>
                    <a:r>
                      <a:rPr lang="en-US"/>
                      <a:t>%</a:t>
                    </a:r>
                  </a:p>
                </c:rich>
              </c:tx>
              <c:dLblPos val="bestFit"/>
              <c:showLegendKey val="0"/>
              <c:showVal val="1"/>
              <c:showCatName val="0"/>
              <c:showSerName val="0"/>
              <c:showPercent val="0"/>
              <c:showBubbleSize val="0"/>
            </c:dLbl>
            <c:dLbl>
              <c:idx val="1"/>
              <c:layout>
                <c:manualLayout>
                  <c:x val="0.10114791098937168"/>
                  <c:y val="-0.14591681248177693"/>
                </c:manualLayout>
              </c:layout>
              <c:dLblPos val="bestFit"/>
              <c:showLegendKey val="0"/>
              <c:showVal val="1"/>
              <c:showCatName val="0"/>
              <c:showSerName val="0"/>
              <c:showPercent val="0"/>
              <c:showBubbleSize val="0"/>
            </c:dLbl>
            <c:dLbl>
              <c:idx val="4"/>
              <c:layout>
                <c:manualLayout>
                  <c:x val="-1.4616789412430367E-2"/>
                  <c:y val="-7.1278815354813105E-2"/>
                </c:manualLayout>
              </c:layout>
              <c:showLegendKey val="0"/>
              <c:showVal val="1"/>
              <c:showCatName val="0"/>
              <c:showSerName val="0"/>
              <c:showPercent val="0"/>
              <c:showBubbleSize val="0"/>
            </c:dLbl>
            <c:dLbl>
              <c:idx val="5"/>
              <c:layout>
                <c:manualLayout>
                  <c:x val="7.0206236237324124E-2"/>
                  <c:y val="-8.7126812641374705E-3"/>
                </c:manualLayout>
              </c:layout>
              <c:showLegendKey val="0"/>
              <c:showVal val="1"/>
              <c:showCatName val="0"/>
              <c:showSerName val="0"/>
              <c:showPercent val="0"/>
              <c:showBubbleSize val="0"/>
            </c:dLbl>
            <c:txPr>
              <a:bodyPr/>
              <a:lstStyle/>
              <a:p>
                <a:pPr>
                  <a:defRPr sz="10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1"/>
          </c:dLbls>
          <c:cat>
            <c:strRef>
              <c:f>'rozkład projektów'!$B$1:$G$1</c:f>
              <c:strCache>
                <c:ptCount val="6"/>
                <c:pt idx="0">
                  <c:v>JST [75 umów]</c:v>
                </c:pt>
                <c:pt idx="1">
                  <c:v>publiczne zakłady opieki zdrowotnej [53 umowy]</c:v>
                </c:pt>
                <c:pt idx="2">
                  <c:v>stowarzyszenia [4 umowy] </c:v>
                </c:pt>
                <c:pt idx="3">
                  <c:v>niepubliczne zakłady opieki zdrowotnej [30 umów]</c:v>
                </c:pt>
                <c:pt idx="4">
                  <c:v>spółdzielnie mieszkaniowe [1 umowa]</c:v>
                </c:pt>
                <c:pt idx="5">
                  <c:v>związki zawodowe [1 umowa]</c:v>
                </c:pt>
              </c:strCache>
            </c:strRef>
          </c:cat>
          <c:val>
            <c:numRef>
              <c:f>'rozkład projektów'!$B$2:$G$2</c:f>
              <c:numCache>
                <c:formatCode>0%</c:formatCode>
                <c:ptCount val="6"/>
                <c:pt idx="0">
                  <c:v>0.4</c:v>
                </c:pt>
                <c:pt idx="1">
                  <c:v>0.44</c:v>
                </c:pt>
                <c:pt idx="2">
                  <c:v>7.0000000000000021E-2</c:v>
                </c:pt>
                <c:pt idx="3">
                  <c:v>8.0000000000000043E-2</c:v>
                </c:pt>
                <c:pt idx="4" formatCode="0.00%">
                  <c:v>1.0000000000000041E-3</c:v>
                </c:pt>
                <c:pt idx="5" formatCode="0.00%">
                  <c:v>7.0000000000001387E-4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669049277947046"/>
          <c:y val="0.16106203885281067"/>
          <c:w val="0.31982770181927933"/>
          <c:h val="0.69986886639899726"/>
        </c:manualLayout>
      </c:layout>
      <c:overlay val="0"/>
      <c:txPr>
        <a:bodyPr/>
        <a:lstStyle/>
        <a:p>
          <a:pPr>
            <a:defRPr b="1">
              <a:latin typeface="Times New Roman" pitchFamily="18" charset="0"/>
              <a:cs typeface="Times New Roman" pitchFamily="18" charset="0"/>
            </a:defRPr>
          </a:pPr>
          <a:endParaRPr lang="pl-PL"/>
        </a:p>
      </c:txPr>
    </c:legend>
    <c:plotVisOnly val="1"/>
    <c:dispBlanksAs val="zero"/>
    <c:showDLblsOverMax val="0"/>
  </c:chart>
  <c:spPr>
    <a:solidFill>
      <a:schemeClr val="bg1"/>
    </a:solidFill>
    <a:ln w="34925">
      <a:solidFill>
        <a:srgbClr val="D34817"/>
      </a:solid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solidFill>
          <a:schemeClr val="bg1">
            <a:lumMod val="85000"/>
          </a:schemeClr>
        </a:solidFill>
      </c:spPr>
    </c:floor>
    <c:sideWall>
      <c:thickness val="0"/>
      <c:spPr>
        <a:ln>
          <a:solidFill>
            <a:schemeClr val="bg1">
              <a:lumMod val="85000"/>
            </a:schemeClr>
          </a:solidFill>
        </a:ln>
      </c:spPr>
    </c:sideWall>
    <c:backWall>
      <c:thickness val="0"/>
      <c:spPr>
        <a:ln>
          <a:solidFill>
            <a:schemeClr val="bg1">
              <a:lumMod val="85000"/>
            </a:schemeClr>
          </a:solidFill>
        </a:ln>
      </c:spPr>
    </c:backWall>
    <c:plotArea>
      <c:layout>
        <c:manualLayout>
          <c:layoutTarget val="inner"/>
          <c:xMode val="edge"/>
          <c:yMode val="edge"/>
          <c:x val="7.6946112977353848E-2"/>
          <c:y val="4.8192771084338698E-2"/>
          <c:w val="0.86126770099529559"/>
          <c:h val="0.6448426777978169"/>
        </c:manualLayout>
      </c:layout>
      <c:bar3DChart>
        <c:barDir val="col"/>
        <c:grouping val="standard"/>
        <c:varyColors val="0"/>
        <c:ser>
          <c:idx val="0"/>
          <c:order val="0"/>
          <c:tx>
            <c:strRef>
              <c:f>'realizacja priorytetu'!$A$3</c:f>
              <c:strCache>
                <c:ptCount val="1"/>
                <c:pt idx="0">
                  <c:v>2011r.</c:v>
                </c:pt>
              </c:strCache>
            </c:strRef>
          </c:tx>
          <c:spPr>
            <a:solidFill>
              <a:schemeClr val="accent2">
                <a:lumMod val="60000"/>
                <a:lumOff val="40000"/>
              </a:schemeClr>
            </a:solidFill>
          </c:spPr>
          <c:invertIfNegative val="0"/>
          <c:dLbls>
            <c:dLbl>
              <c:idx val="1"/>
              <c:layout>
                <c:manualLayout>
                  <c:x val="8.4566596194506436E-3"/>
                  <c:y val="1.2048192771084338E-2"/>
                </c:manualLayout>
              </c:layout>
              <c:showLegendKey val="0"/>
              <c:showVal val="1"/>
              <c:showCatName val="0"/>
              <c:showSerName val="0"/>
              <c:showPercent val="0"/>
              <c:showBubbleSize val="0"/>
            </c:dLbl>
            <c:dLbl>
              <c:idx val="2"/>
              <c:layout>
                <c:manualLayout>
                  <c:x val="7.0472163495419824E-3"/>
                  <c:y val="2.0080321285140586E-2"/>
                </c:manualLayout>
              </c:layout>
              <c:showLegendKey val="0"/>
              <c:showVal val="1"/>
              <c:showCatName val="0"/>
              <c:showSerName val="0"/>
              <c:showPercent val="0"/>
              <c:showBubbleSize val="0"/>
            </c:dLbl>
            <c:dLbl>
              <c:idx val="3"/>
              <c:layout>
                <c:manualLayout>
                  <c:x val="7.0472163495419312E-3"/>
                  <c:y val="8.0321285140562242E-3"/>
                </c:manualLayout>
              </c:layout>
              <c:showLegendKey val="0"/>
              <c:showVal val="1"/>
              <c:showCatName val="0"/>
              <c:showSerName val="0"/>
              <c:showPercent val="0"/>
              <c:showBubbleSize val="0"/>
            </c:dLbl>
            <c:dLbl>
              <c:idx val="4"/>
              <c:layout>
                <c:manualLayout>
                  <c:x val="9.8661028893590307E-3"/>
                  <c:y val="4.0160642570280375E-3"/>
                </c:manualLayout>
              </c:layout>
              <c:showLegendKey val="0"/>
              <c:showVal val="1"/>
              <c:showCatName val="0"/>
              <c:showSerName val="0"/>
              <c:showPercent val="0"/>
              <c:showBubbleSize val="0"/>
            </c:dLbl>
            <c:dLbl>
              <c:idx val="5"/>
              <c:layout>
                <c:manualLayout>
                  <c:x val="8.4566596194505655E-3"/>
                  <c:y val="1.204819277108433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Wnioski o płatność</c:v>
                </c:pt>
                <c:pt idx="5">
                  <c:v>Deklaracje zatwierdzone przez IC</c:v>
                </c:pt>
              </c:strCache>
            </c:strRef>
          </c:cat>
          <c:val>
            <c:numRef>
              <c:f>'realizacja priorytetu'!$B$3:$G$3</c:f>
              <c:numCache>
                <c:formatCode>#,##0.00</c:formatCode>
                <c:ptCount val="6"/>
                <c:pt idx="1">
                  <c:v>6.94</c:v>
                </c:pt>
                <c:pt idx="2">
                  <c:v>12.719999999999999</c:v>
                </c:pt>
                <c:pt idx="3">
                  <c:v>6.94</c:v>
                </c:pt>
                <c:pt idx="4">
                  <c:v>4.83</c:v>
                </c:pt>
                <c:pt idx="5">
                  <c:v>3.15</c:v>
                </c:pt>
              </c:numCache>
            </c:numRef>
          </c:val>
        </c:ser>
        <c:ser>
          <c:idx val="1"/>
          <c:order val="1"/>
          <c:tx>
            <c:strRef>
              <c:f>'realizacja priorytetu'!$A$4</c:f>
              <c:strCache>
                <c:ptCount val="1"/>
                <c:pt idx="0">
                  <c:v>od uruchomienia Programu</c:v>
                </c:pt>
              </c:strCache>
            </c:strRef>
          </c:tx>
          <c:spPr>
            <a:solidFill>
              <a:schemeClr val="accent6">
                <a:lumMod val="60000"/>
                <a:lumOff val="40000"/>
              </a:schemeClr>
            </a:solidFill>
          </c:spPr>
          <c:invertIfNegative val="0"/>
          <c:dPt>
            <c:idx val="0"/>
            <c:invertIfNegative val="0"/>
            <c:bubble3D val="0"/>
            <c:spPr>
              <a:solidFill>
                <a:srgbClr val="92D050"/>
              </a:solidFill>
            </c:spPr>
          </c:dPt>
          <c:dLbls>
            <c:dLbl>
              <c:idx val="0"/>
              <c:layout>
                <c:manualLayout>
                  <c:x val="5.6377730796335493E-3"/>
                  <c:y val="0.15662650602409639"/>
                </c:manualLayout>
              </c:layout>
              <c:showLegendKey val="0"/>
              <c:showVal val="1"/>
              <c:showCatName val="0"/>
              <c:showSerName val="0"/>
              <c:showPercent val="0"/>
              <c:showBubbleSize val="0"/>
            </c:dLbl>
            <c:dLbl>
              <c:idx val="1"/>
              <c:layout>
                <c:manualLayout>
                  <c:x val="7.0472163495419312E-3"/>
                  <c:y val="-1.2048192771084338E-2"/>
                </c:manualLayout>
              </c:layout>
              <c:showLegendKey val="0"/>
              <c:showVal val="1"/>
              <c:showCatName val="0"/>
              <c:showSerName val="0"/>
              <c:showPercent val="0"/>
              <c:showBubbleSize val="0"/>
            </c:dLbl>
            <c:dLbl>
              <c:idx val="2"/>
              <c:layout>
                <c:manualLayout>
                  <c:x val="1.2684989429175481E-2"/>
                  <c:y val="-1.6064257028112521E-2"/>
                </c:manualLayout>
              </c:layout>
              <c:showLegendKey val="0"/>
              <c:showVal val="1"/>
              <c:showCatName val="0"/>
              <c:showSerName val="0"/>
              <c:showPercent val="0"/>
              <c:showBubbleSize val="0"/>
            </c:dLbl>
            <c:dLbl>
              <c:idx val="3"/>
              <c:layout>
                <c:manualLayout>
                  <c:x val="8.4566596194506436E-3"/>
                  <c:y val="-2.4096385542168676E-2"/>
                </c:manualLayout>
              </c:layout>
              <c:showLegendKey val="0"/>
              <c:showVal val="1"/>
              <c:showCatName val="0"/>
              <c:showSerName val="0"/>
              <c:showPercent val="0"/>
              <c:showBubbleSize val="0"/>
            </c:dLbl>
            <c:dLbl>
              <c:idx val="4"/>
              <c:layout>
                <c:manualLayout>
                  <c:x val="1.5503875968992649E-2"/>
                  <c:y val="-1.2048192771084338E-2"/>
                </c:manualLayout>
              </c:layout>
              <c:showLegendKey val="0"/>
              <c:showVal val="1"/>
              <c:showCatName val="0"/>
              <c:showSerName val="0"/>
              <c:showPercent val="0"/>
              <c:showBubbleSize val="0"/>
            </c:dLbl>
            <c:dLbl>
              <c:idx val="5"/>
              <c:layout>
                <c:manualLayout>
                  <c:x val="8.4566596194505655E-3"/>
                  <c:y val="-1.204819277108433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'realizacja priorytetu'!$B$2:$G$2</c:f>
              <c:strCache>
                <c:ptCount val="6"/>
                <c:pt idx="0">
                  <c:v>Alokacja</c:v>
                </c:pt>
                <c:pt idx="1">
                  <c:v>Wnioski po ocenie formalnej</c:v>
                </c:pt>
                <c:pt idx="2">
                  <c:v>Zatwierdzone wnioski o dofinansowanie </c:v>
                </c:pt>
                <c:pt idx="3">
                  <c:v>Podpisane umowy</c:v>
                </c:pt>
                <c:pt idx="4">
                  <c:v>Wnioski o płatność</c:v>
                </c:pt>
                <c:pt idx="5">
                  <c:v>Deklaracje zatwierdzone przez IC</c:v>
                </c:pt>
              </c:strCache>
            </c:strRef>
          </c:cat>
          <c:val>
            <c:numRef>
              <c:f>'realizacja priorytetu'!$B$4:$G$4</c:f>
              <c:numCache>
                <c:formatCode>#,##0.00</c:formatCode>
                <c:ptCount val="6"/>
                <c:pt idx="0">
                  <c:v>43.2</c:v>
                </c:pt>
                <c:pt idx="1">
                  <c:v>20.52</c:v>
                </c:pt>
                <c:pt idx="2">
                  <c:v>20.52</c:v>
                </c:pt>
                <c:pt idx="3">
                  <c:v>17.29</c:v>
                </c:pt>
                <c:pt idx="4">
                  <c:v>12.68</c:v>
                </c:pt>
                <c:pt idx="5">
                  <c:v>11.01</c:v>
                </c:pt>
              </c:numCache>
            </c:numRef>
          </c:val>
        </c:ser>
        <c:dLbls>
          <c:showLegendKey val="0"/>
          <c:showVal val="0"/>
          <c:showCatName val="0"/>
          <c:showSerName val="0"/>
          <c:showPercent val="0"/>
          <c:showBubbleSize val="0"/>
        </c:dLbls>
        <c:gapWidth val="60"/>
        <c:gapDepth val="140"/>
        <c:shape val="box"/>
        <c:axId val="153830528"/>
        <c:axId val="153832064"/>
        <c:axId val="139484224"/>
      </c:bar3DChart>
      <c:catAx>
        <c:axId val="153830528"/>
        <c:scaling>
          <c:orientation val="minMax"/>
        </c:scaling>
        <c:delete val="0"/>
        <c:axPos val="b"/>
        <c:numFmt formatCode="General" sourceLinked="1"/>
        <c:majorTickMark val="none"/>
        <c:minorTickMark val="none"/>
        <c:tickLblPos val="nextTo"/>
        <c:txPr>
          <a:bodyPr/>
          <a:lstStyle/>
          <a:p>
            <a:pPr>
              <a:defRPr sz="800" b="1">
                <a:latin typeface="Times New Roman" pitchFamily="18" charset="0"/>
                <a:cs typeface="Times New Roman" pitchFamily="18" charset="0"/>
              </a:defRPr>
            </a:pPr>
            <a:endParaRPr lang="pl-PL"/>
          </a:p>
        </c:txPr>
        <c:crossAx val="153832064"/>
        <c:crosses val="autoZero"/>
        <c:auto val="1"/>
        <c:lblAlgn val="ctr"/>
        <c:lblOffset val="100"/>
        <c:noMultiLvlLbl val="0"/>
      </c:catAx>
      <c:valAx>
        <c:axId val="153832064"/>
        <c:scaling>
          <c:orientation val="minMax"/>
        </c:scaling>
        <c:delete val="0"/>
        <c:axPos val="l"/>
        <c:majorGridlines/>
        <c:minorGridlines>
          <c:spPr>
            <a:ln w="9525">
              <a:solidFill>
                <a:schemeClr val="bg1"/>
              </a:solidFill>
            </a:ln>
            <a:effectLst/>
          </c:spPr>
        </c:minorGridlines>
        <c:title>
          <c:tx>
            <c:rich>
              <a:bodyPr rot="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mln</a:t>
                </a:r>
                <a:r>
                  <a:rPr lang="pl-PL">
                    <a:latin typeface="Times New Roman" pitchFamily="18" charset="0"/>
                    <a:cs typeface="Times New Roman" pitchFamily="18" charset="0"/>
                  </a:rPr>
                  <a:t> EUR</a:t>
                </a:r>
                <a:r>
                  <a:rPr lang="en-US">
                    <a:latin typeface="Times New Roman" pitchFamily="18" charset="0"/>
                    <a:cs typeface="Times New Roman" pitchFamily="18" charset="0"/>
                  </a:rPr>
                  <a:t> </a:t>
                </a:r>
              </a:p>
            </c:rich>
          </c:tx>
          <c:layout>
            <c:manualLayout>
              <c:xMode val="edge"/>
              <c:yMode val="edge"/>
              <c:x val="3.4513318419885822E-2"/>
              <c:y val="9.7965088701261763E-2"/>
            </c:manualLayout>
          </c:layout>
          <c:overlay val="0"/>
        </c:title>
        <c:numFmt formatCode="#,##0.00" sourceLinked="1"/>
        <c:majorTickMark val="out"/>
        <c:minorTickMark val="none"/>
        <c:tickLblPos val="nextTo"/>
        <c:txPr>
          <a:bodyPr/>
          <a:lstStyle/>
          <a:p>
            <a:pPr>
              <a:defRPr sz="800" b="1">
                <a:latin typeface="Times New Roman" pitchFamily="18" charset="0"/>
                <a:cs typeface="Times New Roman" pitchFamily="18" charset="0"/>
              </a:defRPr>
            </a:pPr>
            <a:endParaRPr lang="pl-PL"/>
          </a:p>
        </c:txPr>
        <c:crossAx val="153830528"/>
        <c:crosses val="autoZero"/>
        <c:crossBetween val="between"/>
      </c:valAx>
      <c:serAx>
        <c:axId val="139484224"/>
        <c:scaling>
          <c:orientation val="minMax"/>
        </c:scaling>
        <c:delete val="1"/>
        <c:axPos val="b"/>
        <c:majorTickMark val="out"/>
        <c:minorTickMark val="none"/>
        <c:tickLblPos val="none"/>
        <c:crossAx val="153832064"/>
        <c:crosses val="autoZero"/>
      </c:serAx>
      <c:spPr>
        <a:noFill/>
      </c:spPr>
    </c:plotArea>
    <c:legend>
      <c:legendPos val="b"/>
      <c:overlay val="0"/>
      <c:txPr>
        <a:bodyPr/>
        <a:lstStyle/>
        <a:p>
          <a:pPr>
            <a:defRPr sz="900" b="1">
              <a:latin typeface="Times New Roman" pitchFamily="18" charset="0"/>
              <a:cs typeface="Times New Roman" pitchFamily="18" charset="0"/>
            </a:defRPr>
          </a:pPr>
          <a:endParaRPr lang="pl-PL"/>
        </a:p>
      </c:txPr>
    </c:legend>
    <c:plotVisOnly val="1"/>
    <c:dispBlanksAs val="gap"/>
    <c:showDLblsOverMax val="0"/>
  </c:chart>
  <c:spPr>
    <a:ln w="34925">
      <a:solidFill>
        <a:srgbClr val="9B2D1F">
          <a:lumMod val="60000"/>
          <a:lumOff val="40000"/>
        </a:srgbClr>
      </a:solid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1"/>
          <c:order val="0"/>
          <c:tx>
            <c:v>in 2011</c:v>
          </c:tx>
          <c:spPr>
            <a:solidFill>
              <a:srgbClr val="92D050"/>
            </a:solidFill>
          </c:spPr>
          <c:invertIfNegative val="0"/>
          <c:dLbls>
            <c:dLbl>
              <c:idx val="0"/>
              <c:layout>
                <c:manualLayout>
                  <c:x val="6.3291139240506519E-3"/>
                  <c:y val="9.5238095238095247E-2"/>
                </c:manualLayout>
              </c:layout>
              <c:showLegendKey val="0"/>
              <c:showVal val="1"/>
              <c:showCatName val="0"/>
              <c:showSerName val="0"/>
              <c:showPercent val="0"/>
              <c:showBubbleSize val="0"/>
            </c:dLbl>
            <c:dLbl>
              <c:idx val="1"/>
              <c:layout>
                <c:manualLayout>
                  <c:x val="1.2658227848101266E-2"/>
                  <c:y val="3.6281179138322052E-2"/>
                </c:manualLayout>
              </c:layout>
              <c:showLegendKey val="0"/>
              <c:showVal val="1"/>
              <c:showCatName val="0"/>
              <c:showSerName val="0"/>
              <c:showPercent val="0"/>
              <c:showBubbleSize val="0"/>
            </c:dLbl>
            <c:dLbl>
              <c:idx val="2"/>
              <c:layout>
                <c:manualLayout>
                  <c:x val="1.2658227848101266E-2"/>
                  <c:y val="4.9886621315193114E-2"/>
                </c:manualLayout>
              </c:layout>
              <c:showLegendKey val="0"/>
              <c:showVal val="1"/>
              <c:showCatName val="0"/>
              <c:showSerName val="0"/>
              <c:showPercent val="0"/>
              <c:showBubbleSize val="0"/>
            </c:dLbl>
            <c:dLbl>
              <c:idx val="3"/>
              <c:layout>
                <c:manualLayout>
                  <c:x val="1.0548523206751106E-2"/>
                  <c:y val="2.7210884353741478E-2"/>
                </c:manualLayout>
              </c:layout>
              <c:showLegendKey val="0"/>
              <c:showVal val="1"/>
              <c:showCatName val="0"/>
              <c:showSerName val="0"/>
              <c:showPercent val="0"/>
              <c:showBubbleSize val="0"/>
            </c:dLbl>
            <c:dLbl>
              <c:idx val="4"/>
              <c:layout>
                <c:manualLayout>
                  <c:x val="4.2194092827004459E-3"/>
                  <c:y val="3.1746031746031744E-2"/>
                </c:manualLayout>
              </c:layout>
              <c:showLegendKey val="0"/>
              <c:showVal val="1"/>
              <c:showCatName val="0"/>
              <c:showSerName val="0"/>
              <c:showPercent val="0"/>
              <c:showBubbleSize val="0"/>
            </c:dLbl>
            <c:dLbl>
              <c:idx val="5"/>
              <c:layout>
                <c:manualLayout>
                  <c:x val="0"/>
                  <c:y val="2.721088435374147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'Wdrażanie ogólnie RPO'!$B$34:$H$34</c:f>
              <c:strCache>
                <c:ptCount val="6"/>
                <c:pt idx="0">
                  <c:v>Allocation</c:v>
                </c:pt>
                <c:pt idx="1">
                  <c:v>Applications formally approved</c:v>
                </c:pt>
                <c:pt idx="2">
                  <c:v>Applications selected for financing</c:v>
                </c:pt>
                <c:pt idx="3">
                  <c:v>Agreements signed</c:v>
                </c:pt>
                <c:pt idx="4">
                  <c:v>Applications of payment</c:v>
                </c:pt>
                <c:pt idx="5">
                  <c:v>Decrarations approved by the IC</c:v>
                </c:pt>
              </c:strCache>
            </c:strRef>
          </c:cat>
          <c:val>
            <c:numRef>
              <c:f>'Wdrażanie ogólnie RPO'!$B$36:$H$36</c:f>
              <c:numCache>
                <c:formatCode>General</c:formatCode>
                <c:ptCount val="6"/>
                <c:pt idx="0">
                  <c:v>1747.1</c:v>
                </c:pt>
                <c:pt idx="1">
                  <c:v>389.26</c:v>
                </c:pt>
                <c:pt idx="2">
                  <c:v>351.53</c:v>
                </c:pt>
                <c:pt idx="3">
                  <c:v>335.28999999999905</c:v>
                </c:pt>
                <c:pt idx="4">
                  <c:v>260.32</c:v>
                </c:pt>
                <c:pt idx="5">
                  <c:v>234.10999999999999</c:v>
                </c:pt>
              </c:numCache>
            </c:numRef>
          </c:val>
        </c:ser>
        <c:ser>
          <c:idx val="0"/>
          <c:order val="1"/>
          <c:tx>
            <c:v>Since the Programme launch</c:v>
          </c:tx>
          <c:invertIfNegative val="0"/>
          <c:dLbls>
            <c:showLegendKey val="0"/>
            <c:showVal val="1"/>
            <c:showCatName val="0"/>
            <c:showSerName val="0"/>
            <c:showPercent val="0"/>
            <c:showBubbleSize val="0"/>
            <c:showLeaderLines val="0"/>
          </c:dLbls>
          <c:cat>
            <c:strRef>
              <c:f>'Wdrażanie ogólnie RPO'!$B$34:$H$34</c:f>
              <c:strCache>
                <c:ptCount val="6"/>
                <c:pt idx="0">
                  <c:v>Allocation</c:v>
                </c:pt>
                <c:pt idx="1">
                  <c:v>Applications formally approved</c:v>
                </c:pt>
                <c:pt idx="2">
                  <c:v>Applications selected for financing</c:v>
                </c:pt>
                <c:pt idx="3">
                  <c:v>Agreements signed</c:v>
                </c:pt>
                <c:pt idx="4">
                  <c:v>Applications of payment</c:v>
                </c:pt>
                <c:pt idx="5">
                  <c:v>Decrarations approved by the IC</c:v>
                </c:pt>
              </c:strCache>
            </c:strRef>
          </c:cat>
          <c:val>
            <c:numRef>
              <c:f>'Wdrażanie ogólnie RPO'!$B$35:$H$35</c:f>
              <c:numCache>
                <c:formatCode>#,##0.00</c:formatCode>
                <c:ptCount val="6"/>
                <c:pt idx="1">
                  <c:v>2473.7399999999998</c:v>
                </c:pt>
                <c:pt idx="2">
                  <c:v>1417.1</c:v>
                </c:pt>
                <c:pt idx="3">
                  <c:v>1172.29</c:v>
                </c:pt>
                <c:pt idx="4">
                  <c:v>588.58000000000004</c:v>
                </c:pt>
                <c:pt idx="5" formatCode="General">
                  <c:v>535.03</c:v>
                </c:pt>
              </c:numCache>
            </c:numRef>
          </c:val>
        </c:ser>
        <c:dLbls>
          <c:showLegendKey val="0"/>
          <c:showVal val="0"/>
          <c:showCatName val="0"/>
          <c:showSerName val="0"/>
          <c:showPercent val="0"/>
          <c:showBubbleSize val="0"/>
        </c:dLbls>
        <c:gapWidth val="150"/>
        <c:shape val="box"/>
        <c:axId val="152870272"/>
        <c:axId val="152880256"/>
        <c:axId val="152839040"/>
      </c:bar3DChart>
      <c:catAx>
        <c:axId val="152870272"/>
        <c:scaling>
          <c:orientation val="minMax"/>
        </c:scaling>
        <c:delete val="0"/>
        <c:axPos val="b"/>
        <c:majorTickMark val="out"/>
        <c:minorTickMark val="none"/>
        <c:tickLblPos val="nextTo"/>
        <c:crossAx val="152880256"/>
        <c:crosses val="autoZero"/>
        <c:auto val="1"/>
        <c:lblAlgn val="ctr"/>
        <c:lblOffset val="100"/>
        <c:noMultiLvlLbl val="0"/>
      </c:catAx>
      <c:valAx>
        <c:axId val="152880256"/>
        <c:scaling>
          <c:orientation val="minMax"/>
        </c:scaling>
        <c:delete val="0"/>
        <c:axPos val="l"/>
        <c:majorGridlines/>
        <c:numFmt formatCode="General" sourceLinked="1"/>
        <c:majorTickMark val="out"/>
        <c:minorTickMark val="none"/>
        <c:tickLblPos val="nextTo"/>
        <c:crossAx val="152870272"/>
        <c:crosses val="autoZero"/>
        <c:crossBetween val="between"/>
      </c:valAx>
      <c:serAx>
        <c:axId val="152839040"/>
        <c:scaling>
          <c:orientation val="minMax"/>
        </c:scaling>
        <c:delete val="1"/>
        <c:axPos val="b"/>
        <c:majorTickMark val="out"/>
        <c:minorTickMark val="none"/>
        <c:tickLblPos val="none"/>
        <c:crossAx val="152880256"/>
        <c:crosses val="autoZero"/>
      </c:serAx>
    </c:plotArea>
    <c:legend>
      <c:legendPos val="b"/>
      <c:overlay val="0"/>
    </c:legend>
    <c:plotVisOnly val="1"/>
    <c:dispBlanksAs val="gap"/>
    <c:showDLblsOverMax val="0"/>
  </c:chart>
  <c:spPr>
    <a:ln w="34925">
      <a:solidFill>
        <a:schemeClr val="accent1"/>
      </a:solidFill>
    </a:ln>
  </c:spPr>
  <c:txPr>
    <a:bodyPr/>
    <a:lstStyle/>
    <a:p>
      <a:pPr>
        <a:defRPr b="1">
          <a:latin typeface="Times New Roman" pitchFamily="18" charset="0"/>
          <a:cs typeface="Times New Roman" pitchFamily="18" charset="0"/>
        </a:defRPr>
      </a:pPr>
      <a:endParaRPr lang="pl-PL"/>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'Poziom wykorzystania środków'!$B$2</c:f>
              <c:strCache>
                <c:ptCount val="1"/>
                <c:pt idx="0">
                  <c:v>Alokacja mln PLN</c:v>
                </c:pt>
              </c:strCache>
            </c:strRef>
          </c:tx>
          <c:dLbls>
            <c:dLblPos val="t"/>
            <c:showLegendKey val="0"/>
            <c:showVal val="1"/>
            <c:showCatName val="0"/>
            <c:showSerName val="0"/>
            <c:showPercent val="0"/>
            <c:showBubbleSize val="0"/>
            <c:showLeaderLines val="0"/>
          </c:dLbls>
          <c:cat>
            <c:strRef>
              <c:f>'Poziom wykorzystania środków'!$A$3:$A$13</c:f>
              <c:strCache>
                <c:ptCount val="11"/>
                <c:pt idx="0">
                  <c:v>I</c:v>
                </c:pt>
                <c:pt idx="1">
                  <c:v>II</c:v>
                </c:pt>
                <c:pt idx="2">
                  <c:v>III</c:v>
                </c:pt>
                <c:pt idx="3">
                  <c:v>IV</c:v>
                </c:pt>
                <c:pt idx="4">
                  <c:v>V</c:v>
                </c:pt>
                <c:pt idx="5">
                  <c:v>VI</c:v>
                </c:pt>
                <c:pt idx="6">
                  <c:v>VII</c:v>
                </c:pt>
                <c:pt idx="7">
                  <c:v>VIII</c:v>
                </c:pt>
                <c:pt idx="8">
                  <c:v>IX</c:v>
                </c:pt>
                <c:pt idx="9">
                  <c:v>X</c:v>
                </c:pt>
                <c:pt idx="10">
                  <c:v>ROP SV</c:v>
                </c:pt>
              </c:strCache>
            </c:strRef>
          </c:cat>
          <c:val>
            <c:numRef>
              <c:f>'Poziom wykorzystania środków'!$B$3:$B$13</c:f>
            </c:numRef>
          </c:val>
          <c:smooth val="0"/>
        </c:ser>
        <c:ser>
          <c:idx val="1"/>
          <c:order val="1"/>
          <c:tx>
            <c:strRef>
              <c:f>'Poziom wykorzystania środków'!$C$2</c:f>
              <c:strCache>
                <c:ptCount val="1"/>
                <c:pt idx="0">
                  <c:v>Applications selected for financing</c:v>
                </c:pt>
              </c:strCache>
            </c:strRef>
          </c:tx>
          <c:spPr>
            <a:ln w="34925">
              <a:solidFill>
                <a:srgbClr val="FF0000"/>
              </a:solidFill>
            </a:ln>
          </c:spPr>
          <c:marker>
            <c:symbol val="none"/>
          </c:marker>
          <c:dLbls>
            <c:dLbl>
              <c:idx val="4"/>
              <c:layout>
                <c:manualLayout>
                  <c:x val="-2.9780059138177339E-2"/>
                  <c:y val="-2.2329726769765291E-2"/>
                </c:manualLayout>
              </c:layout>
              <c:dLblPos val="r"/>
              <c:showLegendKey val="0"/>
              <c:showVal val="1"/>
              <c:showCatName val="0"/>
              <c:showSerName val="0"/>
              <c:showPercent val="0"/>
              <c:showBubbleSize val="0"/>
            </c:dLbl>
            <c:dLbl>
              <c:idx val="5"/>
              <c:layout>
                <c:manualLayout>
                  <c:x val="-5.4563492063492113E-2"/>
                  <c:y val="1.2079775981981192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'Poziom wykorzystania środków'!$A$3:$A$13</c:f>
              <c:strCache>
                <c:ptCount val="11"/>
                <c:pt idx="0">
                  <c:v>I</c:v>
                </c:pt>
                <c:pt idx="1">
                  <c:v>II</c:v>
                </c:pt>
                <c:pt idx="2">
                  <c:v>III</c:v>
                </c:pt>
                <c:pt idx="3">
                  <c:v>IV</c:v>
                </c:pt>
                <c:pt idx="4">
                  <c:v>V</c:v>
                </c:pt>
                <c:pt idx="5">
                  <c:v>VI</c:v>
                </c:pt>
                <c:pt idx="6">
                  <c:v>VII</c:v>
                </c:pt>
                <c:pt idx="7">
                  <c:v>VIII</c:v>
                </c:pt>
                <c:pt idx="8">
                  <c:v>IX</c:v>
                </c:pt>
                <c:pt idx="9">
                  <c:v>X</c:v>
                </c:pt>
                <c:pt idx="10">
                  <c:v>ROP SV</c:v>
                </c:pt>
              </c:strCache>
            </c:strRef>
          </c:cat>
          <c:val>
            <c:numRef>
              <c:f>'Poziom wykorzystania środków'!$C$3:$C$13</c:f>
              <c:numCache>
                <c:formatCode>0.00%</c:formatCode>
                <c:ptCount val="11"/>
                <c:pt idx="0">
                  <c:v>0.65053898602064519</c:v>
                </c:pt>
                <c:pt idx="1">
                  <c:v>0.80664195700519337</c:v>
                </c:pt>
                <c:pt idx="2">
                  <c:v>0.78494535798182064</c:v>
                </c:pt>
                <c:pt idx="3">
                  <c:v>1.0300595894945941</c:v>
                </c:pt>
                <c:pt idx="4">
                  <c:v>1.0352030510983699</c:v>
                </c:pt>
                <c:pt idx="5">
                  <c:v>0.77738420414542664</c:v>
                </c:pt>
                <c:pt idx="6">
                  <c:v>0.9033349707985372</c:v>
                </c:pt>
                <c:pt idx="7">
                  <c:v>0.95296540827267084</c:v>
                </c:pt>
                <c:pt idx="8">
                  <c:v>1.0665403156029818</c:v>
                </c:pt>
                <c:pt idx="9">
                  <c:v>0.48664501937781607</c:v>
                </c:pt>
                <c:pt idx="10">
                  <c:v>0.83608520842700662</c:v>
                </c:pt>
              </c:numCache>
            </c:numRef>
          </c:val>
          <c:smooth val="0"/>
        </c:ser>
        <c:ser>
          <c:idx val="2"/>
          <c:order val="2"/>
          <c:tx>
            <c:strRef>
              <c:f>'Poziom wykorzystania środków'!$D$2</c:f>
              <c:strCache>
                <c:ptCount val="1"/>
                <c:pt idx="0">
                  <c:v>Signed contracts</c:v>
                </c:pt>
              </c:strCache>
            </c:strRef>
          </c:tx>
          <c:spPr>
            <a:ln w="34925">
              <a:solidFill>
                <a:srgbClr val="92D050"/>
              </a:solidFill>
            </a:ln>
          </c:spPr>
          <c:marker>
            <c:symbol val="none"/>
          </c:marker>
          <c:dLbls>
            <c:dLbl>
              <c:idx val="1"/>
              <c:layout>
                <c:manualLayout>
                  <c:x val="-4.5745149911816579E-2"/>
                  <c:y val="5.1106744539151074E-2"/>
                </c:manualLayout>
              </c:layout>
              <c:dLblPos val="r"/>
              <c:showLegendKey val="0"/>
              <c:showVal val="1"/>
              <c:showCatName val="0"/>
              <c:showSerName val="0"/>
              <c:showPercent val="0"/>
              <c:showBubbleSize val="0"/>
            </c:dLbl>
            <c:dLbl>
              <c:idx val="5"/>
              <c:layout>
                <c:manualLayout>
                  <c:x val="-5.6768077601410984E-2"/>
                  <c:y val="-3.0664046723490646E-2"/>
                </c:manualLayout>
              </c:layout>
              <c:dLblPos val="r"/>
              <c:showLegendKey val="0"/>
              <c:showVal val="1"/>
              <c:showCatName val="0"/>
              <c:showSerName val="0"/>
              <c:showPercent val="0"/>
              <c:showBubbleSize val="0"/>
            </c:dLbl>
            <c:dLbl>
              <c:idx val="9"/>
              <c:layout>
                <c:manualLayout>
                  <c:x val="-5.6768077601410984E-2"/>
                  <c:y val="1.0221348907830215E-2"/>
                </c:manualLayout>
              </c:layout>
              <c:dLblPos val="r"/>
              <c:showLegendKey val="0"/>
              <c:showVal val="1"/>
              <c:showCatName val="0"/>
              <c:showSerName val="0"/>
              <c:showPercent val="0"/>
              <c:showBubbleSize val="0"/>
            </c:dLbl>
            <c:dLbl>
              <c:idx val="10"/>
              <c:layout>
                <c:manualLayout>
                  <c:x val="-1.5996264355844406E-2"/>
                  <c:y val="1.7655057204434003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'Poziom wykorzystania środków'!$A$3:$A$13</c:f>
              <c:strCache>
                <c:ptCount val="11"/>
                <c:pt idx="0">
                  <c:v>I</c:v>
                </c:pt>
                <c:pt idx="1">
                  <c:v>II</c:v>
                </c:pt>
                <c:pt idx="2">
                  <c:v>III</c:v>
                </c:pt>
                <c:pt idx="3">
                  <c:v>IV</c:v>
                </c:pt>
                <c:pt idx="4">
                  <c:v>V</c:v>
                </c:pt>
                <c:pt idx="5">
                  <c:v>VI</c:v>
                </c:pt>
                <c:pt idx="6">
                  <c:v>VII</c:v>
                </c:pt>
                <c:pt idx="7">
                  <c:v>VIII</c:v>
                </c:pt>
                <c:pt idx="8">
                  <c:v>IX</c:v>
                </c:pt>
                <c:pt idx="9">
                  <c:v>X</c:v>
                </c:pt>
                <c:pt idx="10">
                  <c:v>ROP SV</c:v>
                </c:pt>
              </c:strCache>
            </c:strRef>
          </c:cat>
          <c:val>
            <c:numRef>
              <c:f>'Poziom wykorzystania środków'!$D$3:$D$13</c:f>
              <c:numCache>
                <c:formatCode>0.00%</c:formatCode>
                <c:ptCount val="11"/>
                <c:pt idx="0">
                  <c:v>0.51949872395535746</c:v>
                </c:pt>
                <c:pt idx="1">
                  <c:v>0.51454410674573758</c:v>
                </c:pt>
                <c:pt idx="2">
                  <c:v>0.64214074149729361</c:v>
                </c:pt>
                <c:pt idx="3">
                  <c:v>0.91776649746192851</c:v>
                </c:pt>
                <c:pt idx="4">
                  <c:v>0.76116875133297368</c:v>
                </c:pt>
                <c:pt idx="5">
                  <c:v>0.86732592278815879</c:v>
                </c:pt>
                <c:pt idx="6">
                  <c:v>0.66660216046166598</c:v>
                </c:pt>
                <c:pt idx="7">
                  <c:v>0.88962248180124981</c:v>
                </c:pt>
                <c:pt idx="8">
                  <c:v>0.92472498042931894</c:v>
                </c:pt>
                <c:pt idx="9">
                  <c:v>0.40986697391851057</c:v>
                </c:pt>
                <c:pt idx="10">
                  <c:v>0.6916466287412274</c:v>
                </c:pt>
              </c:numCache>
            </c:numRef>
          </c:val>
          <c:smooth val="0"/>
        </c:ser>
        <c:ser>
          <c:idx val="3"/>
          <c:order val="3"/>
          <c:tx>
            <c:strRef>
              <c:f>'Poziom wykorzystania środków'!$E$2</c:f>
              <c:strCache>
                <c:ptCount val="1"/>
                <c:pt idx="0">
                  <c:v>Payments </c:v>
                </c:pt>
              </c:strCache>
            </c:strRef>
          </c:tx>
          <c:spPr>
            <a:ln w="34925">
              <a:solidFill>
                <a:srgbClr val="0070C0"/>
              </a:solidFill>
            </a:ln>
          </c:spPr>
          <c:marker>
            <c:symbol val="none"/>
          </c:marker>
          <c:dLbls>
            <c:dLbl>
              <c:idx val="9"/>
              <c:layout>
                <c:manualLayout>
                  <c:x val="-5.4563492063492113E-2"/>
                  <c:y val="2.8805619649339802E-2"/>
                </c:manualLayout>
              </c:layout>
              <c:dLblPos val="r"/>
              <c:showLegendKey val="0"/>
              <c:showVal val="1"/>
              <c:showCatName val="0"/>
              <c:showSerName val="0"/>
              <c:showPercent val="0"/>
              <c:showBubbleSize val="0"/>
            </c:dLbl>
            <c:dLbl>
              <c:idx val="10"/>
              <c:layout>
                <c:manualLayout>
                  <c:x val="-1.5996264355844406E-2"/>
                  <c:y val="-3.8097755020094451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'Poziom wykorzystania środków'!$A$3:$A$13</c:f>
              <c:strCache>
                <c:ptCount val="11"/>
                <c:pt idx="0">
                  <c:v>I</c:v>
                </c:pt>
                <c:pt idx="1">
                  <c:v>II</c:v>
                </c:pt>
                <c:pt idx="2">
                  <c:v>III</c:v>
                </c:pt>
                <c:pt idx="3">
                  <c:v>IV</c:v>
                </c:pt>
                <c:pt idx="4">
                  <c:v>V</c:v>
                </c:pt>
                <c:pt idx="5">
                  <c:v>VI</c:v>
                </c:pt>
                <c:pt idx="6">
                  <c:v>VII</c:v>
                </c:pt>
                <c:pt idx="7">
                  <c:v>VIII</c:v>
                </c:pt>
                <c:pt idx="8">
                  <c:v>IX</c:v>
                </c:pt>
                <c:pt idx="9">
                  <c:v>X</c:v>
                </c:pt>
                <c:pt idx="10">
                  <c:v>ROP SV</c:v>
                </c:pt>
              </c:strCache>
            </c:strRef>
          </c:cat>
          <c:val>
            <c:numRef>
              <c:f>'Poziom wykorzystania środków'!$E$3:$E$13</c:f>
              <c:numCache>
                <c:formatCode>0.00%</c:formatCode>
                <c:ptCount val="11"/>
                <c:pt idx="0">
                  <c:v>0.30089513579400556</c:v>
                </c:pt>
                <c:pt idx="1">
                  <c:v>7.897702001482583E-2</c:v>
                </c:pt>
                <c:pt idx="2">
                  <c:v>0.33013992442038609</c:v>
                </c:pt>
                <c:pt idx="3">
                  <c:v>0.61853895387331714</c:v>
                </c:pt>
                <c:pt idx="4">
                  <c:v>0.31153320202235635</c:v>
                </c:pt>
                <c:pt idx="5">
                  <c:v>0.33672455850776462</c:v>
                </c:pt>
                <c:pt idx="6">
                  <c:v>0.41709712153465334</c:v>
                </c:pt>
                <c:pt idx="7">
                  <c:v>0.53337847751255563</c:v>
                </c:pt>
                <c:pt idx="8">
                  <c:v>0.71752296979934616</c:v>
                </c:pt>
                <c:pt idx="9">
                  <c:v>0.30067036765476279</c:v>
                </c:pt>
                <c:pt idx="10">
                  <c:v>0.35457418593891693</c:v>
                </c:pt>
              </c:numCache>
            </c:numRef>
          </c:val>
          <c:smooth val="0"/>
        </c:ser>
        <c:dLbls>
          <c:showLegendKey val="0"/>
          <c:showVal val="1"/>
          <c:showCatName val="0"/>
          <c:showSerName val="0"/>
          <c:showPercent val="0"/>
          <c:showBubbleSize val="0"/>
        </c:dLbls>
        <c:marker val="1"/>
        <c:smooth val="0"/>
        <c:axId val="153651456"/>
        <c:axId val="155189248"/>
      </c:lineChart>
      <c:catAx>
        <c:axId val="153651456"/>
        <c:scaling>
          <c:orientation val="minMax"/>
        </c:scaling>
        <c:delete val="0"/>
        <c:axPos val="b"/>
        <c:majorTickMark val="out"/>
        <c:minorTickMark val="none"/>
        <c:tickLblPos val="nextTo"/>
        <c:crossAx val="155189248"/>
        <c:crosses val="autoZero"/>
        <c:auto val="1"/>
        <c:lblAlgn val="ctr"/>
        <c:lblOffset val="100"/>
        <c:noMultiLvlLbl val="0"/>
      </c:catAx>
      <c:valAx>
        <c:axId val="155189248"/>
        <c:scaling>
          <c:orientation val="minMax"/>
        </c:scaling>
        <c:delete val="0"/>
        <c:axPos val="l"/>
        <c:majorGridlines/>
        <c:numFmt formatCode="0.00%" sourceLinked="1"/>
        <c:majorTickMark val="out"/>
        <c:minorTickMark val="none"/>
        <c:tickLblPos val="nextTo"/>
        <c:crossAx val="153651456"/>
        <c:crosses val="autoZero"/>
        <c:crossBetween val="between"/>
      </c:valAx>
      <c:spPr>
        <a:solidFill>
          <a:schemeClr val="bg1">
            <a:lumMod val="85000"/>
          </a:schemeClr>
        </a:solidFill>
      </c:spPr>
    </c:plotArea>
    <c:legend>
      <c:legendPos val="b"/>
      <c:overlay val="0"/>
    </c:legend>
    <c:plotVisOnly val="1"/>
    <c:dispBlanksAs val="gap"/>
    <c:showDLblsOverMax val="0"/>
  </c:chart>
  <c:spPr>
    <a:ln w="34925">
      <a:solidFill>
        <a:schemeClr val="tx1"/>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'Podział na kwartły'!$B$1</c:f>
              <c:strCache>
                <c:ptCount val="1"/>
                <c:pt idx="0">
                  <c:v>Applications selected for financing</c:v>
                </c:pt>
              </c:strCache>
            </c:strRef>
          </c:tx>
          <c:spPr>
            <a:ln w="34925">
              <a:solidFill>
                <a:srgbClr val="0070C0"/>
              </a:solidFill>
            </a:ln>
          </c:spPr>
          <c:marker>
            <c:symbol val="none"/>
          </c:marker>
          <c:dLbls>
            <c:dLblPos val="t"/>
            <c:showLegendKey val="0"/>
            <c:showVal val="1"/>
            <c:showCatName val="0"/>
            <c:showSerName val="0"/>
            <c:showPercent val="0"/>
            <c:showBubbleSize val="0"/>
            <c:showLeaderLines val="0"/>
          </c:dLbls>
          <c:cat>
            <c:strRef>
              <c:f>'Podział na kwartły'!$A$2:$A$10</c:f>
              <c:strCache>
                <c:ptCount val="9"/>
                <c:pt idx="0">
                  <c:v>IV 2009</c:v>
                </c:pt>
                <c:pt idx="1">
                  <c:v>I 2010</c:v>
                </c:pt>
                <c:pt idx="2">
                  <c:v>II 2010</c:v>
                </c:pt>
                <c:pt idx="3">
                  <c:v>III 2010</c:v>
                </c:pt>
                <c:pt idx="4">
                  <c:v>IV 2010</c:v>
                </c:pt>
                <c:pt idx="5">
                  <c:v>I 2011</c:v>
                </c:pt>
                <c:pt idx="6">
                  <c:v>II 2011</c:v>
                </c:pt>
                <c:pt idx="7">
                  <c:v>III 2011</c:v>
                </c:pt>
                <c:pt idx="8">
                  <c:v>IV 2011</c:v>
                </c:pt>
              </c:strCache>
            </c:strRef>
          </c:cat>
          <c:val>
            <c:numRef>
              <c:f>'Podział na kwartły'!$B$2:$B$10</c:f>
              <c:numCache>
                <c:formatCode>#,##0.00</c:formatCode>
                <c:ptCount val="9"/>
                <c:pt idx="0">
                  <c:v>0.59642147117295996</c:v>
                </c:pt>
                <c:pt idx="1">
                  <c:v>0.67815330240777794</c:v>
                </c:pt>
                <c:pt idx="2">
                  <c:v>0.87033355423017644</c:v>
                </c:pt>
                <c:pt idx="3">
                  <c:v>0.9940357852882703</c:v>
                </c:pt>
                <c:pt idx="4">
                  <c:v>1.0558869008173184</c:v>
                </c:pt>
                <c:pt idx="5">
                  <c:v>1.1729622266401589</c:v>
                </c:pt>
                <c:pt idx="6">
                  <c:v>1.2569030262867285</c:v>
                </c:pt>
                <c:pt idx="7" formatCode="0.00">
                  <c:v>1.3165451734040203</c:v>
                </c:pt>
                <c:pt idx="8">
                  <c:v>1.3916500994035785</c:v>
                </c:pt>
              </c:numCache>
            </c:numRef>
          </c:val>
          <c:smooth val="0"/>
        </c:ser>
        <c:ser>
          <c:idx val="1"/>
          <c:order val="1"/>
          <c:tx>
            <c:strRef>
              <c:f>'Podział na kwartły'!$C$1</c:f>
              <c:strCache>
                <c:ptCount val="1"/>
                <c:pt idx="0">
                  <c:v>Signed contracts for funding</c:v>
                </c:pt>
              </c:strCache>
            </c:strRef>
          </c:tx>
          <c:spPr>
            <a:ln w="34925">
              <a:solidFill>
                <a:srgbClr val="92D050"/>
              </a:solidFill>
            </a:ln>
          </c:spPr>
          <c:marker>
            <c:symbol val="none"/>
          </c:marker>
          <c:dLbls>
            <c:dLblPos val="t"/>
            <c:showLegendKey val="0"/>
            <c:showVal val="1"/>
            <c:showCatName val="0"/>
            <c:showSerName val="0"/>
            <c:showPercent val="0"/>
            <c:showBubbleSize val="0"/>
            <c:showLeaderLines val="0"/>
          </c:dLbls>
          <c:cat>
            <c:strRef>
              <c:f>'Podział na kwartły'!$A$2:$A$10</c:f>
              <c:strCache>
                <c:ptCount val="9"/>
                <c:pt idx="0">
                  <c:v>IV 2009</c:v>
                </c:pt>
                <c:pt idx="1">
                  <c:v>I 2010</c:v>
                </c:pt>
                <c:pt idx="2">
                  <c:v>II 2010</c:v>
                </c:pt>
                <c:pt idx="3">
                  <c:v>III 2010</c:v>
                </c:pt>
                <c:pt idx="4">
                  <c:v>IV 2010</c:v>
                </c:pt>
                <c:pt idx="5">
                  <c:v>I 2011</c:v>
                </c:pt>
                <c:pt idx="6">
                  <c:v>II 2011</c:v>
                </c:pt>
                <c:pt idx="7">
                  <c:v>III 2011</c:v>
                </c:pt>
                <c:pt idx="8">
                  <c:v>IV 2011</c:v>
                </c:pt>
              </c:strCache>
            </c:strRef>
          </c:cat>
          <c:val>
            <c:numRef>
              <c:f>'Podział na kwartły'!$C$2:$C$10</c:f>
              <c:numCache>
                <c:formatCode>#,##0.00</c:formatCode>
                <c:ptCount val="9"/>
                <c:pt idx="0">
                  <c:v>0.37552462999779318</c:v>
                </c:pt>
                <c:pt idx="1">
                  <c:v>0.45062955599734938</c:v>
                </c:pt>
                <c:pt idx="2">
                  <c:v>0.57433178705544508</c:v>
                </c:pt>
                <c:pt idx="3">
                  <c:v>0.77755688093660258</c:v>
                </c:pt>
                <c:pt idx="4">
                  <c:v>0.93881157499447765</c:v>
                </c:pt>
                <c:pt idx="5">
                  <c:v>0.97857300640600864</c:v>
                </c:pt>
                <c:pt idx="6">
                  <c:v>1.0514689639938186</c:v>
                </c:pt>
                <c:pt idx="7" formatCode="0.00">
                  <c:v>1.150872542522642</c:v>
                </c:pt>
                <c:pt idx="8">
                  <c:v>1.2038877844046818</c:v>
                </c:pt>
              </c:numCache>
            </c:numRef>
          </c:val>
          <c:smooth val="0"/>
        </c:ser>
        <c:ser>
          <c:idx val="2"/>
          <c:order val="2"/>
          <c:tx>
            <c:strRef>
              <c:f>'Podział na kwartły'!$D$1</c:f>
              <c:strCache>
                <c:ptCount val="1"/>
                <c:pt idx="0">
                  <c:v>Applications approved for payment</c:v>
                </c:pt>
              </c:strCache>
            </c:strRef>
          </c:tx>
          <c:spPr>
            <a:ln w="34925">
              <a:solidFill>
                <a:schemeClr val="accent2">
                  <a:lumMod val="60000"/>
                  <a:lumOff val="40000"/>
                </a:schemeClr>
              </a:solidFill>
            </a:ln>
          </c:spPr>
          <c:marker>
            <c:symbol val="none"/>
          </c:marker>
          <c:dLbls>
            <c:dLblPos val="t"/>
            <c:showLegendKey val="0"/>
            <c:showVal val="1"/>
            <c:showCatName val="0"/>
            <c:showSerName val="0"/>
            <c:showPercent val="0"/>
            <c:showBubbleSize val="0"/>
            <c:showLeaderLines val="0"/>
          </c:dLbls>
          <c:cat>
            <c:strRef>
              <c:f>'Podział na kwartły'!$A$2:$A$10</c:f>
              <c:strCache>
                <c:ptCount val="9"/>
                <c:pt idx="0">
                  <c:v>IV 2009</c:v>
                </c:pt>
                <c:pt idx="1">
                  <c:v>I 2010</c:v>
                </c:pt>
                <c:pt idx="2">
                  <c:v>II 2010</c:v>
                </c:pt>
                <c:pt idx="3">
                  <c:v>III 2010</c:v>
                </c:pt>
                <c:pt idx="4">
                  <c:v>IV 2010</c:v>
                </c:pt>
                <c:pt idx="5">
                  <c:v>I 2011</c:v>
                </c:pt>
                <c:pt idx="6">
                  <c:v>II 2011</c:v>
                </c:pt>
                <c:pt idx="7">
                  <c:v>III 2011</c:v>
                </c:pt>
                <c:pt idx="8">
                  <c:v>IV 2011</c:v>
                </c:pt>
              </c:strCache>
            </c:strRef>
          </c:cat>
          <c:val>
            <c:numRef>
              <c:f>'Podział na kwartły'!$D$2:$D$10</c:f>
              <c:numCache>
                <c:formatCode>#,##0.00</c:formatCode>
                <c:ptCount val="9"/>
                <c:pt idx="0">
                  <c:v>6.6269052352551358E-2</c:v>
                </c:pt>
                <c:pt idx="1">
                  <c:v>9.4985641705323628E-2</c:v>
                </c:pt>
                <c:pt idx="2">
                  <c:v>0.13032913629335097</c:v>
                </c:pt>
                <c:pt idx="3">
                  <c:v>0.24519549370444083</c:v>
                </c:pt>
                <c:pt idx="4">
                  <c:v>0.33134526176275897</c:v>
                </c:pt>
                <c:pt idx="5">
                  <c:v>0.37994256682129551</c:v>
                </c:pt>
                <c:pt idx="6">
                  <c:v>0.41970399823282634</c:v>
                </c:pt>
                <c:pt idx="7" formatCode="0.00">
                  <c:v>0.49259995582063182</c:v>
                </c:pt>
                <c:pt idx="8">
                  <c:v>0.58537662911420119</c:v>
                </c:pt>
              </c:numCache>
            </c:numRef>
          </c:val>
          <c:smooth val="0"/>
        </c:ser>
        <c:ser>
          <c:idx val="3"/>
          <c:order val="3"/>
          <c:tx>
            <c:strRef>
              <c:f>'Podział na kwartły'!$E$1</c:f>
              <c:strCache>
                <c:ptCount val="1"/>
                <c:pt idx="0">
                  <c:v>Certificated funds</c:v>
                </c:pt>
              </c:strCache>
            </c:strRef>
          </c:tx>
          <c:spPr>
            <a:ln w="34925">
              <a:solidFill>
                <a:srgbClr val="002060"/>
              </a:solidFill>
            </a:ln>
          </c:spPr>
          <c:marker>
            <c:symbol val="none"/>
          </c:marker>
          <c:dLbls>
            <c:dLblPos val="b"/>
            <c:showLegendKey val="0"/>
            <c:showVal val="1"/>
            <c:showCatName val="0"/>
            <c:showSerName val="0"/>
            <c:showPercent val="0"/>
            <c:showBubbleSize val="0"/>
            <c:showLeaderLines val="0"/>
          </c:dLbls>
          <c:cat>
            <c:strRef>
              <c:f>'Podział na kwartły'!$A$2:$A$10</c:f>
              <c:strCache>
                <c:ptCount val="9"/>
                <c:pt idx="0">
                  <c:v>IV 2009</c:v>
                </c:pt>
                <c:pt idx="1">
                  <c:v>I 2010</c:v>
                </c:pt>
                <c:pt idx="2">
                  <c:v>II 2010</c:v>
                </c:pt>
                <c:pt idx="3">
                  <c:v>III 2010</c:v>
                </c:pt>
                <c:pt idx="4">
                  <c:v>IV 2010</c:v>
                </c:pt>
                <c:pt idx="5">
                  <c:v>I 2011</c:v>
                </c:pt>
                <c:pt idx="6">
                  <c:v>II 2011</c:v>
                </c:pt>
                <c:pt idx="7">
                  <c:v>III 2011</c:v>
                </c:pt>
                <c:pt idx="8">
                  <c:v>IV 2011</c:v>
                </c:pt>
              </c:strCache>
            </c:strRef>
          </c:cat>
          <c:val>
            <c:numRef>
              <c:f>'Podział na kwartły'!$E$2:$E$10</c:f>
              <c:numCache>
                <c:formatCode>#,##0.00</c:formatCode>
                <c:ptCount val="9"/>
                <c:pt idx="0">
                  <c:v>5.5224210293792798E-2</c:v>
                </c:pt>
                <c:pt idx="1">
                  <c:v>8.8358736470068505E-2</c:v>
                </c:pt>
                <c:pt idx="2">
                  <c:v>0.11707532582284071</c:v>
                </c:pt>
                <c:pt idx="3">
                  <c:v>0.22973271482217841</c:v>
                </c:pt>
                <c:pt idx="4">
                  <c:v>0.30041970399823414</c:v>
                </c:pt>
                <c:pt idx="5">
                  <c:v>0.34459907223326708</c:v>
                </c:pt>
                <c:pt idx="6">
                  <c:v>0.36447978793903457</c:v>
                </c:pt>
                <c:pt idx="7" formatCode="0.00">
                  <c:v>0.39540534570355751</c:v>
                </c:pt>
                <c:pt idx="8">
                  <c:v>0.53457035564391431</c:v>
                </c:pt>
              </c:numCache>
            </c:numRef>
          </c:val>
          <c:smooth val="0"/>
        </c:ser>
        <c:dLbls>
          <c:showLegendKey val="0"/>
          <c:showVal val="0"/>
          <c:showCatName val="0"/>
          <c:showSerName val="0"/>
          <c:showPercent val="0"/>
          <c:showBubbleSize val="0"/>
        </c:dLbls>
        <c:marker val="1"/>
        <c:smooth val="0"/>
        <c:axId val="155209088"/>
        <c:axId val="155219072"/>
      </c:lineChart>
      <c:catAx>
        <c:axId val="155209088"/>
        <c:scaling>
          <c:orientation val="minMax"/>
        </c:scaling>
        <c:delete val="0"/>
        <c:axPos val="b"/>
        <c:majorTickMark val="out"/>
        <c:minorTickMark val="none"/>
        <c:tickLblPos val="nextTo"/>
        <c:crossAx val="155219072"/>
        <c:crosses val="autoZero"/>
        <c:auto val="1"/>
        <c:lblAlgn val="ctr"/>
        <c:lblOffset val="100"/>
        <c:noMultiLvlLbl val="0"/>
      </c:catAx>
      <c:valAx>
        <c:axId val="155219072"/>
        <c:scaling>
          <c:orientation val="minMax"/>
        </c:scaling>
        <c:delete val="0"/>
        <c:axPos val="l"/>
        <c:majorGridlines/>
        <c:numFmt formatCode="#,##0.00" sourceLinked="1"/>
        <c:majorTickMark val="out"/>
        <c:minorTickMark val="none"/>
        <c:tickLblPos val="nextTo"/>
        <c:crossAx val="155209088"/>
        <c:crosses val="autoZero"/>
        <c:crossBetween val="between"/>
      </c:valAx>
      <c:spPr>
        <a:solidFill>
          <a:sysClr val="window" lastClr="FFFFFF">
            <a:lumMod val="85000"/>
          </a:sysClr>
        </a:solidFill>
      </c:spPr>
    </c:plotArea>
    <c:legend>
      <c:legendPos val="b"/>
      <c:overlay val="0"/>
    </c:legend>
    <c:plotVisOnly val="1"/>
    <c:dispBlanksAs val="gap"/>
    <c:showDLblsOverMax val="0"/>
  </c:chart>
  <c:spPr>
    <a:ln w="34925">
      <a:solidFill>
        <a:sysClr val="windowText" lastClr="000000"/>
      </a:solidFill>
    </a:ln>
  </c:spPr>
  <c:txPr>
    <a:bodyPr/>
    <a:lstStyle/>
    <a:p>
      <a:pPr>
        <a:defRPr b="1">
          <a:latin typeface="Times New Roman" pitchFamily="18" charset="0"/>
          <a:cs typeface="Times New Roman" pitchFamily="18" charset="0"/>
        </a:defRPr>
      </a:pPr>
      <a:endParaRPr lang="pl-PL"/>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'Rodzaj projektu'!$B$2</c:f>
              <c:strCache>
                <c:ptCount val="1"/>
                <c:pt idx="0">
                  <c:v>Alokacja EURO</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projektu'!$B$3:$B$14</c:f>
            </c:numRef>
          </c:val>
        </c:ser>
        <c:ser>
          <c:idx val="1"/>
          <c:order val="1"/>
          <c:tx>
            <c:strRef>
              <c:f>'Rodzaj projektu'!$C$2</c:f>
              <c:strCache>
                <c:ptCount val="1"/>
                <c:pt idx="0">
                  <c:v>Alokaca PLN</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projektu'!$C$3:$C$14</c:f>
            </c:numRef>
          </c:val>
        </c:ser>
        <c:ser>
          <c:idx val="2"/>
          <c:order val="2"/>
          <c:tx>
            <c:strRef>
              <c:f>'Rodzaj projektu'!$D$2</c:f>
              <c:strCache>
                <c:ptCount val="1"/>
                <c:pt idx="0">
                  <c:v>Projekty zakończone</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projektu'!$D$3:$D$14</c:f>
            </c:numRef>
          </c:val>
        </c:ser>
        <c:ser>
          <c:idx val="3"/>
          <c:order val="3"/>
          <c:tx>
            <c:strRef>
              <c:f>'Rodzaj projektu'!$E$2</c:f>
              <c:strCache>
                <c:ptCount val="1"/>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projektu'!$E$3:$E$14</c:f>
            </c:numRef>
          </c:val>
        </c:ser>
        <c:ser>
          <c:idx val="4"/>
          <c:order val="4"/>
          <c:tx>
            <c:strRef>
              <c:f>'Rodzaj projektu'!$F$2</c:f>
              <c:strCache>
                <c:ptCount val="1"/>
                <c:pt idx="0">
                  <c:v>Finished projects</c:v>
                </c:pt>
              </c:strCache>
            </c:strRef>
          </c:tx>
          <c:spPr>
            <a:solidFill>
              <a:srgbClr val="00B0F0"/>
            </a:solidFill>
          </c:spPr>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projektu'!$F$3:$F$14</c:f>
              <c:numCache>
                <c:formatCode>0.00%</c:formatCode>
                <c:ptCount val="12"/>
                <c:pt idx="1">
                  <c:v>0.13738942407009624</c:v>
                </c:pt>
                <c:pt idx="2">
                  <c:v>1.6037110669317508E-2</c:v>
                </c:pt>
                <c:pt idx="3">
                  <c:v>7.9660498239407213E-2</c:v>
                </c:pt>
                <c:pt idx="4">
                  <c:v>0.18701797516426252</c:v>
                </c:pt>
                <c:pt idx="5">
                  <c:v>3.6775387328698082E-2</c:v>
                </c:pt>
                <c:pt idx="6">
                  <c:v>5.359996881456359E-3</c:v>
                </c:pt>
                <c:pt idx="7">
                  <c:v>0.10077983424217804</c:v>
                </c:pt>
                <c:pt idx="8">
                  <c:v>5.4742136683080783E-2</c:v>
                </c:pt>
                <c:pt idx="9">
                  <c:v>0.17446873085892262</c:v>
                </c:pt>
                <c:pt idx="10">
                  <c:v>0.1614285480532443</c:v>
                </c:pt>
                <c:pt idx="11">
                  <c:v>7.9066933563558942E-2</c:v>
                </c:pt>
              </c:numCache>
            </c:numRef>
          </c:val>
        </c:ser>
        <c:ser>
          <c:idx val="5"/>
          <c:order val="5"/>
          <c:tx>
            <c:strRef>
              <c:f>'Rodzaj projektu'!$G$2</c:f>
              <c:strCache>
                <c:ptCount val="1"/>
                <c:pt idx="0">
                  <c:v>Projekty w realizacji ( podpisane umowy)</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projektu'!$G$3:$G$14</c:f>
            </c:numRef>
          </c:val>
        </c:ser>
        <c:ser>
          <c:idx val="6"/>
          <c:order val="6"/>
          <c:tx>
            <c:strRef>
              <c:f>'Rodzaj projektu'!$H$2</c:f>
              <c:strCache>
                <c:ptCount val="1"/>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projektu'!$H$3:$H$14</c:f>
            </c:numRef>
          </c:val>
        </c:ser>
        <c:ser>
          <c:idx val="7"/>
          <c:order val="7"/>
          <c:tx>
            <c:strRef>
              <c:f>'Rodzaj projektu'!$I$2</c:f>
              <c:strCache>
                <c:ptCount val="1"/>
                <c:pt idx="0">
                  <c:v>Projects under implementation</c:v>
                </c:pt>
              </c:strCache>
            </c:strRef>
          </c:tx>
          <c:spPr>
            <a:solidFill>
              <a:srgbClr val="FF0000"/>
            </a:solidFill>
          </c:spPr>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projektu'!$I$3:$I$14</c:f>
              <c:numCache>
                <c:formatCode>0.00%</c:formatCode>
                <c:ptCount val="12"/>
                <c:pt idx="1">
                  <c:v>0.50847881773481285</c:v>
                </c:pt>
                <c:pt idx="2">
                  <c:v>0.51109638465503249</c:v>
                </c:pt>
                <c:pt idx="3">
                  <c:v>0.62888182387091862</c:v>
                </c:pt>
                <c:pt idx="4">
                  <c:v>0.86219018616748067</c:v>
                </c:pt>
                <c:pt idx="5">
                  <c:v>0.74176738697033351</c:v>
                </c:pt>
                <c:pt idx="6">
                  <c:v>0.83864530916236013</c:v>
                </c:pt>
                <c:pt idx="7">
                  <c:v>0.64476920239682489</c:v>
                </c:pt>
                <c:pt idx="8">
                  <c:v>0.84440549289669964</c:v>
                </c:pt>
                <c:pt idx="9">
                  <c:v>0.85834638215643055</c:v>
                </c:pt>
                <c:pt idx="10">
                  <c:v>0.40017099051779881</c:v>
                </c:pt>
                <c:pt idx="11">
                  <c:v>0.67099359464907893</c:v>
                </c:pt>
              </c:numCache>
            </c:numRef>
          </c:val>
        </c:ser>
        <c:ser>
          <c:idx val="8"/>
          <c:order val="8"/>
          <c:tx>
            <c:strRef>
              <c:f>'Rodzaj projektu'!$J$2</c:f>
              <c:strCache>
                <c:ptCount val="1"/>
                <c:pt idx="0">
                  <c:v>Projekty zatwierdzone do realizacji (niezakontraktowane)</c:v>
                </c:pt>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projektu'!$J$3:$J$14</c:f>
            </c:numRef>
          </c:val>
        </c:ser>
        <c:ser>
          <c:idx val="9"/>
          <c:order val="9"/>
          <c:tx>
            <c:strRef>
              <c:f>'Rodzaj projektu'!$K$2</c:f>
              <c:strCache>
                <c:ptCount val="1"/>
              </c:strCache>
            </c:strRef>
          </c:tx>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projektu'!$K$3:$K$14</c:f>
            </c:numRef>
          </c:val>
        </c:ser>
        <c:ser>
          <c:idx val="10"/>
          <c:order val="10"/>
          <c:tx>
            <c:strRef>
              <c:f>'Rodzaj projektu'!$L$2</c:f>
              <c:strCache>
                <c:ptCount val="1"/>
                <c:pt idx="0">
                  <c:v>Projects approved for implementation (uncontracted)</c:v>
                </c:pt>
              </c:strCache>
            </c:strRef>
          </c:tx>
          <c:spPr>
            <a:solidFill>
              <a:srgbClr val="92D050"/>
            </a:solidFill>
          </c:spPr>
          <c:invertIfNegative val="0"/>
          <c:cat>
            <c:strRef>
              <c:f>'Rodzaj projektu'!$A$3:$A$14</c:f>
              <c:strCache>
                <c:ptCount val="12"/>
                <c:pt idx="1">
                  <c:v>I</c:v>
                </c:pt>
                <c:pt idx="2">
                  <c:v>II</c:v>
                </c:pt>
                <c:pt idx="3">
                  <c:v>III</c:v>
                </c:pt>
                <c:pt idx="4">
                  <c:v>IV</c:v>
                </c:pt>
                <c:pt idx="5">
                  <c:v>V</c:v>
                </c:pt>
                <c:pt idx="6">
                  <c:v>VI</c:v>
                </c:pt>
                <c:pt idx="7">
                  <c:v>VII</c:v>
                </c:pt>
                <c:pt idx="8">
                  <c:v>VIII</c:v>
                </c:pt>
                <c:pt idx="9">
                  <c:v>IX</c:v>
                </c:pt>
                <c:pt idx="10">
                  <c:v>X</c:v>
                </c:pt>
                <c:pt idx="11">
                  <c:v>ROP SV</c:v>
                </c:pt>
              </c:strCache>
            </c:strRef>
          </c:cat>
          <c:val>
            <c:numRef>
              <c:f>'Rodzaj projektu'!$L$3:$L$14</c:f>
              <c:numCache>
                <c:formatCode>0.00%</c:formatCode>
                <c:ptCount val="12"/>
                <c:pt idx="1">
                  <c:v>0.63674125916926438</c:v>
                </c:pt>
                <c:pt idx="2">
                  <c:v>0.80123702231058325</c:v>
                </c:pt>
                <c:pt idx="3">
                  <c:v>0.7687378116136887</c:v>
                </c:pt>
                <c:pt idx="4">
                  <c:v>0.96764178502395704</c:v>
                </c:pt>
                <c:pt idx="5">
                  <c:v>1.0088168502086146</c:v>
                </c:pt>
                <c:pt idx="6">
                  <c:v>0.75167777082885112</c:v>
                </c:pt>
                <c:pt idx="7">
                  <c:v>0.87374839621814482</c:v>
                </c:pt>
                <c:pt idx="8">
                  <c:v>0.90453078489939542</c:v>
                </c:pt>
                <c:pt idx="9">
                  <c:v>0.98998193051601169</c:v>
                </c:pt>
                <c:pt idx="10">
                  <c:v>0.47508160911076858</c:v>
                </c:pt>
                <c:pt idx="11">
                  <c:v>0.81111787671695557</c:v>
                </c:pt>
              </c:numCache>
            </c:numRef>
          </c:val>
        </c:ser>
        <c:dLbls>
          <c:showLegendKey val="0"/>
          <c:showVal val="0"/>
          <c:showCatName val="0"/>
          <c:showSerName val="0"/>
          <c:showPercent val="0"/>
          <c:showBubbleSize val="0"/>
        </c:dLbls>
        <c:gapWidth val="150"/>
        <c:shape val="box"/>
        <c:axId val="155624576"/>
        <c:axId val="155626112"/>
        <c:axId val="0"/>
      </c:bar3DChart>
      <c:catAx>
        <c:axId val="155624576"/>
        <c:scaling>
          <c:orientation val="minMax"/>
        </c:scaling>
        <c:delete val="0"/>
        <c:axPos val="l"/>
        <c:majorTickMark val="out"/>
        <c:minorTickMark val="none"/>
        <c:tickLblPos val="nextTo"/>
        <c:crossAx val="155626112"/>
        <c:crosses val="autoZero"/>
        <c:auto val="1"/>
        <c:lblAlgn val="ctr"/>
        <c:lblOffset val="100"/>
        <c:noMultiLvlLbl val="0"/>
      </c:catAx>
      <c:valAx>
        <c:axId val="155626112"/>
        <c:scaling>
          <c:orientation val="minMax"/>
        </c:scaling>
        <c:delete val="0"/>
        <c:axPos val="b"/>
        <c:majorGridlines/>
        <c:numFmt formatCode="0%" sourceLinked="0"/>
        <c:majorTickMark val="out"/>
        <c:minorTickMark val="none"/>
        <c:tickLblPos val="nextTo"/>
        <c:crossAx val="155624576"/>
        <c:crosses val="autoZero"/>
        <c:crossBetween val="between"/>
      </c:valAx>
    </c:plotArea>
    <c:legend>
      <c:legendPos val="b"/>
      <c:overlay val="0"/>
    </c:legend>
    <c:plotVisOnly val="1"/>
    <c:dispBlanksAs val="gap"/>
    <c:showDLblsOverMax val="0"/>
  </c:chart>
  <c:spPr>
    <a:ln w="34925">
      <a:solidFill>
        <a:schemeClr val="accent2">
          <a:lumMod val="75000"/>
        </a:schemeClr>
      </a:solidFill>
    </a:ln>
  </c:spPr>
  <c:txPr>
    <a:bodyPr/>
    <a:lstStyle/>
    <a:p>
      <a:pPr>
        <a:defRPr sz="1000" b="1">
          <a:latin typeface="Times New Roman" pitchFamily="18" charset="0"/>
          <a:cs typeface="Times New Roman" pitchFamily="18" charset="0"/>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1"/>
    </c:view3D>
    <c:floor>
      <c:thickness val="0"/>
    </c:floor>
    <c:sideWall>
      <c:thickness val="0"/>
    </c:sideWall>
    <c:backWall>
      <c:thickness val="0"/>
    </c:backWall>
    <c:plotArea>
      <c:layout>
        <c:manualLayout>
          <c:layoutTarget val="inner"/>
          <c:xMode val="edge"/>
          <c:yMode val="edge"/>
          <c:x val="8.4682852143482895E-2"/>
          <c:y val="5.4352434344426583E-2"/>
          <c:w val="0.6560754593175907"/>
          <c:h val="0.85229431736204564"/>
        </c:manualLayout>
      </c:layout>
      <c:bar3DChart>
        <c:barDir val="bar"/>
        <c:grouping val="clustered"/>
        <c:varyColors val="0"/>
        <c:ser>
          <c:idx val="0"/>
          <c:order val="0"/>
          <c:tx>
            <c:strRef>
              <c:f>'Wnioski o płatność'!$A$38</c:f>
              <c:strCache>
                <c:ptCount val="1"/>
                <c:pt idx="0">
                  <c:v>approved applications</c:v>
                </c:pt>
              </c:strCache>
            </c:strRef>
          </c:tx>
          <c:spPr>
            <a:solidFill>
              <a:schemeClr val="accent3">
                <a:lumMod val="60000"/>
                <a:lumOff val="40000"/>
              </a:schemeClr>
            </a:solidFill>
          </c:spPr>
          <c:invertIfNegative val="0"/>
          <c:cat>
            <c:numRef>
              <c:f>'Wnioski o płatność'!$B$37:$E$37</c:f>
              <c:numCache>
                <c:formatCode>0</c:formatCode>
                <c:ptCount val="4"/>
                <c:pt idx="0">
                  <c:v>2008</c:v>
                </c:pt>
                <c:pt idx="1">
                  <c:v>2009</c:v>
                </c:pt>
                <c:pt idx="2">
                  <c:v>2010</c:v>
                </c:pt>
                <c:pt idx="3">
                  <c:v>2011</c:v>
                </c:pt>
              </c:numCache>
            </c:numRef>
          </c:cat>
          <c:val>
            <c:numRef>
              <c:f>'Wnioski o płatność'!$B$38:$E$38</c:f>
              <c:numCache>
                <c:formatCode>#,##0.00</c:formatCode>
                <c:ptCount val="4"/>
                <c:pt idx="0">
                  <c:v>97.192401148663166</c:v>
                </c:pt>
                <c:pt idx="1">
                  <c:v>520.4594654296443</c:v>
                </c:pt>
                <c:pt idx="2">
                  <c:v>464.1616964877403</c:v>
                </c:pt>
                <c:pt idx="3">
                  <c:v>335.29047934614414</c:v>
                </c:pt>
              </c:numCache>
            </c:numRef>
          </c:val>
        </c:ser>
        <c:ser>
          <c:idx val="1"/>
          <c:order val="1"/>
          <c:tx>
            <c:strRef>
              <c:f>'Wnioski o płatność'!$A$39</c:f>
              <c:strCache>
                <c:ptCount val="1"/>
                <c:pt idx="0">
                  <c:v>contract award procedure</c:v>
                </c:pt>
              </c:strCache>
            </c:strRef>
          </c:tx>
          <c:spPr>
            <a:solidFill>
              <a:schemeClr val="bg2">
                <a:lumMod val="50000"/>
              </a:schemeClr>
            </a:solidFill>
          </c:spPr>
          <c:invertIfNegative val="0"/>
          <c:cat>
            <c:numRef>
              <c:f>'Wnioski o płatność'!$B$37:$E$37</c:f>
              <c:numCache>
                <c:formatCode>0</c:formatCode>
                <c:ptCount val="4"/>
                <c:pt idx="0">
                  <c:v>2008</c:v>
                </c:pt>
                <c:pt idx="1">
                  <c:v>2009</c:v>
                </c:pt>
                <c:pt idx="2">
                  <c:v>2010</c:v>
                </c:pt>
                <c:pt idx="3">
                  <c:v>2011</c:v>
                </c:pt>
              </c:numCache>
            </c:numRef>
          </c:cat>
          <c:val>
            <c:numRef>
              <c:f>'Wnioski o płatność'!$B$39:$E$39</c:f>
              <c:numCache>
                <c:formatCode>#,##0.00</c:formatCode>
                <c:ptCount val="4"/>
                <c:pt idx="0">
                  <c:v>73.470289374861949</c:v>
                </c:pt>
                <c:pt idx="1">
                  <c:v>300.82394521758329</c:v>
                </c:pt>
                <c:pt idx="2">
                  <c:v>565.30152418820069</c:v>
                </c:pt>
                <c:pt idx="3">
                  <c:v>232.69715043074837</c:v>
                </c:pt>
              </c:numCache>
            </c:numRef>
          </c:val>
        </c:ser>
        <c:ser>
          <c:idx val="2"/>
          <c:order val="2"/>
          <c:tx>
            <c:strRef>
              <c:f>'Wnioski o płatność'!$A$40</c:f>
              <c:strCache>
                <c:ptCount val="1"/>
                <c:pt idx="0">
                  <c:v>payments</c:v>
                </c:pt>
              </c:strCache>
            </c:strRef>
          </c:tx>
          <c:spPr>
            <a:solidFill>
              <a:schemeClr val="accent2">
                <a:lumMod val="60000"/>
                <a:lumOff val="40000"/>
              </a:schemeClr>
            </a:solidFill>
          </c:spPr>
          <c:invertIfNegative val="0"/>
          <c:cat>
            <c:numRef>
              <c:f>'Wnioski o płatność'!$B$37:$E$37</c:f>
              <c:numCache>
                <c:formatCode>0</c:formatCode>
                <c:ptCount val="4"/>
                <c:pt idx="0">
                  <c:v>2008</c:v>
                </c:pt>
                <c:pt idx="1">
                  <c:v>2009</c:v>
                </c:pt>
                <c:pt idx="2">
                  <c:v>2010</c:v>
                </c:pt>
                <c:pt idx="3">
                  <c:v>2011</c:v>
                </c:pt>
              </c:numCache>
            </c:numRef>
          </c:cat>
          <c:val>
            <c:numRef>
              <c:f>'Wnioski o płatność'!$B$40:$E$40</c:f>
              <c:numCache>
                <c:formatCode>#,##0.00</c:formatCode>
                <c:ptCount val="4"/>
                <c:pt idx="0">
                  <c:v>0.45725646123260605</c:v>
                </c:pt>
                <c:pt idx="1">
                  <c:v>65.760989617848466</c:v>
                </c:pt>
                <c:pt idx="2">
                  <c:v>264.35166777115086</c:v>
                </c:pt>
                <c:pt idx="3">
                  <c:v>258.01413739783521</c:v>
                </c:pt>
              </c:numCache>
            </c:numRef>
          </c:val>
        </c:ser>
        <c:dLbls>
          <c:showLegendKey val="0"/>
          <c:showVal val="0"/>
          <c:showCatName val="0"/>
          <c:showSerName val="0"/>
          <c:showPercent val="0"/>
          <c:showBubbleSize val="0"/>
        </c:dLbls>
        <c:gapWidth val="150"/>
        <c:shape val="box"/>
        <c:axId val="155394432"/>
        <c:axId val="155395968"/>
        <c:axId val="0"/>
      </c:bar3DChart>
      <c:catAx>
        <c:axId val="155394432"/>
        <c:scaling>
          <c:orientation val="minMax"/>
        </c:scaling>
        <c:delete val="0"/>
        <c:axPos val="l"/>
        <c:numFmt formatCode="0" sourceLinked="1"/>
        <c:majorTickMark val="out"/>
        <c:minorTickMark val="none"/>
        <c:tickLblPos val="nextTo"/>
        <c:crossAx val="155395968"/>
        <c:crosses val="autoZero"/>
        <c:auto val="1"/>
        <c:lblAlgn val="ctr"/>
        <c:lblOffset val="100"/>
        <c:noMultiLvlLbl val="0"/>
      </c:catAx>
      <c:valAx>
        <c:axId val="155395968"/>
        <c:scaling>
          <c:orientation val="minMax"/>
        </c:scaling>
        <c:delete val="0"/>
        <c:axPos val="b"/>
        <c:majorGridlines/>
        <c:numFmt formatCode="#,##0.00" sourceLinked="1"/>
        <c:majorTickMark val="out"/>
        <c:minorTickMark val="none"/>
        <c:tickLblPos val="nextTo"/>
        <c:crossAx val="155394432"/>
        <c:crosses val="autoZero"/>
        <c:crossBetween val="between"/>
      </c:valAx>
    </c:plotArea>
    <c:legend>
      <c:legendPos val="r"/>
      <c:overlay val="0"/>
    </c:legend>
    <c:plotVisOnly val="1"/>
    <c:dispBlanksAs val="gap"/>
    <c:showDLblsOverMax val="0"/>
  </c:chart>
  <c:spPr>
    <a:ln w="34925">
      <a:solidFill>
        <a:schemeClr val="tx1"/>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chemeClr val="accent4">
                  <a:lumMod val="40000"/>
                  <a:lumOff val="60000"/>
                </a:schemeClr>
              </a:solidFill>
            </c:spPr>
          </c:dPt>
          <c:dPt>
            <c:idx val="1"/>
            <c:invertIfNegative val="0"/>
            <c:bubble3D val="0"/>
            <c:spPr>
              <a:solidFill>
                <a:srgbClr val="FFC000"/>
              </a:solidFill>
            </c:spPr>
          </c:dPt>
          <c:dPt>
            <c:idx val="2"/>
            <c:invertIfNegative val="0"/>
            <c:bubble3D val="0"/>
            <c:spPr>
              <a:solidFill>
                <a:srgbClr val="92D050"/>
              </a:solidFill>
            </c:spPr>
          </c:dPt>
          <c:dLbls>
            <c:dLbl>
              <c:idx val="0"/>
              <c:layout>
                <c:manualLayout>
                  <c:x val="4.3290043290041703E-3"/>
                  <c:y val="-6.8551842330762443E-3"/>
                </c:manualLayout>
              </c:layout>
              <c:showLegendKey val="0"/>
              <c:showVal val="1"/>
              <c:showCatName val="0"/>
              <c:showSerName val="0"/>
              <c:showPercent val="0"/>
              <c:showBubbleSize val="0"/>
            </c:dLbl>
            <c:dLbl>
              <c:idx val="1"/>
              <c:layout>
                <c:manualLayout>
                  <c:x val="1.7316017316017323E-2"/>
                  <c:y val="-2.3993144815766986E-2"/>
                </c:manualLayout>
              </c:layout>
              <c:showLegendKey val="0"/>
              <c:showVal val="1"/>
              <c:showCatName val="0"/>
              <c:showSerName val="0"/>
              <c:showPercent val="0"/>
              <c:showBubbleSize val="0"/>
            </c:dLbl>
            <c:dLbl>
              <c:idx val="2"/>
              <c:layout>
                <c:manualLayout>
                  <c:x val="1.948051948051957E-2"/>
                  <c:y val="-2.0565552699228787E-2"/>
                </c:manualLayout>
              </c:layout>
              <c:showLegendKey val="0"/>
              <c:showVal val="1"/>
              <c:showCatName val="0"/>
              <c:showSerName val="0"/>
              <c:showPercent val="0"/>
              <c:showBubbleSize val="0"/>
            </c:dLbl>
            <c:dLbl>
              <c:idx val="3"/>
              <c:layout>
                <c:manualLayout>
                  <c:x val="2.8138528138528178E-2"/>
                  <c:y val="-3.4275921165381426E-3"/>
                </c:manualLayout>
              </c:layout>
              <c:showLegendKey val="0"/>
              <c:showVal val="1"/>
              <c:showCatName val="0"/>
              <c:showSerName val="0"/>
              <c:showPercent val="0"/>
              <c:showBubbleSize val="0"/>
            </c:dLbl>
            <c:txPr>
              <a:bodyPr/>
              <a:lstStyle/>
              <a:p>
                <a:pPr>
                  <a:defRPr sz="1200"/>
                </a:pPr>
                <a:endParaRPr lang="pl-PL"/>
              </a:p>
            </c:txPr>
            <c:showLegendKey val="0"/>
            <c:showVal val="1"/>
            <c:showCatName val="0"/>
            <c:showSerName val="0"/>
            <c:showPercent val="0"/>
            <c:showBubbleSize val="0"/>
            <c:showLeaderLines val="0"/>
          </c:dLbls>
          <c:cat>
            <c:strRef>
              <c:f>Kluczowe!$B$18:$E$18</c:f>
              <c:strCache>
                <c:ptCount val="4"/>
                <c:pt idx="0">
                  <c:v>allocation</c:v>
                </c:pt>
                <c:pt idx="1">
                  <c:v>applications selected for financing</c:v>
                </c:pt>
                <c:pt idx="2">
                  <c:v>signed contracts</c:v>
                </c:pt>
                <c:pt idx="3">
                  <c:v>paid grants</c:v>
                </c:pt>
              </c:strCache>
            </c:strRef>
          </c:cat>
          <c:val>
            <c:numRef>
              <c:f>Kluczowe!$B$19:$E$19</c:f>
              <c:numCache>
                <c:formatCode>#,##0.00</c:formatCode>
                <c:ptCount val="4"/>
                <c:pt idx="0" formatCode="General">
                  <c:v>481.21999999999969</c:v>
                </c:pt>
                <c:pt idx="1">
                  <c:v>420.59</c:v>
                </c:pt>
                <c:pt idx="2" formatCode="General">
                  <c:v>351.25</c:v>
                </c:pt>
                <c:pt idx="3" formatCode="General">
                  <c:v>129.32000000000048</c:v>
                </c:pt>
              </c:numCache>
            </c:numRef>
          </c:val>
        </c:ser>
        <c:dLbls>
          <c:showLegendKey val="0"/>
          <c:showVal val="1"/>
          <c:showCatName val="0"/>
          <c:showSerName val="0"/>
          <c:showPercent val="0"/>
          <c:showBubbleSize val="0"/>
        </c:dLbls>
        <c:gapWidth val="150"/>
        <c:shape val="box"/>
        <c:axId val="155326720"/>
        <c:axId val="155332608"/>
        <c:axId val="0"/>
      </c:bar3DChart>
      <c:catAx>
        <c:axId val="155326720"/>
        <c:scaling>
          <c:orientation val="minMax"/>
        </c:scaling>
        <c:delete val="0"/>
        <c:axPos val="l"/>
        <c:majorTickMark val="out"/>
        <c:minorTickMark val="none"/>
        <c:tickLblPos val="nextTo"/>
        <c:crossAx val="155332608"/>
        <c:crosses val="autoZero"/>
        <c:auto val="1"/>
        <c:lblAlgn val="ctr"/>
        <c:lblOffset val="100"/>
        <c:noMultiLvlLbl val="0"/>
      </c:catAx>
      <c:valAx>
        <c:axId val="155332608"/>
        <c:scaling>
          <c:orientation val="minMax"/>
        </c:scaling>
        <c:delete val="0"/>
        <c:axPos val="b"/>
        <c:majorGridlines/>
        <c:numFmt formatCode="General" sourceLinked="1"/>
        <c:majorTickMark val="out"/>
        <c:minorTickMark val="none"/>
        <c:tickLblPos val="nextTo"/>
        <c:crossAx val="155326720"/>
        <c:crosses val="autoZero"/>
        <c:crossBetween val="between"/>
      </c:valAx>
    </c:plotArea>
    <c:plotVisOnly val="1"/>
    <c:dispBlanksAs val="gap"/>
    <c:showDLblsOverMax val="0"/>
  </c:chart>
  <c:spPr>
    <a:ln w="34925">
      <a:solidFill>
        <a:sysClr val="windowText" lastClr="000000"/>
      </a:solidFill>
    </a:ln>
  </c:spPr>
  <c:txPr>
    <a:bodyPr/>
    <a:lstStyle/>
    <a:p>
      <a:pPr>
        <a:defRPr b="1">
          <a:latin typeface="Times New Roman" pitchFamily="18" charset="0"/>
          <a:cs typeface="Times New Roman" pitchFamily="18" charset="0"/>
        </a:defRPr>
      </a:pPr>
      <a:endParaRPr lang="pl-PL"/>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wykresy!$G$4</c:f>
              <c:strCache>
                <c:ptCount val="1"/>
                <c:pt idx="0">
                  <c:v>Maximum value of co-financing</c:v>
                </c:pt>
              </c:strCache>
            </c:strRef>
          </c:tx>
          <c:invertIfNegative val="0"/>
          <c:cat>
            <c:strRef>
              <c:f>wykresy!$H$3:$K$3</c:f>
              <c:strCache>
                <c:ptCount val="4"/>
                <c:pt idx="0">
                  <c:v>Central</c:v>
                </c:pt>
                <c:pt idx="1">
                  <c:v>Southern</c:v>
                </c:pt>
                <c:pt idx="2">
                  <c:v>Northern</c:v>
                </c:pt>
                <c:pt idx="3">
                  <c:v>Western</c:v>
                </c:pt>
              </c:strCache>
            </c:strRef>
          </c:cat>
          <c:val>
            <c:numRef>
              <c:f>wykresy!$H$4:$K$4</c:f>
              <c:numCache>
                <c:formatCode>_(* #,##0.00_);_(* \(#,##0.00\);_(* "-"??_);_(@_)</c:formatCode>
                <c:ptCount val="4"/>
                <c:pt idx="0">
                  <c:v>114969430.23532748</c:v>
                </c:pt>
                <c:pt idx="1">
                  <c:v>42446279.53501559</c:v>
                </c:pt>
                <c:pt idx="2">
                  <c:v>54179535.625177383</c:v>
                </c:pt>
                <c:pt idx="3">
                  <c:v>65158407.751630343</c:v>
                </c:pt>
              </c:numCache>
            </c:numRef>
          </c:val>
        </c:ser>
        <c:ser>
          <c:idx val="1"/>
          <c:order val="1"/>
          <c:tx>
            <c:strRef>
              <c:f>wykresy!$G$5</c:f>
              <c:strCache>
                <c:ptCount val="1"/>
                <c:pt idx="0">
                  <c:v>Submitted projects</c:v>
                </c:pt>
              </c:strCache>
            </c:strRef>
          </c:tx>
          <c:spPr>
            <a:solidFill>
              <a:srgbClr val="92D050"/>
            </a:solidFill>
          </c:spPr>
          <c:invertIfNegative val="0"/>
          <c:cat>
            <c:strRef>
              <c:f>wykresy!$H$3:$K$3</c:f>
              <c:strCache>
                <c:ptCount val="4"/>
                <c:pt idx="0">
                  <c:v>Central</c:v>
                </c:pt>
                <c:pt idx="1">
                  <c:v>Southern</c:v>
                </c:pt>
                <c:pt idx="2">
                  <c:v>Northern</c:v>
                </c:pt>
                <c:pt idx="3">
                  <c:v>Western</c:v>
                </c:pt>
              </c:strCache>
            </c:strRef>
          </c:cat>
          <c:val>
            <c:numRef>
              <c:f>wykresy!$H$5:$K$5</c:f>
              <c:numCache>
                <c:formatCode>_(* #,##0.00_);_(* \(#,##0.00\);_(* "-"??_);_(@_)</c:formatCode>
                <c:ptCount val="4"/>
                <c:pt idx="0">
                  <c:v>110104845.92571589</c:v>
                </c:pt>
                <c:pt idx="1">
                  <c:v>40025752.381627448</c:v>
                </c:pt>
                <c:pt idx="2">
                  <c:v>53409487.238446273</c:v>
                </c:pt>
                <c:pt idx="3">
                  <c:v>65158407.751630343</c:v>
                </c:pt>
              </c:numCache>
            </c:numRef>
          </c:val>
        </c:ser>
        <c:ser>
          <c:idx val="2"/>
          <c:order val="2"/>
          <c:tx>
            <c:strRef>
              <c:f>wykresy!$G$6</c:f>
              <c:strCache>
                <c:ptCount val="1"/>
                <c:pt idx="0">
                  <c:v>Applications technically appraised positively </c:v>
                </c:pt>
              </c:strCache>
            </c:strRef>
          </c:tx>
          <c:invertIfNegative val="0"/>
          <c:cat>
            <c:strRef>
              <c:f>wykresy!$H$3:$K$3</c:f>
              <c:strCache>
                <c:ptCount val="4"/>
                <c:pt idx="0">
                  <c:v>Central</c:v>
                </c:pt>
                <c:pt idx="1">
                  <c:v>Southern</c:v>
                </c:pt>
                <c:pt idx="2">
                  <c:v>Northern</c:v>
                </c:pt>
                <c:pt idx="3">
                  <c:v>Western</c:v>
                </c:pt>
              </c:strCache>
            </c:strRef>
          </c:cat>
          <c:val>
            <c:numRef>
              <c:f>wykresy!$H$6:$K$6</c:f>
              <c:numCache>
                <c:formatCode>_(* #,##0.00_);_(* \(#,##0.00\);_(* "-"??_);_(@_)</c:formatCode>
                <c:ptCount val="4"/>
                <c:pt idx="0">
                  <c:v>95874752.066912413</c:v>
                </c:pt>
                <c:pt idx="1">
                  <c:v>35267407.340515994</c:v>
                </c:pt>
                <c:pt idx="2">
                  <c:v>51040323.683016725</c:v>
                </c:pt>
                <c:pt idx="3">
                  <c:v>64540423.226538315</c:v>
                </c:pt>
              </c:numCache>
            </c:numRef>
          </c:val>
        </c:ser>
        <c:ser>
          <c:idx val="3"/>
          <c:order val="3"/>
          <c:tx>
            <c:strRef>
              <c:f>wykresy!$G$7</c:f>
              <c:strCache>
                <c:ptCount val="1"/>
                <c:pt idx="0">
                  <c:v>Signed contracts for co-financing</c:v>
                </c:pt>
              </c:strCache>
            </c:strRef>
          </c:tx>
          <c:spPr>
            <a:solidFill>
              <a:srgbClr val="0070C0"/>
            </a:solidFill>
          </c:spPr>
          <c:invertIfNegative val="0"/>
          <c:cat>
            <c:strRef>
              <c:f>wykresy!$H$3:$K$3</c:f>
              <c:strCache>
                <c:ptCount val="4"/>
                <c:pt idx="0">
                  <c:v>Central</c:v>
                </c:pt>
                <c:pt idx="1">
                  <c:v>Southern</c:v>
                </c:pt>
                <c:pt idx="2">
                  <c:v>Northern</c:v>
                </c:pt>
                <c:pt idx="3">
                  <c:v>Western</c:v>
                </c:pt>
              </c:strCache>
            </c:strRef>
          </c:cat>
          <c:val>
            <c:numRef>
              <c:f>wykresy!$H$7:$K$7</c:f>
              <c:numCache>
                <c:formatCode>_(* #,##0.00_);_(* \(#,##0.00\);_(* "-"??_);_(@_)</c:formatCode>
                <c:ptCount val="4"/>
                <c:pt idx="0">
                  <c:v>87201665.202721864</c:v>
                </c:pt>
                <c:pt idx="1">
                  <c:v>34400373.365466401</c:v>
                </c:pt>
                <c:pt idx="2">
                  <c:v>42567995.778281823</c:v>
                </c:pt>
                <c:pt idx="3">
                  <c:v>60385012.472355984</c:v>
                </c:pt>
              </c:numCache>
            </c:numRef>
          </c:val>
        </c:ser>
        <c:ser>
          <c:idx val="4"/>
          <c:order val="4"/>
          <c:tx>
            <c:strRef>
              <c:f>wykresy!$G$8</c:f>
              <c:strCache>
                <c:ptCount val="1"/>
                <c:pt idx="0">
                  <c:v>Lost projects </c:v>
                </c:pt>
              </c:strCache>
            </c:strRef>
          </c:tx>
          <c:invertIfNegative val="0"/>
          <c:cat>
            <c:strRef>
              <c:f>wykresy!$H$3:$K$3</c:f>
              <c:strCache>
                <c:ptCount val="4"/>
                <c:pt idx="0">
                  <c:v>Central</c:v>
                </c:pt>
                <c:pt idx="1">
                  <c:v>Southern</c:v>
                </c:pt>
                <c:pt idx="2">
                  <c:v>Northern</c:v>
                </c:pt>
                <c:pt idx="3">
                  <c:v>Western</c:v>
                </c:pt>
              </c:strCache>
            </c:strRef>
          </c:cat>
          <c:val>
            <c:numRef>
              <c:f>wykresy!$H$8:$K$8</c:f>
              <c:numCache>
                <c:formatCode>_(* #,##0.00_);_(* \(#,##0.00\);_(* "-"??_);_(@_)</c:formatCode>
                <c:ptCount val="4"/>
                <c:pt idx="0">
                  <c:v>20191722.781400532</c:v>
                </c:pt>
                <c:pt idx="1">
                  <c:v>7111660.9305358669</c:v>
                </c:pt>
                <c:pt idx="2">
                  <c:v>4908479.8610717319</c:v>
                </c:pt>
                <c:pt idx="3">
                  <c:v>4155410.7541820272</c:v>
                </c:pt>
              </c:numCache>
            </c:numRef>
          </c:val>
        </c:ser>
        <c:dLbls>
          <c:showLegendKey val="0"/>
          <c:showVal val="0"/>
          <c:showCatName val="0"/>
          <c:showSerName val="0"/>
          <c:showPercent val="0"/>
          <c:showBubbleSize val="0"/>
        </c:dLbls>
        <c:gapWidth val="150"/>
        <c:shape val="cylinder"/>
        <c:axId val="155372544"/>
        <c:axId val="155378432"/>
        <c:axId val="0"/>
      </c:bar3DChart>
      <c:catAx>
        <c:axId val="155372544"/>
        <c:scaling>
          <c:orientation val="minMax"/>
        </c:scaling>
        <c:delete val="0"/>
        <c:axPos val="b"/>
        <c:numFmt formatCode="General" sourceLinked="1"/>
        <c:majorTickMark val="none"/>
        <c:minorTickMark val="none"/>
        <c:tickLblPos val="nextTo"/>
        <c:crossAx val="155378432"/>
        <c:crosses val="autoZero"/>
        <c:auto val="1"/>
        <c:lblAlgn val="ctr"/>
        <c:lblOffset val="100"/>
        <c:noMultiLvlLbl val="0"/>
      </c:catAx>
      <c:valAx>
        <c:axId val="155378432"/>
        <c:scaling>
          <c:orientation val="minMax"/>
        </c:scaling>
        <c:delete val="0"/>
        <c:axPos val="l"/>
        <c:majorGridlines/>
        <c:numFmt formatCode="#,##0\ _z_ł" sourceLinked="0"/>
        <c:majorTickMark val="none"/>
        <c:minorTickMark val="none"/>
        <c:tickLblPos val="nextTo"/>
        <c:crossAx val="155372544"/>
        <c:crosses val="autoZero"/>
        <c:crossBetween val="between"/>
        <c:dispUnits>
          <c:builtInUnit val="millions"/>
          <c:dispUnitsLbl>
            <c:layout>
              <c:manualLayout>
                <c:xMode val="edge"/>
                <c:yMode val="edge"/>
                <c:x val="0.24482703550945076"/>
                <c:y val="0.30762208940749997"/>
              </c:manualLayout>
            </c:layout>
            <c:tx>
              <c:rich>
                <a:bodyPr/>
                <a:lstStyle/>
                <a:p>
                  <a:pPr>
                    <a:defRPr/>
                  </a:pPr>
                  <a:r>
                    <a:rPr lang="pl-PL"/>
                    <a:t>m EUR</a:t>
                  </a:r>
                </a:p>
              </c:rich>
            </c:tx>
          </c:dispUnitsLbl>
        </c:dispUnits>
      </c:valAx>
      <c:dTable>
        <c:showHorzBorder val="0"/>
        <c:showVertBorder val="0"/>
        <c:showOutline val="0"/>
        <c:showKeys val="1"/>
      </c:dTable>
      <c:spPr>
        <a:noFill/>
        <a:ln w="25400">
          <a:noFill/>
        </a:ln>
      </c:spPr>
    </c:plotArea>
    <c:plotVisOnly val="1"/>
    <c:dispBlanksAs val="gap"/>
    <c:showDLblsOverMax val="0"/>
  </c:chart>
  <c:spPr>
    <a:ln w="34925">
      <a:solidFill>
        <a:sysClr val="windowText" lastClr="000000"/>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100" i="1">
                <a:latin typeface="Times New Roman" pitchFamily="18" charset="0"/>
                <a:cs typeface="Times New Roman" pitchFamily="18" charset="0"/>
              </a:rPr>
              <a:t>Central SDP</a:t>
            </a:r>
            <a:endParaRPr lang="pl-PL"/>
          </a:p>
        </c:rich>
      </c:tx>
      <c:overlay val="0"/>
    </c:title>
    <c:autoTitleDeleted val="0"/>
    <c:plotArea>
      <c:layout/>
      <c:pieChart>
        <c:varyColors val="1"/>
        <c:ser>
          <c:idx val="7"/>
          <c:order val="7"/>
          <c:dPt>
            <c:idx val="0"/>
            <c:bubble3D val="0"/>
            <c:spPr>
              <a:solidFill>
                <a:schemeClr val="accent2">
                  <a:lumMod val="60000"/>
                  <a:lumOff val="40000"/>
                </a:schemeClr>
              </a:solidFill>
            </c:spPr>
          </c:dPt>
          <c:dPt>
            <c:idx val="1"/>
            <c:bubble3D val="0"/>
            <c:spPr>
              <a:solidFill>
                <a:srgbClr val="00B050"/>
              </a:solidFill>
            </c:spPr>
          </c:dPt>
          <c:dPt>
            <c:idx val="2"/>
            <c:bubble3D val="0"/>
            <c:spPr>
              <a:solidFill>
                <a:schemeClr val="accent5">
                  <a:lumMod val="40000"/>
                  <a:lumOff val="60000"/>
                </a:schemeClr>
              </a:solidFill>
            </c:spPr>
          </c:dPt>
          <c:dLbls>
            <c:txPr>
              <a:bodyPr/>
              <a:lstStyle/>
              <a:p>
                <a:pPr>
                  <a:defRPr b="1">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tabele!$T$5:$V$5</c:f>
              <c:numCache>
                <c:formatCode>_(* #,##0.00_);_(* \(#,##0.00\);_(* "-"??_);_(@_)</c:formatCode>
                <c:ptCount val="3"/>
                <c:pt idx="0">
                  <c:v>307560273.17000002</c:v>
                </c:pt>
                <c:pt idx="1">
                  <c:v>26720701.02</c:v>
                </c:pt>
                <c:pt idx="2" formatCode="#,##0.00">
                  <c:v>71216206.250000015</c:v>
                </c:pt>
              </c:numCache>
            </c:numRef>
          </c:val>
        </c:ser>
        <c:ser>
          <c:idx val="8"/>
          <c:order val="8"/>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tabele!$T$6:$V$6</c:f>
              <c:numCache>
                <c:formatCode>_(* #,##0.00_);_(* \(#,##0.00\);_(* "-"??_);_(@_)</c:formatCode>
                <c:ptCount val="3"/>
                <c:pt idx="0">
                  <c:v>121330116.86</c:v>
                </c:pt>
                <c:pt idx="1">
                  <c:v>3295082.96</c:v>
                </c:pt>
                <c:pt idx="2" formatCode="#,##0.00">
                  <c:v>25082828.102000009</c:v>
                </c:pt>
              </c:numCache>
            </c:numRef>
          </c:val>
        </c:ser>
        <c:ser>
          <c:idx val="9"/>
          <c:order val="9"/>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tabele!$T$7:$V$7</c:f>
              <c:numCache>
                <c:formatCode>_(* #,##0.00_);_(* \(#,##0.00\);_(* "-"??_);_(@_)</c:formatCode>
                <c:ptCount val="3"/>
                <c:pt idx="0">
                  <c:v>150137321.10999998</c:v>
                </c:pt>
                <c:pt idx="1">
                  <c:v>23641692.57</c:v>
                </c:pt>
                <c:pt idx="2" formatCode="#,##0.00">
                  <c:v>17312208.469999976</c:v>
                </c:pt>
              </c:numCache>
            </c:numRef>
          </c:val>
        </c:ser>
        <c:ser>
          <c:idx val="10"/>
          <c:order val="10"/>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tabele!$C$5</c:f>
              <c:numCache>
                <c:formatCode>General</c:formatCode>
                <c:ptCount val="1"/>
                <c:pt idx="0">
                  <c:v>0</c:v>
                </c:pt>
              </c:numCache>
            </c:numRef>
          </c:val>
        </c:ser>
        <c:ser>
          <c:idx val="11"/>
          <c:order val="11"/>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tabele!$C$6</c:f>
              <c:numCache>
                <c:formatCode>General</c:formatCode>
                <c:ptCount val="1"/>
                <c:pt idx="0">
                  <c:v>0</c:v>
                </c:pt>
              </c:numCache>
            </c:numRef>
          </c:val>
        </c:ser>
        <c:ser>
          <c:idx val="12"/>
          <c:order val="12"/>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tabele!$C$7</c:f>
              <c:numCache>
                <c:formatCode>General</c:formatCode>
                <c:ptCount val="1"/>
                <c:pt idx="0">
                  <c:v>0</c:v>
                </c:pt>
              </c:numCache>
            </c:numRef>
          </c:val>
        </c:ser>
        <c:ser>
          <c:idx val="13"/>
          <c:order val="13"/>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tabele!$C$8</c:f>
              <c:numCache>
                <c:formatCode>General</c:formatCode>
                <c:ptCount val="1"/>
                <c:pt idx="0">
                  <c:v>0</c:v>
                </c:pt>
              </c:numCache>
            </c:numRef>
          </c:val>
        </c:ser>
        <c:ser>
          <c:idx val="0"/>
          <c:order val="0"/>
          <c:dLbls>
            <c:showLegendKey val="0"/>
            <c:showVal val="0"/>
            <c:showCatName val="0"/>
            <c:showSerName val="0"/>
            <c:showPercent val="1"/>
            <c:showBubbleSize val="0"/>
            <c:showLeaderLines val="1"/>
          </c:dLbls>
          <c:cat>
            <c:strRef>
              <c:f>'[tabele i wykresy (6).xls]tabele'!$T$4:$V$4</c:f>
              <c:strCache>
                <c:ptCount val="3"/>
                <c:pt idx="0">
                  <c:v>Signed contracts</c:v>
                </c:pt>
                <c:pt idx="1">
                  <c:v>Contracts to be signed</c:v>
                </c:pt>
                <c:pt idx="2">
                  <c:v>Lost projects</c:v>
                </c:pt>
              </c:strCache>
            </c:strRef>
          </c:cat>
          <c:val>
            <c:numRef>
              <c:f>'[tabele i wykresy (6).xls]tabele'!$T$5:$V$5</c:f>
              <c:numCache>
                <c:formatCode>_(* #,##0.00_);_(* \(#,##0.00\);_(* "-"??_);_(@_)</c:formatCode>
                <c:ptCount val="3"/>
                <c:pt idx="0">
                  <c:v>307560273.17000002</c:v>
                </c:pt>
                <c:pt idx="1">
                  <c:v>26720701.02</c:v>
                </c:pt>
                <c:pt idx="2" formatCode="#,##0.00">
                  <c:v>71216206.250000015</c:v>
                </c:pt>
              </c:numCache>
            </c:numRef>
          </c:val>
        </c:ser>
        <c:ser>
          <c:idx val="1"/>
          <c:order val="1"/>
          <c:dLbls>
            <c:showLegendKey val="0"/>
            <c:showVal val="0"/>
            <c:showCatName val="0"/>
            <c:showSerName val="0"/>
            <c:showPercent val="1"/>
            <c:showBubbleSize val="0"/>
            <c:showLeaderLines val="1"/>
          </c:dLbls>
          <c:cat>
            <c:strRef>
              <c:f>'[tabele i wykresy (6).xls]tabele'!$T$4:$V$4</c:f>
              <c:strCache>
                <c:ptCount val="3"/>
                <c:pt idx="0">
                  <c:v>Signed contracts</c:v>
                </c:pt>
                <c:pt idx="1">
                  <c:v>Contracts to be signed</c:v>
                </c:pt>
                <c:pt idx="2">
                  <c:v>Lost projects</c:v>
                </c:pt>
              </c:strCache>
            </c:strRef>
          </c:cat>
          <c:val>
            <c:numRef>
              <c:f>'[tabele i wykresy (6).xls]tabele'!$T$6:$V$6</c:f>
              <c:numCache>
                <c:formatCode>_(* #,##0.00_);_(* \(#,##0.00\);_(* "-"??_);_(@_)</c:formatCode>
                <c:ptCount val="3"/>
                <c:pt idx="0">
                  <c:v>121330116.86</c:v>
                </c:pt>
                <c:pt idx="1">
                  <c:v>3295082.96</c:v>
                </c:pt>
                <c:pt idx="2" formatCode="#,##0.00">
                  <c:v>25082828.102000009</c:v>
                </c:pt>
              </c:numCache>
            </c:numRef>
          </c:val>
        </c:ser>
        <c:ser>
          <c:idx val="2"/>
          <c:order val="2"/>
          <c:dLbls>
            <c:showLegendKey val="0"/>
            <c:showVal val="0"/>
            <c:showCatName val="0"/>
            <c:showSerName val="0"/>
            <c:showPercent val="1"/>
            <c:showBubbleSize val="0"/>
            <c:showLeaderLines val="1"/>
          </c:dLbls>
          <c:cat>
            <c:strRef>
              <c:f>'[tabele i wykresy (6).xls]tabele'!$T$4:$V$4</c:f>
              <c:strCache>
                <c:ptCount val="3"/>
                <c:pt idx="0">
                  <c:v>Signed contracts</c:v>
                </c:pt>
                <c:pt idx="1">
                  <c:v>Contracts to be signed</c:v>
                </c:pt>
                <c:pt idx="2">
                  <c:v>Lost projects</c:v>
                </c:pt>
              </c:strCache>
            </c:strRef>
          </c:cat>
          <c:val>
            <c:numRef>
              <c:f>'[tabele i wykresy (6).xls]tabele'!$T$7:$V$7</c:f>
              <c:numCache>
                <c:formatCode>_(* #,##0.00_);_(* \(#,##0.00\);_(* "-"??_);_(@_)</c:formatCode>
                <c:ptCount val="3"/>
                <c:pt idx="0">
                  <c:v>150137321.10999998</c:v>
                </c:pt>
                <c:pt idx="1">
                  <c:v>23641692.57</c:v>
                </c:pt>
                <c:pt idx="2" formatCode="#,##0.00">
                  <c:v>17312208.469999976</c:v>
                </c:pt>
              </c:numCache>
            </c:numRef>
          </c:val>
        </c:ser>
        <c:ser>
          <c:idx val="3"/>
          <c:order val="3"/>
          <c:dLbls>
            <c:showLegendKey val="0"/>
            <c:showVal val="0"/>
            <c:showCatName val="0"/>
            <c:showSerName val="0"/>
            <c:showPercent val="1"/>
            <c:showBubbleSize val="0"/>
            <c:showLeaderLines val="1"/>
          </c:dLbls>
          <c:cat>
            <c:strRef>
              <c:f>'[tabele i wykresy (6).xls]tabele'!$T$4:$V$4</c:f>
              <c:strCache>
                <c:ptCount val="3"/>
                <c:pt idx="0">
                  <c:v>Signed contracts</c:v>
                </c:pt>
                <c:pt idx="1">
                  <c:v>Contracts to be signed</c:v>
                </c:pt>
                <c:pt idx="2">
                  <c:v>Lost projects</c:v>
                </c:pt>
              </c:strCache>
            </c:strRef>
          </c:cat>
          <c:val>
            <c:numRef>
              <c:f>'[tabele i wykresy (6).xls]tabele'!$C$5</c:f>
              <c:numCache>
                <c:formatCode>General</c:formatCode>
                <c:ptCount val="1"/>
                <c:pt idx="0">
                  <c:v>0</c:v>
                </c:pt>
              </c:numCache>
            </c:numRef>
          </c:val>
        </c:ser>
        <c:ser>
          <c:idx val="4"/>
          <c:order val="4"/>
          <c:dLbls>
            <c:showLegendKey val="0"/>
            <c:showVal val="0"/>
            <c:showCatName val="0"/>
            <c:showSerName val="0"/>
            <c:showPercent val="1"/>
            <c:showBubbleSize val="0"/>
            <c:showLeaderLines val="1"/>
          </c:dLbls>
          <c:cat>
            <c:strRef>
              <c:f>'[tabele i wykresy (6).xls]tabele'!$T$4:$V$4</c:f>
              <c:strCache>
                <c:ptCount val="3"/>
                <c:pt idx="0">
                  <c:v>Signed contracts</c:v>
                </c:pt>
                <c:pt idx="1">
                  <c:v>Contracts to be signed</c:v>
                </c:pt>
                <c:pt idx="2">
                  <c:v>Lost projects</c:v>
                </c:pt>
              </c:strCache>
            </c:strRef>
          </c:cat>
          <c:val>
            <c:numRef>
              <c:f>'[tabele i wykresy (6).xls]tabele'!$C$6</c:f>
              <c:numCache>
                <c:formatCode>General</c:formatCode>
                <c:ptCount val="1"/>
                <c:pt idx="0">
                  <c:v>0</c:v>
                </c:pt>
              </c:numCache>
            </c:numRef>
          </c:val>
        </c:ser>
        <c:ser>
          <c:idx val="5"/>
          <c:order val="5"/>
          <c:dLbls>
            <c:showLegendKey val="0"/>
            <c:showVal val="0"/>
            <c:showCatName val="0"/>
            <c:showSerName val="0"/>
            <c:showPercent val="1"/>
            <c:showBubbleSize val="0"/>
            <c:showLeaderLines val="1"/>
          </c:dLbls>
          <c:cat>
            <c:strRef>
              <c:f>'[tabele i wykresy (6).xls]tabele'!$T$4:$V$4</c:f>
              <c:strCache>
                <c:ptCount val="3"/>
                <c:pt idx="0">
                  <c:v>Signed contracts</c:v>
                </c:pt>
                <c:pt idx="1">
                  <c:v>Contracts to be signed</c:v>
                </c:pt>
                <c:pt idx="2">
                  <c:v>Lost projects</c:v>
                </c:pt>
              </c:strCache>
            </c:strRef>
          </c:cat>
          <c:val>
            <c:numRef>
              <c:f>'[tabele i wykresy (6).xls]tabele'!$C$7</c:f>
              <c:numCache>
                <c:formatCode>General</c:formatCode>
                <c:ptCount val="1"/>
                <c:pt idx="0">
                  <c:v>0</c:v>
                </c:pt>
              </c:numCache>
            </c:numRef>
          </c:val>
        </c:ser>
        <c:ser>
          <c:idx val="6"/>
          <c:order val="6"/>
          <c:dLbls>
            <c:showLegendKey val="0"/>
            <c:showVal val="0"/>
            <c:showCatName val="0"/>
            <c:showSerName val="0"/>
            <c:showPercent val="1"/>
            <c:showBubbleSize val="0"/>
            <c:showLeaderLines val="1"/>
          </c:dLbls>
          <c:cat>
            <c:strRef>
              <c:f>'[tabele i wykresy (6).xls]tabele'!$T$4:$V$4</c:f>
              <c:strCache>
                <c:ptCount val="3"/>
                <c:pt idx="0">
                  <c:v>Signed contracts</c:v>
                </c:pt>
                <c:pt idx="1">
                  <c:v>Contracts to be signed</c:v>
                </c:pt>
                <c:pt idx="2">
                  <c:v>Lost projects</c:v>
                </c:pt>
              </c:strCache>
            </c:strRef>
          </c:cat>
          <c:val>
            <c:numRef>
              <c:f>'[tabele i wykresy (6).xls]tabele'!$C$8</c:f>
              <c:numCache>
                <c:formatCode>General</c:formatCode>
                <c:ptCount val="1"/>
                <c:pt idx="0">
                  <c:v>0</c:v>
                </c:pt>
              </c:numCache>
            </c:numRef>
          </c:val>
        </c:ser>
        <c:dLbls>
          <c:showLegendKey val="0"/>
          <c:showVal val="0"/>
          <c:showCatName val="0"/>
          <c:showSerName val="0"/>
          <c:showPercent val="1"/>
          <c:showBubbleSize val="0"/>
          <c:showLeaderLines val="1"/>
        </c:dLbls>
        <c:firstSliceAng val="0"/>
      </c:pieChart>
      <c:spPr>
        <a:noFill/>
        <a:ln w="25400">
          <a:noFill/>
        </a:ln>
      </c:spPr>
    </c:plotArea>
    <c:legend>
      <c:legendPos val="r"/>
      <c:layout>
        <c:manualLayout>
          <c:xMode val="edge"/>
          <c:yMode val="edge"/>
          <c:x val="0.51115223217629668"/>
          <c:y val="0.31607910042360482"/>
          <c:w val="0.48478041004098932"/>
          <c:h val="0.55670722977809595"/>
        </c:manualLayout>
      </c:layout>
      <c:overlay val="0"/>
      <c:txPr>
        <a:bodyPr/>
        <a:lstStyle/>
        <a:p>
          <a:pPr>
            <a:defRPr sz="1000" b="1">
              <a:latin typeface="Times New Roman" pitchFamily="18" charset="0"/>
              <a:cs typeface="Times New Roman" pitchFamily="18" charset="0"/>
            </a:defRPr>
          </a:pPr>
          <a:endParaRPr lang="pl-PL"/>
        </a:p>
      </c:txPr>
    </c:legend>
    <c:plotVisOnly val="1"/>
    <c:dispBlanksAs val="zero"/>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solidFill>
          <a:prstClr val="white">
            <a:lumMod val="85000"/>
          </a:prstClr>
        </a:solidFill>
      </c:spPr>
    </c:sideWall>
    <c:backWall>
      <c:thickness val="0"/>
      <c:spPr>
        <a:solidFill>
          <a:prstClr val="white">
            <a:lumMod val="85000"/>
          </a:prstClr>
        </a:solidFill>
      </c:spPr>
    </c:backWall>
    <c:plotArea>
      <c:layout>
        <c:manualLayout>
          <c:layoutTarget val="inner"/>
          <c:xMode val="edge"/>
          <c:yMode val="edge"/>
          <c:x val="8.4682852143485268E-2"/>
          <c:y val="5.4352434344428859E-2"/>
          <c:w val="0.65607545931760558"/>
          <c:h val="0.85229431736204564"/>
        </c:manualLayout>
      </c:layout>
      <c:bar3DChart>
        <c:barDir val="bar"/>
        <c:grouping val="clustered"/>
        <c:varyColors val="0"/>
        <c:ser>
          <c:idx val="0"/>
          <c:order val="0"/>
          <c:tx>
            <c:strRef>
              <c:f>'Wnioski o płatność'!$A$38</c:f>
              <c:strCache>
                <c:ptCount val="1"/>
                <c:pt idx="0">
                  <c:v>zatwierdzone wnioski</c:v>
                </c:pt>
              </c:strCache>
            </c:strRef>
          </c:tx>
          <c:spPr>
            <a:effectLst>
              <a:outerShdw blurRad="50800" dist="38100" dir="2700000" algn="tl" rotWithShape="0">
                <a:prstClr val="black">
                  <a:alpha val="40000"/>
                </a:prstClr>
              </a:outerShdw>
            </a:effectLst>
            <a:scene3d>
              <a:camera prst="orthographicFront"/>
              <a:lightRig rig="threePt" dir="t"/>
            </a:scene3d>
            <a:sp3d/>
          </c:spPr>
          <c:invertIfNegative val="0"/>
          <c:dLbls>
            <c:delete val="1"/>
          </c:dLbls>
          <c:cat>
            <c:numRef>
              <c:f>'Wnioski o płatność'!$B$37:$E$37</c:f>
              <c:numCache>
                <c:formatCode>0</c:formatCode>
                <c:ptCount val="4"/>
                <c:pt idx="0">
                  <c:v>2008</c:v>
                </c:pt>
                <c:pt idx="1">
                  <c:v>2009</c:v>
                </c:pt>
                <c:pt idx="2">
                  <c:v>2010</c:v>
                </c:pt>
                <c:pt idx="3">
                  <c:v>2011</c:v>
                </c:pt>
              </c:numCache>
            </c:numRef>
          </c:cat>
          <c:val>
            <c:numRef>
              <c:f>'Wnioski o płatność'!$B$38:$E$38</c:f>
              <c:numCache>
                <c:formatCode>#,##0.00</c:formatCode>
                <c:ptCount val="4"/>
                <c:pt idx="0">
                  <c:v>97.192401148661673</c:v>
                </c:pt>
                <c:pt idx="1">
                  <c:v>520.4594654296443</c:v>
                </c:pt>
                <c:pt idx="2">
                  <c:v>464.1616964877403</c:v>
                </c:pt>
                <c:pt idx="3">
                  <c:v>335.29047934614363</c:v>
                </c:pt>
              </c:numCache>
            </c:numRef>
          </c:val>
        </c:ser>
        <c:ser>
          <c:idx val="1"/>
          <c:order val="1"/>
          <c:tx>
            <c:strRef>
              <c:f>'Wnioski o płatność'!$A$39</c:f>
              <c:strCache>
                <c:ptCount val="1"/>
                <c:pt idx="0">
                  <c:v>kontraktacja</c:v>
                </c:pt>
              </c:strCache>
            </c:strRef>
          </c:tx>
          <c:spPr>
            <a:solidFill>
              <a:srgbClr val="92D050"/>
            </a:solidFill>
            <a:scene3d>
              <a:camera prst="orthographicFront"/>
              <a:lightRig rig="threePt" dir="t"/>
            </a:scene3d>
            <a:sp3d/>
          </c:spPr>
          <c:invertIfNegative val="0"/>
          <c:dLbls>
            <c:delete val="1"/>
          </c:dLbls>
          <c:cat>
            <c:numRef>
              <c:f>'Wnioski o płatność'!$B$37:$E$37</c:f>
              <c:numCache>
                <c:formatCode>0</c:formatCode>
                <c:ptCount val="4"/>
                <c:pt idx="0">
                  <c:v>2008</c:v>
                </c:pt>
                <c:pt idx="1">
                  <c:v>2009</c:v>
                </c:pt>
                <c:pt idx="2">
                  <c:v>2010</c:v>
                </c:pt>
                <c:pt idx="3">
                  <c:v>2011</c:v>
                </c:pt>
              </c:numCache>
            </c:numRef>
          </c:cat>
          <c:val>
            <c:numRef>
              <c:f>'Wnioski o płatność'!$B$39:$E$39</c:f>
              <c:numCache>
                <c:formatCode>#,##0.00</c:formatCode>
                <c:ptCount val="4"/>
                <c:pt idx="0">
                  <c:v>73.470289374861949</c:v>
                </c:pt>
                <c:pt idx="1">
                  <c:v>300.82394521758329</c:v>
                </c:pt>
                <c:pt idx="2">
                  <c:v>565.30152418819796</c:v>
                </c:pt>
                <c:pt idx="3">
                  <c:v>232.69715043074712</c:v>
                </c:pt>
              </c:numCache>
            </c:numRef>
          </c:val>
        </c:ser>
        <c:ser>
          <c:idx val="2"/>
          <c:order val="2"/>
          <c:tx>
            <c:strRef>
              <c:f>'Wnioski o płatność'!$A$40</c:f>
              <c:strCache>
                <c:ptCount val="1"/>
                <c:pt idx="0">
                  <c:v>płatności</c:v>
                </c:pt>
              </c:strCache>
            </c:strRef>
          </c:tx>
          <c:spPr>
            <a:scene3d>
              <a:camera prst="orthographicFront"/>
              <a:lightRig rig="threePt" dir="t"/>
            </a:scene3d>
            <a:sp3d/>
          </c:spPr>
          <c:invertIfNegative val="0"/>
          <c:dLbls>
            <c:delete val="1"/>
          </c:dLbls>
          <c:cat>
            <c:numRef>
              <c:f>'Wnioski o płatność'!$B$37:$E$37</c:f>
              <c:numCache>
                <c:formatCode>0</c:formatCode>
                <c:ptCount val="4"/>
                <c:pt idx="0">
                  <c:v>2008</c:v>
                </c:pt>
                <c:pt idx="1">
                  <c:v>2009</c:v>
                </c:pt>
                <c:pt idx="2">
                  <c:v>2010</c:v>
                </c:pt>
                <c:pt idx="3">
                  <c:v>2011</c:v>
                </c:pt>
              </c:numCache>
            </c:numRef>
          </c:cat>
          <c:val>
            <c:numRef>
              <c:f>'Wnioski o płatność'!$B$40:$E$40</c:f>
              <c:numCache>
                <c:formatCode>#,##0.00</c:formatCode>
                <c:ptCount val="4"/>
                <c:pt idx="0">
                  <c:v>0.45725646123261376</c:v>
                </c:pt>
                <c:pt idx="1">
                  <c:v>65.760989617848466</c:v>
                </c:pt>
                <c:pt idx="2">
                  <c:v>264.35166777115086</c:v>
                </c:pt>
                <c:pt idx="3">
                  <c:v>258.01413739783521</c:v>
                </c:pt>
              </c:numCache>
            </c:numRef>
          </c:val>
        </c:ser>
        <c:dLbls>
          <c:showLegendKey val="0"/>
          <c:showVal val="1"/>
          <c:showCatName val="0"/>
          <c:showSerName val="0"/>
          <c:showPercent val="0"/>
          <c:showBubbleSize val="0"/>
        </c:dLbls>
        <c:gapWidth val="75"/>
        <c:gapDepth val="141"/>
        <c:shape val="box"/>
        <c:axId val="137474816"/>
        <c:axId val="137476352"/>
        <c:axId val="0"/>
      </c:bar3DChart>
      <c:catAx>
        <c:axId val="137474816"/>
        <c:scaling>
          <c:orientation val="minMax"/>
        </c:scaling>
        <c:delete val="0"/>
        <c:axPos val="l"/>
        <c:numFmt formatCode="0" sourceLinked="1"/>
        <c:majorTickMark val="out"/>
        <c:minorTickMark val="none"/>
        <c:tickLblPos val="nextTo"/>
        <c:crossAx val="137476352"/>
        <c:crosses val="autoZero"/>
        <c:auto val="1"/>
        <c:lblAlgn val="ctr"/>
        <c:lblOffset val="100"/>
        <c:noMultiLvlLbl val="0"/>
      </c:catAx>
      <c:valAx>
        <c:axId val="137476352"/>
        <c:scaling>
          <c:orientation val="minMax"/>
        </c:scaling>
        <c:delete val="0"/>
        <c:axPos val="b"/>
        <c:majorGridlines/>
        <c:numFmt formatCode="#,##0" sourceLinked="0"/>
        <c:majorTickMark val="out"/>
        <c:minorTickMark val="none"/>
        <c:tickLblPos val="nextTo"/>
        <c:crossAx val="137474816"/>
        <c:crosses val="autoZero"/>
        <c:crossBetween val="between"/>
      </c:valAx>
    </c:plotArea>
    <c:legend>
      <c:legendPos val="r"/>
      <c:overlay val="0"/>
    </c:legend>
    <c:plotVisOnly val="1"/>
    <c:dispBlanksAs val="gap"/>
    <c:showDLblsOverMax val="0"/>
  </c:chart>
  <c:spPr>
    <a:ln w="34925">
      <a:solidFill>
        <a:srgbClr val="9B2D1F">
          <a:lumMod val="60000"/>
          <a:lumOff val="40000"/>
        </a:srgbClr>
      </a:solidFill>
    </a:ln>
  </c:spPr>
  <c:txPr>
    <a:bodyPr/>
    <a:lstStyle/>
    <a:p>
      <a:pPr>
        <a:defRPr b="1">
          <a:latin typeface="Times New Roman" pitchFamily="18" charset="0"/>
          <a:cs typeface="Times New Roman" pitchFamily="18" charset="0"/>
        </a:defRPr>
      </a:pPr>
      <a:endParaRPr lang="pl-PL"/>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i="1">
                <a:latin typeface="Times New Roman" pitchFamily="18" charset="0"/>
                <a:cs typeface="Times New Roman" pitchFamily="18" charset="0"/>
              </a:rPr>
              <a:t>Souther</a:t>
            </a:r>
            <a:r>
              <a:rPr lang="pl-PL" sz="1200" i="1" baseline="0">
                <a:latin typeface="Times New Roman" pitchFamily="18" charset="0"/>
                <a:cs typeface="Times New Roman" pitchFamily="18" charset="0"/>
              </a:rPr>
              <a:t>n SDP</a:t>
            </a:r>
            <a:endParaRPr lang="pl-PL" sz="1200" i="1">
              <a:latin typeface="Times New Roman" pitchFamily="18" charset="0"/>
              <a:cs typeface="Times New Roman" pitchFamily="18" charset="0"/>
            </a:endParaRPr>
          </a:p>
        </c:rich>
      </c:tx>
      <c:layout>
        <c:manualLayout>
          <c:xMode val="edge"/>
          <c:yMode val="edge"/>
          <c:x val="0.12875373134328355"/>
          <c:y val="0.11944442354428322"/>
        </c:manualLayout>
      </c:layout>
      <c:overlay val="0"/>
    </c:title>
    <c:autoTitleDeleted val="0"/>
    <c:plotArea>
      <c:layout>
        <c:manualLayout>
          <c:layoutTarget val="inner"/>
          <c:xMode val="edge"/>
          <c:yMode val="edge"/>
          <c:x val="6.9494610281924524E-2"/>
          <c:y val="0.26163595596921158"/>
          <c:w val="0.55562106135988698"/>
          <c:h val="0.63021417231598065"/>
        </c:manualLayout>
      </c:layout>
      <c:pieChart>
        <c:varyColors val="1"/>
        <c:ser>
          <c:idx val="0"/>
          <c:order val="0"/>
          <c:dPt>
            <c:idx val="0"/>
            <c:bubble3D val="0"/>
            <c:spPr>
              <a:solidFill>
                <a:schemeClr val="accent2">
                  <a:lumMod val="60000"/>
                  <a:lumOff val="40000"/>
                </a:schemeClr>
              </a:solidFill>
            </c:spPr>
          </c:dPt>
          <c:dPt>
            <c:idx val="1"/>
            <c:bubble3D val="0"/>
            <c:spPr>
              <a:solidFill>
                <a:srgbClr val="00B050"/>
              </a:solidFill>
            </c:spPr>
          </c:dPt>
          <c:dPt>
            <c:idx val="2"/>
            <c:bubble3D val="0"/>
            <c:spPr>
              <a:solidFill>
                <a:schemeClr val="accent5">
                  <a:lumMod val="40000"/>
                  <a:lumOff val="60000"/>
                </a:schemeClr>
              </a:solidFill>
            </c:spPr>
          </c:dPt>
          <c:dLbls>
            <c:dLbl>
              <c:idx val="1"/>
              <c:layout>
                <c:manualLayout>
                  <c:x val="0.1353859867330017"/>
                  <c:y val="7.6653223682725521E-2"/>
                </c:manualLayout>
              </c:layout>
              <c:showLegendKey val="0"/>
              <c:showVal val="0"/>
              <c:showCatName val="0"/>
              <c:showSerName val="0"/>
              <c:showPercent val="1"/>
              <c:showBubbleSize val="0"/>
            </c:dLbl>
            <c:txPr>
              <a:bodyPr/>
              <a:lstStyle/>
              <a:p>
                <a:pPr>
                  <a:defRPr b="1">
                    <a:solidFill>
                      <a:sysClr val="windowText" lastClr="000000"/>
                    </a:solidFill>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tabele!$T$6:$V$6</c:f>
              <c:numCache>
                <c:formatCode>_(* #,##0.00_);_(* \(#,##0.00\);_(* "-"??_);_(@_)</c:formatCode>
                <c:ptCount val="3"/>
                <c:pt idx="0">
                  <c:v>121330116.86</c:v>
                </c:pt>
                <c:pt idx="1">
                  <c:v>3295082.96</c:v>
                </c:pt>
                <c:pt idx="2" formatCode="#,##0.00">
                  <c:v>25082828.102000009</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pl-PL" sz="1100" i="1">
                <a:latin typeface="Times New Roman" pitchFamily="18" charset="0"/>
                <a:cs typeface="Times New Roman" pitchFamily="18" charset="0"/>
              </a:rPr>
              <a:t>Northern</a:t>
            </a:r>
            <a:r>
              <a:rPr lang="pl-PL" sz="1100" i="1" baseline="0">
                <a:latin typeface="Times New Roman" pitchFamily="18" charset="0"/>
                <a:cs typeface="Times New Roman" pitchFamily="18" charset="0"/>
              </a:rPr>
              <a:t> SDP</a:t>
            </a:r>
            <a:endParaRPr lang="pl-PL" sz="1100" i="1">
              <a:latin typeface="Times New Roman" pitchFamily="18" charset="0"/>
              <a:cs typeface="Times New Roman" pitchFamily="18" charset="0"/>
            </a:endParaRPr>
          </a:p>
        </c:rich>
      </c:tx>
      <c:layout>
        <c:manualLayout>
          <c:xMode val="edge"/>
          <c:yMode val="edge"/>
          <c:x val="0.31716086235490942"/>
          <c:y val="0.12541670369915792"/>
        </c:manualLayout>
      </c:layout>
      <c:overlay val="0"/>
    </c:title>
    <c:autoTitleDeleted val="0"/>
    <c:plotArea>
      <c:layout>
        <c:manualLayout>
          <c:layoutTarget val="inner"/>
          <c:xMode val="edge"/>
          <c:yMode val="edge"/>
          <c:x val="0.34592537313433652"/>
          <c:y val="0.2825388629543954"/>
          <c:w val="0.51876326699834152"/>
          <c:h val="0.58840843052304925"/>
        </c:manualLayout>
      </c:layout>
      <c:pieChart>
        <c:varyColors val="1"/>
        <c:ser>
          <c:idx val="0"/>
          <c:order val="0"/>
          <c:dPt>
            <c:idx val="0"/>
            <c:bubble3D val="0"/>
            <c:explosion val="3"/>
            <c:spPr>
              <a:solidFill>
                <a:schemeClr val="accent2">
                  <a:lumMod val="60000"/>
                  <a:lumOff val="40000"/>
                </a:schemeClr>
              </a:solidFill>
            </c:spPr>
          </c:dPt>
          <c:dPt>
            <c:idx val="1"/>
            <c:bubble3D val="0"/>
            <c:spPr>
              <a:solidFill>
                <a:srgbClr val="00B050"/>
              </a:solidFill>
            </c:spPr>
          </c:dPt>
          <c:dLbls>
            <c:txPr>
              <a:bodyPr/>
              <a:lstStyle/>
              <a:p>
                <a:pPr>
                  <a:defRPr sz="1100" b="1">
                    <a:solidFill>
                      <a:sysClr val="windowText" lastClr="000000"/>
                    </a:solidFill>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tabele!$T$7:$V$7</c:f>
              <c:numCache>
                <c:formatCode>_(* #,##0.00_);_(* \(#,##0.00\);_(* "-"??_);_(@_)</c:formatCode>
                <c:ptCount val="3"/>
                <c:pt idx="0">
                  <c:v>150137321.10999998</c:v>
                </c:pt>
                <c:pt idx="1">
                  <c:v>23641692.57</c:v>
                </c:pt>
                <c:pt idx="2" formatCode="#,##0.00">
                  <c:v>17312208.469999976</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pl-PL" sz="1100" i="1">
                <a:latin typeface="Times New Roman" pitchFamily="18" charset="0"/>
                <a:cs typeface="Times New Roman" pitchFamily="18" charset="0"/>
              </a:rPr>
              <a:t>Western</a:t>
            </a:r>
            <a:r>
              <a:rPr lang="pl-PL" sz="1100" i="1" baseline="0">
                <a:latin typeface="Times New Roman" pitchFamily="18" charset="0"/>
                <a:cs typeface="Times New Roman" pitchFamily="18" charset="0"/>
              </a:rPr>
              <a:t> SDP</a:t>
            </a:r>
            <a:endParaRPr lang="pl-PL" sz="1100" i="1">
              <a:latin typeface="Times New Roman" pitchFamily="18" charset="0"/>
              <a:cs typeface="Times New Roman" pitchFamily="18" charset="0"/>
            </a:endParaRPr>
          </a:p>
        </c:rich>
      </c:tx>
      <c:layout>
        <c:manualLayout>
          <c:xMode val="edge"/>
          <c:yMode val="edge"/>
          <c:x val="0.15164510779436652"/>
          <c:y val="0.11944447971348376"/>
        </c:manualLayout>
      </c:layout>
      <c:overlay val="0"/>
    </c:title>
    <c:autoTitleDeleted val="0"/>
    <c:plotArea>
      <c:layout>
        <c:manualLayout>
          <c:layoutTarget val="inner"/>
          <c:xMode val="edge"/>
          <c:yMode val="edge"/>
          <c:x val="0.11675663349917099"/>
          <c:y val="0.24938408501061129"/>
          <c:w val="0.55587354892204377"/>
          <c:h val="0.63050085327563365"/>
        </c:manualLayout>
      </c:layout>
      <c:pieChart>
        <c:varyColors val="1"/>
        <c:ser>
          <c:idx val="0"/>
          <c:order val="0"/>
          <c:dPt>
            <c:idx val="0"/>
            <c:bubble3D val="0"/>
            <c:spPr>
              <a:solidFill>
                <a:schemeClr val="accent2">
                  <a:lumMod val="60000"/>
                  <a:lumOff val="40000"/>
                </a:schemeClr>
              </a:solidFill>
            </c:spPr>
          </c:dPt>
          <c:dPt>
            <c:idx val="1"/>
            <c:bubble3D val="0"/>
            <c:spPr>
              <a:solidFill>
                <a:srgbClr val="00B050"/>
              </a:solidFill>
            </c:spPr>
          </c:dPt>
          <c:dLbls>
            <c:dLbl>
              <c:idx val="1"/>
              <c:layout>
                <c:manualLayout>
                  <c:x val="4.5608208955223904E-2"/>
                  <c:y val="0.12535792196701537"/>
                </c:manualLayout>
              </c:layout>
              <c:showLegendKey val="0"/>
              <c:showVal val="0"/>
              <c:showCatName val="0"/>
              <c:showSerName val="0"/>
              <c:showPercent val="1"/>
              <c:showBubbleSize val="0"/>
            </c:dLbl>
            <c:dLbl>
              <c:idx val="2"/>
              <c:layout>
                <c:manualLayout>
                  <c:x val="7.934203980099612E-2"/>
                  <c:y val="0.13677004257208294"/>
                </c:manualLayout>
              </c:layout>
              <c:showLegendKey val="0"/>
              <c:showVal val="0"/>
              <c:showCatName val="0"/>
              <c:showSerName val="0"/>
              <c:showPercent val="1"/>
              <c:showBubbleSize val="0"/>
            </c:dLbl>
            <c:txPr>
              <a:bodyPr/>
              <a:lstStyle/>
              <a:p>
                <a:pPr>
                  <a:defRPr sz="1100" b="1">
                    <a:solidFill>
                      <a:sysClr val="windowText" lastClr="000000"/>
                    </a:solidFill>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tabele!$T$8:$V$8</c:f>
              <c:numCache>
                <c:formatCode>_(* #,##0.00_);_(* \(#,##0.00\);_(* "-"??_);_(@_)</c:formatCode>
                <c:ptCount val="3"/>
                <c:pt idx="0">
                  <c:v>212977938.99000007</c:v>
                </c:pt>
                <c:pt idx="1">
                  <c:v>2179631.42</c:v>
                </c:pt>
                <c:pt idx="2" formatCode="#,##0.00">
                  <c:v>14656133.729999973</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Arkusz2!$A$5</c:f>
              <c:strCache>
                <c:ptCount val="1"/>
                <c:pt idx="0">
                  <c:v>Ilość</c:v>
                </c:pt>
              </c:strCache>
            </c:strRef>
          </c:tx>
          <c:spPr>
            <a:ln>
              <a:solidFill>
                <a:schemeClr val="tx1"/>
              </a:solidFill>
            </a:ln>
          </c:spPr>
          <c:explosion val="14"/>
          <c:dPt>
            <c:idx val="0"/>
            <c:bubble3D val="0"/>
            <c:spPr>
              <a:solidFill>
                <a:srgbClr val="92D050"/>
              </a:solidFill>
              <a:ln>
                <a:solidFill>
                  <a:schemeClr val="tx1"/>
                </a:solidFill>
              </a:ln>
            </c:spPr>
          </c:dPt>
          <c:dPt>
            <c:idx val="1"/>
            <c:bubble3D val="0"/>
            <c:spPr>
              <a:solidFill>
                <a:srgbClr val="D34817">
                  <a:lumMod val="60000"/>
                  <a:lumOff val="40000"/>
                </a:srgbClr>
              </a:solidFill>
              <a:ln>
                <a:solidFill>
                  <a:schemeClr val="tx1"/>
                </a:solidFill>
              </a:ln>
            </c:spPr>
          </c:dPt>
          <c:dLbls>
            <c:dLbl>
              <c:idx val="0"/>
              <c:layout>
                <c:manualLayout>
                  <c:x val="-0.2031925095901474"/>
                  <c:y val="-0.26395334430046508"/>
                </c:manualLayout>
              </c:layout>
              <c:tx>
                <c:rich>
                  <a:bodyPr/>
                  <a:lstStyle/>
                  <a:p>
                    <a:r>
                      <a:rPr lang="en-US"/>
                      <a:t> mi</a:t>
                    </a:r>
                    <a:r>
                      <a:rPr lang="pl-PL"/>
                      <a:t>c</a:t>
                    </a:r>
                    <a:r>
                      <a:rPr lang="en-US"/>
                      <a:t>ro
50%</a:t>
                    </a:r>
                  </a:p>
                </c:rich>
              </c:tx>
              <c:showLegendKey val="0"/>
              <c:showVal val="0"/>
              <c:showCatName val="1"/>
              <c:showSerName val="0"/>
              <c:showPercent val="1"/>
              <c:showBubbleSize val="0"/>
            </c:dLbl>
            <c:dLbl>
              <c:idx val="1"/>
              <c:layout>
                <c:manualLayout>
                  <c:x val="0.10452991452991453"/>
                  <c:y val="-0.22301633742781324"/>
                </c:manualLayout>
              </c:layout>
              <c:tx>
                <c:rich>
                  <a:bodyPr/>
                  <a:lstStyle/>
                  <a:p>
                    <a:r>
                      <a:rPr lang="en-US"/>
                      <a:t> </a:t>
                    </a:r>
                    <a:r>
                      <a:rPr lang="pl-PL"/>
                      <a:t>small</a:t>
                    </a:r>
                    <a:r>
                      <a:rPr lang="en-US"/>
                      <a:t>
27%</a:t>
                    </a:r>
                  </a:p>
                </c:rich>
              </c:tx>
              <c:showLegendKey val="0"/>
              <c:showVal val="0"/>
              <c:showCatName val="1"/>
              <c:showSerName val="0"/>
              <c:showPercent val="1"/>
              <c:showBubbleSize val="0"/>
            </c:dLbl>
            <c:dLbl>
              <c:idx val="2"/>
              <c:layout>
                <c:manualLayout>
                  <c:x val="8.6043138838414412E-2"/>
                  <c:y val="6.6163045509507495E-2"/>
                </c:manualLayout>
              </c:layout>
              <c:tx>
                <c:rich>
                  <a:bodyPr/>
                  <a:lstStyle/>
                  <a:p>
                    <a:r>
                      <a:rPr lang="en-US"/>
                      <a:t> </a:t>
                    </a:r>
                    <a:r>
                      <a:rPr lang="pl-PL"/>
                      <a:t>medium</a:t>
                    </a:r>
                    <a:r>
                      <a:rPr lang="en-US"/>
                      <a:t>
23%</a:t>
                    </a:r>
                  </a:p>
                </c:rich>
              </c:tx>
              <c:showLegendKey val="0"/>
              <c:showVal val="0"/>
              <c:showCatName val="1"/>
              <c:showSerName val="0"/>
              <c:showPercent val="1"/>
              <c:showBubbleSize val="0"/>
            </c:dLbl>
            <c:txPr>
              <a:bodyPr/>
              <a:lstStyle/>
              <a:p>
                <a:pPr>
                  <a:defRPr sz="1100" b="1"/>
                </a:pPr>
                <a:endParaRPr lang="pl-PL"/>
              </a:p>
            </c:txPr>
            <c:showLegendKey val="0"/>
            <c:showVal val="0"/>
            <c:showCatName val="1"/>
            <c:showSerName val="0"/>
            <c:showPercent val="1"/>
            <c:showBubbleSize val="0"/>
            <c:showLeaderLines val="1"/>
          </c:dLbls>
          <c:cat>
            <c:strRef>
              <c:f>Arkusz2!$B$3:$D$4</c:f>
              <c:strCache>
                <c:ptCount val="3"/>
                <c:pt idx="0">
                  <c:v> mikro</c:v>
                </c:pt>
                <c:pt idx="1">
                  <c:v> małe</c:v>
                </c:pt>
                <c:pt idx="2">
                  <c:v> średnie</c:v>
                </c:pt>
              </c:strCache>
            </c:strRef>
          </c:cat>
          <c:val>
            <c:numRef>
              <c:f>Arkusz2!$B$5:$D$5</c:f>
              <c:numCache>
                <c:formatCode>General</c:formatCode>
                <c:ptCount val="3"/>
                <c:pt idx="0">
                  <c:v>65</c:v>
                </c:pt>
                <c:pt idx="1">
                  <c:v>35</c:v>
                </c:pt>
                <c:pt idx="2">
                  <c:v>30</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pl-PL"/>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pPr>
        <a:ln>
          <a:noFill/>
        </a:ln>
      </c:spPr>
    </c:sideWall>
    <c:backWall>
      <c:thickness val="0"/>
      <c:spPr>
        <a:ln>
          <a:noFill/>
        </a:ln>
      </c:spPr>
    </c:backWall>
    <c:plotArea>
      <c:layout>
        <c:manualLayout>
          <c:layoutTarget val="inner"/>
          <c:xMode val="edge"/>
          <c:yMode val="edge"/>
          <c:x val="0"/>
          <c:y val="3.5490259740259746E-2"/>
          <c:w val="1"/>
          <c:h val="0.96561982988219464"/>
        </c:manualLayout>
      </c:layout>
      <c:pie3DChart>
        <c:varyColors val="1"/>
        <c:ser>
          <c:idx val="0"/>
          <c:order val="0"/>
          <c:tx>
            <c:strRef>
              <c:f>Arkusz2!$A$9</c:f>
              <c:strCache>
                <c:ptCount val="1"/>
                <c:pt idx="0">
                  <c:v>Wartość</c:v>
                </c:pt>
              </c:strCache>
            </c:strRef>
          </c:tx>
          <c:spPr>
            <a:ln>
              <a:solidFill>
                <a:schemeClr val="tx1"/>
              </a:solidFill>
            </a:ln>
          </c:spPr>
          <c:explosion val="8"/>
          <c:dPt>
            <c:idx val="0"/>
            <c:bubble3D val="0"/>
            <c:explosion val="43"/>
            <c:spPr>
              <a:solidFill>
                <a:srgbClr val="92D050"/>
              </a:solidFill>
              <a:ln>
                <a:solidFill>
                  <a:schemeClr val="tx1"/>
                </a:solidFill>
              </a:ln>
            </c:spPr>
          </c:dPt>
          <c:dPt>
            <c:idx val="1"/>
            <c:bubble3D val="0"/>
            <c:spPr>
              <a:solidFill>
                <a:srgbClr val="D34817">
                  <a:lumMod val="60000"/>
                  <a:lumOff val="40000"/>
                </a:srgbClr>
              </a:solidFill>
              <a:ln>
                <a:solidFill>
                  <a:schemeClr val="tx1"/>
                </a:solidFill>
              </a:ln>
            </c:spPr>
          </c:dPt>
          <c:dLbls>
            <c:dLbl>
              <c:idx val="0"/>
              <c:layout>
                <c:manualLayout>
                  <c:x val="-0.17681559400362121"/>
                  <c:y val="6.5163487978979112E-2"/>
                </c:manualLayout>
              </c:layout>
              <c:tx>
                <c:rich>
                  <a:bodyPr/>
                  <a:lstStyle/>
                  <a:p>
                    <a:r>
                      <a:rPr lang="pl-PL"/>
                      <a:t>micro 2.40</a:t>
                    </a:r>
                    <a:endParaRPr lang="en-US"/>
                  </a:p>
                </c:rich>
              </c:tx>
              <c:showLegendKey val="0"/>
              <c:showVal val="1"/>
              <c:showCatName val="0"/>
              <c:showSerName val="0"/>
              <c:showPercent val="0"/>
              <c:showBubbleSize val="0"/>
            </c:dLbl>
            <c:dLbl>
              <c:idx val="1"/>
              <c:layout>
                <c:manualLayout>
                  <c:x val="-2.5594680708455782E-3"/>
                  <c:y val="-0.23713261194113214"/>
                </c:manualLayout>
              </c:layout>
              <c:tx>
                <c:rich>
                  <a:bodyPr/>
                  <a:lstStyle/>
                  <a:p>
                    <a:r>
                      <a:rPr lang="pl-PL"/>
                      <a:t>small 2.18</a:t>
                    </a:r>
                    <a:endParaRPr lang="en-US"/>
                  </a:p>
                </c:rich>
              </c:tx>
              <c:showLegendKey val="0"/>
              <c:showVal val="1"/>
              <c:showCatName val="0"/>
              <c:showSerName val="0"/>
              <c:showPercent val="0"/>
              <c:showBubbleSize val="0"/>
            </c:dLbl>
            <c:dLbl>
              <c:idx val="2"/>
              <c:layout>
                <c:manualLayout>
                  <c:x val="0.14936331353650023"/>
                  <c:y val="5.6503610504425573E-2"/>
                </c:manualLayout>
              </c:layout>
              <c:tx>
                <c:rich>
                  <a:bodyPr/>
                  <a:lstStyle/>
                  <a:p>
                    <a:r>
                      <a:rPr lang="pl-PL" sz="1100">
                        <a:latin typeface="Times New Roman" pitchFamily="18" charset="0"/>
                        <a:cs typeface="Times New Roman" pitchFamily="18" charset="0"/>
                      </a:rPr>
                      <a:t>medium 2.41</a:t>
                    </a:r>
                    <a:endParaRPr lang="en-US" sz="110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Arkusz2!$B$7:$D$8</c:f>
              <c:strCache>
                <c:ptCount val="3"/>
                <c:pt idx="0">
                  <c:v> mikro</c:v>
                </c:pt>
                <c:pt idx="1">
                  <c:v> małe</c:v>
                </c:pt>
                <c:pt idx="2">
                  <c:v> średnie</c:v>
                </c:pt>
              </c:strCache>
            </c:strRef>
          </c:cat>
          <c:val>
            <c:numRef>
              <c:f>Arkusz2!$B$9:$D$9</c:f>
              <c:numCache>
                <c:formatCode>#,##0.00</c:formatCode>
                <c:ptCount val="3"/>
                <c:pt idx="0">
                  <c:v>10864204</c:v>
                </c:pt>
                <c:pt idx="1">
                  <c:v>9868650</c:v>
                </c:pt>
                <c:pt idx="2">
                  <c:v>10900060</c:v>
                </c:pt>
              </c:numCache>
            </c:numRef>
          </c:val>
        </c:ser>
        <c:dLbls>
          <c:showLegendKey val="0"/>
          <c:showVal val="1"/>
          <c:showCatName val="1"/>
          <c:showSerName val="0"/>
          <c:showPercent val="0"/>
          <c:showBubbleSize val="0"/>
          <c:showLeaderLines val="0"/>
        </c:dLbls>
      </c:pie3DChart>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i="1"/>
              <a:t>Realizacja projektów kluczowych (wartość w mln EUR)</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Kluczowe!$A$2</c:f>
              <c:strCache>
                <c:ptCount val="1"/>
                <c:pt idx="0">
                  <c:v>Wartość</c:v>
                </c:pt>
              </c:strCache>
            </c:strRef>
          </c:tx>
          <c:spPr>
            <a:solidFill>
              <a:srgbClr val="92D050"/>
            </a:solidFill>
          </c:spPr>
          <c:invertIfNegative val="0"/>
          <c:dPt>
            <c:idx val="0"/>
            <c:invertIfNegative val="0"/>
            <c:bubble3D val="0"/>
            <c:spPr>
              <a:solidFill>
                <a:srgbClr val="00B0F0"/>
              </a:solidFill>
            </c:spPr>
          </c:dPt>
          <c:dPt>
            <c:idx val="1"/>
            <c:invertIfNegative val="0"/>
            <c:bubble3D val="0"/>
            <c:spPr>
              <a:solidFill>
                <a:srgbClr val="00B050"/>
              </a:solidFill>
            </c:spPr>
          </c:dPt>
          <c:dPt>
            <c:idx val="2"/>
            <c:invertIfNegative val="0"/>
            <c:bubble3D val="0"/>
            <c:spPr>
              <a:solidFill>
                <a:srgbClr val="FFC000"/>
              </a:solidFill>
            </c:spPr>
          </c:dPt>
          <c:dPt>
            <c:idx val="3"/>
            <c:invertIfNegative val="0"/>
            <c:bubble3D val="0"/>
            <c:spPr>
              <a:solidFill>
                <a:schemeClr val="accent1">
                  <a:lumMod val="60000"/>
                  <a:lumOff val="40000"/>
                </a:schemeClr>
              </a:solidFill>
            </c:spPr>
          </c:dPt>
          <c:dLbls>
            <c:dLbl>
              <c:idx val="0"/>
              <c:layout>
                <c:manualLayout>
                  <c:x val="-0.36925051494682032"/>
                  <c:y val="-4.3021068128434488E-3"/>
                </c:manualLayout>
              </c:layout>
              <c:showLegendKey val="0"/>
              <c:showVal val="1"/>
              <c:showCatName val="0"/>
              <c:showSerName val="0"/>
              <c:showPercent val="0"/>
              <c:showBubbleSize val="0"/>
            </c:dLbl>
            <c:dLbl>
              <c:idx val="1"/>
              <c:layout>
                <c:manualLayout>
                  <c:x val="2.5842122537647602E-2"/>
                  <c:y val="-8.6134776509080267E-3"/>
                </c:manualLayout>
              </c:layout>
              <c:tx>
                <c:rich>
                  <a:bodyPr/>
                  <a:lstStyle/>
                  <a:p>
                    <a:r>
                      <a:rPr lang="pl-PL" sz="1050"/>
                      <a:t>420,59</a:t>
                    </a:r>
                    <a:endParaRPr lang="en-US" sz="1050"/>
                  </a:p>
                </c:rich>
              </c:tx>
              <c:showLegendKey val="0"/>
              <c:showVal val="1"/>
              <c:showCatName val="0"/>
              <c:showSerName val="0"/>
              <c:showPercent val="0"/>
              <c:showBubbleSize val="0"/>
            </c:dLbl>
            <c:dLbl>
              <c:idx val="2"/>
              <c:layout>
                <c:manualLayout>
                  <c:x val="1.8089485776353321E-2"/>
                  <c:y val="0"/>
                </c:manualLayout>
              </c:layout>
              <c:tx>
                <c:rich>
                  <a:bodyPr/>
                  <a:lstStyle/>
                  <a:p>
                    <a:r>
                      <a:rPr lang="pl-PL" sz="1050"/>
                      <a:t>351,25</a:t>
                    </a:r>
                    <a:endParaRPr lang="en-US" sz="1050"/>
                  </a:p>
                </c:rich>
              </c:tx>
              <c:showLegendKey val="0"/>
              <c:showVal val="1"/>
              <c:showCatName val="0"/>
              <c:showSerName val="0"/>
              <c:showPercent val="0"/>
              <c:showBubbleSize val="0"/>
            </c:dLbl>
            <c:dLbl>
              <c:idx val="3"/>
              <c:layout>
                <c:manualLayout>
                  <c:x val="-0.10834300198786027"/>
                  <c:y val="-9.1806786473318039E-3"/>
                </c:manualLayout>
              </c:layout>
              <c:showLegendKey val="0"/>
              <c:showVal val="1"/>
              <c:showCatName val="0"/>
              <c:showSerName val="0"/>
              <c:showPercent val="0"/>
              <c:showBubbleSize val="0"/>
            </c:dLbl>
            <c:txPr>
              <a:bodyPr/>
              <a:lstStyle/>
              <a:p>
                <a:pPr>
                  <a:defRPr sz="1050"/>
                </a:pPr>
                <a:endParaRPr lang="pl-PL"/>
              </a:p>
            </c:txPr>
            <c:showLegendKey val="0"/>
            <c:showVal val="1"/>
            <c:showCatName val="0"/>
            <c:showSerName val="0"/>
            <c:showPercent val="0"/>
            <c:showBubbleSize val="0"/>
            <c:showLeaderLines val="0"/>
          </c:dLbls>
          <c:cat>
            <c:strRef>
              <c:f>Kluczowe!$B$1:$G$1</c:f>
              <c:strCache>
                <c:ptCount val="4"/>
                <c:pt idx="0">
                  <c:v>Alokacja</c:v>
                </c:pt>
                <c:pt idx="1">
                  <c:v>Zatwierdzone wnioski do dofinansowania</c:v>
                </c:pt>
                <c:pt idx="2">
                  <c:v>Podpisane umowy</c:v>
                </c:pt>
                <c:pt idx="3">
                  <c:v>Wypłacone środki</c:v>
                </c:pt>
              </c:strCache>
            </c:strRef>
          </c:cat>
          <c:val>
            <c:numRef>
              <c:f>Kluczowe!$B$2:$G$2</c:f>
              <c:numCache>
                <c:formatCode>#,##0.00</c:formatCode>
                <c:ptCount val="4"/>
                <c:pt idx="0">
                  <c:v>481.21999999999969</c:v>
                </c:pt>
                <c:pt idx="1">
                  <c:v>416.70421912966702</c:v>
                </c:pt>
                <c:pt idx="2">
                  <c:v>347.36911862160366</c:v>
                </c:pt>
                <c:pt idx="3">
                  <c:v>129.31521979235652</c:v>
                </c:pt>
              </c:numCache>
            </c:numRef>
          </c:val>
          <c:shape val="cylinder"/>
        </c:ser>
        <c:dLbls>
          <c:showLegendKey val="0"/>
          <c:showVal val="1"/>
          <c:showCatName val="0"/>
          <c:showSerName val="0"/>
          <c:showPercent val="0"/>
          <c:showBubbleSize val="0"/>
        </c:dLbls>
        <c:gapWidth val="150"/>
        <c:shape val="box"/>
        <c:axId val="137658752"/>
        <c:axId val="137671424"/>
        <c:axId val="0"/>
      </c:bar3DChart>
      <c:catAx>
        <c:axId val="137658752"/>
        <c:scaling>
          <c:orientation val="minMax"/>
        </c:scaling>
        <c:delete val="0"/>
        <c:axPos val="l"/>
        <c:majorTickMark val="out"/>
        <c:minorTickMark val="none"/>
        <c:tickLblPos val="nextTo"/>
        <c:crossAx val="137671424"/>
        <c:crosses val="autoZero"/>
        <c:auto val="1"/>
        <c:lblAlgn val="ctr"/>
        <c:lblOffset val="100"/>
        <c:noMultiLvlLbl val="0"/>
      </c:catAx>
      <c:valAx>
        <c:axId val="137671424"/>
        <c:scaling>
          <c:orientation val="minMax"/>
        </c:scaling>
        <c:delete val="0"/>
        <c:axPos val="b"/>
        <c:majorGridlines/>
        <c:numFmt formatCode="#,##0" sourceLinked="0"/>
        <c:majorTickMark val="out"/>
        <c:minorTickMark val="none"/>
        <c:tickLblPos val="nextTo"/>
        <c:crossAx val="137658752"/>
        <c:crosses val="autoZero"/>
        <c:crossBetween val="between"/>
      </c:valAx>
    </c:plotArea>
    <c:plotVisOnly val="1"/>
    <c:dispBlanksAs val="gap"/>
    <c:showDLblsOverMax val="0"/>
  </c:chart>
  <c:spPr>
    <a:solidFill>
      <a:schemeClr val="bg1"/>
    </a:solidFill>
    <a:ln w="28575">
      <a:solidFill>
        <a:schemeClr val="accent2">
          <a:lumMod val="60000"/>
          <a:lumOff val="40000"/>
        </a:schemeClr>
      </a:solidFill>
    </a:ln>
  </c:spPr>
  <c:txPr>
    <a:bodyPr/>
    <a:lstStyle/>
    <a:p>
      <a:pPr>
        <a:defRPr b="1">
          <a:latin typeface="Times New Roman" pitchFamily="18" charset="0"/>
          <a:cs typeface="Times New Roman" pitchFamily="18" charset="0"/>
        </a:defRPr>
      </a:pPr>
      <a:endParaRPr lang="pl-P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32178832805823032"/>
          <c:y val="2.5305619242269695E-2"/>
          <c:w val="0.65503528219620089"/>
          <c:h val="0.65952530136239162"/>
        </c:manualLayout>
      </c:layout>
      <c:bar3DChart>
        <c:barDir val="col"/>
        <c:grouping val="clustered"/>
        <c:varyColors val="0"/>
        <c:ser>
          <c:idx val="0"/>
          <c:order val="0"/>
          <c:tx>
            <c:strRef>
              <c:f>wykresy!$G$4</c:f>
              <c:strCache>
                <c:ptCount val="1"/>
                <c:pt idx="0">
                  <c:v>Maksymalna wartość dofinansowania projektów</c:v>
                </c:pt>
              </c:strCache>
            </c:strRef>
          </c:tx>
          <c:invertIfNegative val="0"/>
          <c:cat>
            <c:strRef>
              <c:f>wykresy!$H$3:$K$3</c:f>
              <c:strCache>
                <c:ptCount val="4"/>
                <c:pt idx="0">
                  <c:v>Centralny</c:v>
                </c:pt>
                <c:pt idx="1">
                  <c:v>Południowy</c:v>
                </c:pt>
                <c:pt idx="2">
                  <c:v>Północny</c:v>
                </c:pt>
                <c:pt idx="3">
                  <c:v>Zachodni</c:v>
                </c:pt>
              </c:strCache>
            </c:strRef>
          </c:cat>
          <c:val>
            <c:numRef>
              <c:f>wykresy!$H$4:$K$4</c:f>
              <c:numCache>
                <c:formatCode>_(* #,##0.00_);_(* \(#,##0.00\);_(* "-"??_);_(@_)</c:formatCode>
                <c:ptCount val="4"/>
                <c:pt idx="0">
                  <c:v>114969430.23532748</c:v>
                </c:pt>
                <c:pt idx="1">
                  <c:v>42446279.53501559</c:v>
                </c:pt>
                <c:pt idx="2">
                  <c:v>54179535.625178143</c:v>
                </c:pt>
                <c:pt idx="3">
                  <c:v>65158407.751630343</c:v>
                </c:pt>
              </c:numCache>
            </c:numRef>
          </c:val>
        </c:ser>
        <c:ser>
          <c:idx val="1"/>
          <c:order val="1"/>
          <c:tx>
            <c:strRef>
              <c:f>wykresy!$G$5</c:f>
              <c:strCache>
                <c:ptCount val="1"/>
                <c:pt idx="0">
                  <c:v>Projekty złożone</c:v>
                </c:pt>
              </c:strCache>
            </c:strRef>
          </c:tx>
          <c:spPr>
            <a:solidFill>
              <a:srgbClr val="FFC000"/>
            </a:solidFill>
          </c:spPr>
          <c:invertIfNegative val="0"/>
          <c:cat>
            <c:strRef>
              <c:f>wykresy!$H$3:$K$3</c:f>
              <c:strCache>
                <c:ptCount val="4"/>
                <c:pt idx="0">
                  <c:v>Centralny</c:v>
                </c:pt>
                <c:pt idx="1">
                  <c:v>Południowy</c:v>
                </c:pt>
                <c:pt idx="2">
                  <c:v>Północny</c:v>
                </c:pt>
                <c:pt idx="3">
                  <c:v>Zachodni</c:v>
                </c:pt>
              </c:strCache>
            </c:strRef>
          </c:cat>
          <c:val>
            <c:numRef>
              <c:f>wykresy!$H$5:$K$5</c:f>
              <c:numCache>
                <c:formatCode>_(* #,##0.00_);_(* \(#,##0.00\);_(* "-"??_);_(@_)</c:formatCode>
                <c:ptCount val="4"/>
                <c:pt idx="0">
                  <c:v>110104845.92571589</c:v>
                </c:pt>
                <c:pt idx="1">
                  <c:v>40025752.381627448</c:v>
                </c:pt>
                <c:pt idx="2">
                  <c:v>53409487.238446273</c:v>
                </c:pt>
                <c:pt idx="3">
                  <c:v>65158407.751630343</c:v>
                </c:pt>
              </c:numCache>
            </c:numRef>
          </c:val>
        </c:ser>
        <c:ser>
          <c:idx val="2"/>
          <c:order val="2"/>
          <c:tx>
            <c:strRef>
              <c:f>wykresy!$G$6</c:f>
              <c:strCache>
                <c:ptCount val="1"/>
                <c:pt idx="0">
                  <c:v>Projekty ocenione pozytywnie merytorycznie</c:v>
                </c:pt>
              </c:strCache>
            </c:strRef>
          </c:tx>
          <c:spPr>
            <a:solidFill>
              <a:srgbClr val="00B050"/>
            </a:solidFill>
          </c:spPr>
          <c:invertIfNegative val="0"/>
          <c:cat>
            <c:strRef>
              <c:f>wykresy!$H$3:$K$3</c:f>
              <c:strCache>
                <c:ptCount val="4"/>
                <c:pt idx="0">
                  <c:v>Centralny</c:v>
                </c:pt>
                <c:pt idx="1">
                  <c:v>Południowy</c:v>
                </c:pt>
                <c:pt idx="2">
                  <c:v>Północny</c:v>
                </c:pt>
                <c:pt idx="3">
                  <c:v>Zachodni</c:v>
                </c:pt>
              </c:strCache>
            </c:strRef>
          </c:cat>
          <c:val>
            <c:numRef>
              <c:f>wykresy!$H$6:$K$6</c:f>
              <c:numCache>
                <c:formatCode>_(* #,##0.00_);_(* \(#,##0.00\);_(* "-"??_);_(@_)</c:formatCode>
                <c:ptCount val="4"/>
                <c:pt idx="0">
                  <c:v>95874752.066912413</c:v>
                </c:pt>
                <c:pt idx="1">
                  <c:v>35267407.340515994</c:v>
                </c:pt>
                <c:pt idx="2">
                  <c:v>51040323.683016725</c:v>
                </c:pt>
                <c:pt idx="3">
                  <c:v>64540423.226539113</c:v>
                </c:pt>
              </c:numCache>
            </c:numRef>
          </c:val>
        </c:ser>
        <c:ser>
          <c:idx val="3"/>
          <c:order val="3"/>
          <c:tx>
            <c:strRef>
              <c:f>wykresy!$G$7</c:f>
              <c:strCache>
                <c:ptCount val="1"/>
                <c:pt idx="0">
                  <c:v>Podpisane umowy o dofinansowanie projektów</c:v>
                </c:pt>
              </c:strCache>
            </c:strRef>
          </c:tx>
          <c:spPr>
            <a:solidFill>
              <a:srgbClr val="00B0F0"/>
            </a:solidFill>
          </c:spPr>
          <c:invertIfNegative val="0"/>
          <c:cat>
            <c:strRef>
              <c:f>wykresy!$H$3:$K$3</c:f>
              <c:strCache>
                <c:ptCount val="4"/>
                <c:pt idx="0">
                  <c:v>Centralny</c:v>
                </c:pt>
                <c:pt idx="1">
                  <c:v>Południowy</c:v>
                </c:pt>
                <c:pt idx="2">
                  <c:v>Północny</c:v>
                </c:pt>
                <c:pt idx="3">
                  <c:v>Zachodni</c:v>
                </c:pt>
              </c:strCache>
            </c:strRef>
          </c:cat>
          <c:val>
            <c:numRef>
              <c:f>wykresy!$H$7:$K$7</c:f>
              <c:numCache>
                <c:formatCode>_(* #,##0.00_);_(* \(#,##0.00\);_(* "-"??_);_(@_)</c:formatCode>
                <c:ptCount val="4"/>
                <c:pt idx="0">
                  <c:v>87201665.202721864</c:v>
                </c:pt>
                <c:pt idx="1">
                  <c:v>34400373.365466401</c:v>
                </c:pt>
                <c:pt idx="2">
                  <c:v>42567995.778281823</c:v>
                </c:pt>
                <c:pt idx="3">
                  <c:v>60385012.472355984</c:v>
                </c:pt>
              </c:numCache>
            </c:numRef>
          </c:val>
        </c:ser>
        <c:ser>
          <c:idx val="4"/>
          <c:order val="4"/>
          <c:tx>
            <c:strRef>
              <c:f>wykresy!$G$8</c:f>
              <c:strCache>
                <c:ptCount val="1"/>
                <c:pt idx="0">
                  <c:v>Projekty utracone</c:v>
                </c:pt>
              </c:strCache>
            </c:strRef>
          </c:tx>
          <c:spPr>
            <a:solidFill>
              <a:schemeClr val="accent1">
                <a:lumMod val="60000"/>
                <a:lumOff val="40000"/>
              </a:schemeClr>
            </a:solidFill>
          </c:spPr>
          <c:invertIfNegative val="0"/>
          <c:cat>
            <c:strRef>
              <c:f>wykresy!$H$3:$K$3</c:f>
              <c:strCache>
                <c:ptCount val="4"/>
                <c:pt idx="0">
                  <c:v>Centralny</c:v>
                </c:pt>
                <c:pt idx="1">
                  <c:v>Południowy</c:v>
                </c:pt>
                <c:pt idx="2">
                  <c:v>Północny</c:v>
                </c:pt>
                <c:pt idx="3">
                  <c:v>Zachodni</c:v>
                </c:pt>
              </c:strCache>
            </c:strRef>
          </c:cat>
          <c:val>
            <c:numRef>
              <c:f>wykresy!$H$8:$K$8</c:f>
              <c:numCache>
                <c:formatCode>_(* #,##0.00_);_(* \(#,##0.00\);_(* "-"??_);_(@_)</c:formatCode>
                <c:ptCount val="4"/>
                <c:pt idx="0">
                  <c:v>20191722.781400342</c:v>
                </c:pt>
                <c:pt idx="1">
                  <c:v>7111660.9305358669</c:v>
                </c:pt>
                <c:pt idx="2">
                  <c:v>4908479.8610717319</c:v>
                </c:pt>
                <c:pt idx="3">
                  <c:v>4155410.7541820272</c:v>
                </c:pt>
              </c:numCache>
            </c:numRef>
          </c:val>
        </c:ser>
        <c:dLbls>
          <c:showLegendKey val="0"/>
          <c:showVal val="0"/>
          <c:showCatName val="0"/>
          <c:showSerName val="0"/>
          <c:showPercent val="0"/>
          <c:showBubbleSize val="0"/>
        </c:dLbls>
        <c:gapWidth val="150"/>
        <c:shape val="cylinder"/>
        <c:axId val="138772864"/>
        <c:axId val="138774400"/>
        <c:axId val="0"/>
      </c:bar3DChart>
      <c:catAx>
        <c:axId val="138772864"/>
        <c:scaling>
          <c:orientation val="minMax"/>
        </c:scaling>
        <c:delete val="0"/>
        <c:axPos val="b"/>
        <c:numFmt formatCode="General" sourceLinked="1"/>
        <c:majorTickMark val="none"/>
        <c:minorTickMark val="none"/>
        <c:tickLblPos val="nextTo"/>
        <c:txPr>
          <a:bodyPr rot="0" vert="horz"/>
          <a:lstStyle/>
          <a:p>
            <a:pPr>
              <a:defRPr/>
            </a:pPr>
            <a:endParaRPr lang="pl-PL"/>
          </a:p>
        </c:txPr>
        <c:crossAx val="138774400"/>
        <c:crosses val="autoZero"/>
        <c:auto val="1"/>
        <c:lblAlgn val="ctr"/>
        <c:lblOffset val="100"/>
        <c:noMultiLvlLbl val="0"/>
      </c:catAx>
      <c:valAx>
        <c:axId val="138774400"/>
        <c:scaling>
          <c:orientation val="minMax"/>
        </c:scaling>
        <c:delete val="0"/>
        <c:axPos val="l"/>
        <c:majorGridlines/>
        <c:numFmt formatCode="#,##0\ _z_ł" sourceLinked="0"/>
        <c:majorTickMark val="none"/>
        <c:minorTickMark val="none"/>
        <c:tickLblPos val="nextTo"/>
        <c:txPr>
          <a:bodyPr rot="0" vert="horz"/>
          <a:lstStyle/>
          <a:p>
            <a:pPr>
              <a:defRPr/>
            </a:pPr>
            <a:endParaRPr lang="pl-PL"/>
          </a:p>
        </c:txPr>
        <c:crossAx val="138772864"/>
        <c:crosses val="autoZero"/>
        <c:crossBetween val="between"/>
        <c:dispUnits>
          <c:builtInUnit val="millions"/>
          <c:dispUnitsLbl>
            <c:layout>
              <c:manualLayout>
                <c:xMode val="edge"/>
                <c:yMode val="edge"/>
                <c:x val="0.2362752742641949"/>
                <c:y val="0.30085677105090786"/>
              </c:manualLayout>
            </c:layout>
            <c:tx>
              <c:rich>
                <a:bodyPr rot="-5400000" vert="horz"/>
                <a:lstStyle/>
                <a:p>
                  <a:pPr>
                    <a:defRPr/>
                  </a:pPr>
                  <a:r>
                    <a:rPr lang="pl-PL"/>
                    <a:t>MLN</a:t>
                  </a:r>
                  <a:r>
                    <a:rPr lang="pl-PL" baseline="0"/>
                    <a:t> </a:t>
                  </a:r>
                  <a:r>
                    <a:rPr lang="pl-PL"/>
                    <a:t>EUR</a:t>
                  </a:r>
                </a:p>
              </c:rich>
            </c:tx>
          </c:dispUnitsLbl>
        </c:dispUnits>
      </c:valAx>
      <c:dTable>
        <c:showHorzBorder val="0"/>
        <c:showVertBorder val="0"/>
        <c:showOutline val="0"/>
        <c:showKeys val="1"/>
        <c:spPr>
          <a:ln>
            <a:solidFill>
              <a:srgbClr val="696464">
                <a:lumMod val="75000"/>
              </a:srgbClr>
            </a:solidFill>
          </a:ln>
        </c:spPr>
      </c:dTable>
    </c:plotArea>
    <c:plotVisOnly val="1"/>
    <c:dispBlanksAs val="gap"/>
    <c:showDLblsOverMax val="0"/>
  </c:chart>
  <c:spPr>
    <a:ln w="34925">
      <a:solidFill>
        <a:schemeClr val="accent2">
          <a:lumMod val="60000"/>
          <a:lumOff val="40000"/>
        </a:schemeClr>
      </a:solidFill>
    </a:ln>
  </c:spPr>
  <c:txPr>
    <a:bodyPr/>
    <a:lstStyle/>
    <a:p>
      <a:pPr>
        <a:defRPr b="1">
          <a:latin typeface="Times New Roman" pitchFamily="18" charset="0"/>
          <a:cs typeface="Times New Roman"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100" i="1">
                <a:latin typeface="Times New Roman" pitchFamily="18" charset="0"/>
                <a:cs typeface="Times New Roman" pitchFamily="18" charset="0"/>
              </a:defRPr>
            </a:pPr>
            <a:r>
              <a:rPr lang="pl-PL" sz="1100" i="1">
                <a:latin typeface="Times New Roman" pitchFamily="18" charset="0"/>
                <a:cs typeface="Times New Roman" pitchFamily="18" charset="0"/>
              </a:rPr>
              <a:t>PRS Centralny</a:t>
            </a:r>
          </a:p>
        </c:rich>
      </c:tx>
      <c:layout>
        <c:manualLayout>
          <c:xMode val="edge"/>
          <c:yMode val="edge"/>
          <c:x val="6.3357604017578534E-2"/>
          <c:y val="8.3611096480998043E-2"/>
        </c:manualLayout>
      </c:layout>
      <c:overlay val="0"/>
    </c:title>
    <c:autoTitleDeleted val="0"/>
    <c:plotArea>
      <c:layout>
        <c:manualLayout>
          <c:layoutTarget val="inner"/>
          <c:xMode val="edge"/>
          <c:yMode val="edge"/>
          <c:x val="2.2853246984431707E-2"/>
          <c:y val="0.20902774120249923"/>
          <c:w val="0.39896248619051394"/>
          <c:h val="0.55854751818941062"/>
        </c:manualLayout>
      </c:layout>
      <c:pieChart>
        <c:varyColors val="1"/>
        <c:ser>
          <c:idx val="0"/>
          <c:order val="0"/>
          <c:dPt>
            <c:idx val="0"/>
            <c:bubble3D val="0"/>
            <c:spPr>
              <a:solidFill>
                <a:schemeClr val="accent2">
                  <a:lumMod val="60000"/>
                  <a:lumOff val="40000"/>
                </a:schemeClr>
              </a:solidFill>
            </c:spPr>
          </c:dPt>
          <c:dPt>
            <c:idx val="1"/>
            <c:bubble3D val="0"/>
            <c:spPr>
              <a:solidFill>
                <a:srgbClr val="00B050"/>
              </a:solidFill>
            </c:spPr>
          </c:dPt>
          <c:dLbls>
            <c:dLbl>
              <c:idx val="1"/>
              <c:layout>
                <c:manualLayout>
                  <c:x val="5.8349290727750878E-2"/>
                  <c:y val="6.9149856666691725E-2"/>
                </c:manualLayout>
              </c:layout>
              <c:showLegendKey val="0"/>
              <c:showVal val="0"/>
              <c:showCatName val="0"/>
              <c:showSerName val="0"/>
              <c:showPercent val="1"/>
              <c:showBubbleSize val="0"/>
            </c:dLbl>
            <c:txPr>
              <a:bodyPr/>
              <a:lstStyle/>
              <a:p>
                <a:pPr>
                  <a:defRPr sz="1100" b="1">
                    <a:solidFill>
                      <a:sysClr val="windowText" lastClr="000000"/>
                    </a:solidFill>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tabele!$T$5:$V$5</c:f>
              <c:numCache>
                <c:formatCode>_(* #,##0.00_);_(* \(#,##0.00\);_(* "-"??_);_(@_)</c:formatCode>
                <c:ptCount val="3"/>
                <c:pt idx="0">
                  <c:v>307560273.17000002</c:v>
                </c:pt>
                <c:pt idx="1">
                  <c:v>26720701.02</c:v>
                </c:pt>
                <c:pt idx="2" formatCode="#,##0.00">
                  <c:v>71216206.250000015</c:v>
                </c:pt>
              </c:numCache>
            </c:numRef>
          </c:val>
        </c:ser>
        <c:ser>
          <c:idx val="1"/>
          <c:order val="1"/>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tabele!$T$6:$V$6</c:f>
              <c:numCache>
                <c:formatCode>_(* #,##0.00_);_(* \(#,##0.00\);_(* "-"??_);_(@_)</c:formatCode>
                <c:ptCount val="3"/>
                <c:pt idx="0">
                  <c:v>121330116.86</c:v>
                </c:pt>
                <c:pt idx="1">
                  <c:v>3295082.96</c:v>
                </c:pt>
                <c:pt idx="2" formatCode="#,##0.00">
                  <c:v>25082828.102000009</c:v>
                </c:pt>
              </c:numCache>
            </c:numRef>
          </c:val>
        </c:ser>
        <c:ser>
          <c:idx val="2"/>
          <c:order val="2"/>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tabele!$T$7:$V$7</c:f>
              <c:numCache>
                <c:formatCode>_(* #,##0.00_);_(* \(#,##0.00\);_(* "-"??_);_(@_)</c:formatCode>
                <c:ptCount val="3"/>
                <c:pt idx="0">
                  <c:v>150137321.10999998</c:v>
                </c:pt>
                <c:pt idx="1">
                  <c:v>23641692.57</c:v>
                </c:pt>
                <c:pt idx="2" formatCode="#,##0.00">
                  <c:v>17312208.469999976</c:v>
                </c:pt>
              </c:numCache>
            </c:numRef>
          </c:val>
        </c:ser>
        <c:ser>
          <c:idx val="3"/>
          <c:order val="3"/>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tabele!$C$5</c:f>
              <c:numCache>
                <c:formatCode>General</c:formatCode>
                <c:ptCount val="1"/>
                <c:pt idx="0">
                  <c:v>0</c:v>
                </c:pt>
              </c:numCache>
            </c:numRef>
          </c:val>
        </c:ser>
        <c:ser>
          <c:idx val="4"/>
          <c:order val="4"/>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tabele!$C$6</c:f>
              <c:numCache>
                <c:formatCode>General</c:formatCode>
                <c:ptCount val="1"/>
                <c:pt idx="0">
                  <c:v>0</c:v>
                </c:pt>
              </c:numCache>
            </c:numRef>
          </c:val>
        </c:ser>
        <c:ser>
          <c:idx val="5"/>
          <c:order val="5"/>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tabele!$C$7</c:f>
              <c:numCache>
                <c:formatCode>General</c:formatCode>
                <c:ptCount val="1"/>
                <c:pt idx="0">
                  <c:v>0</c:v>
                </c:pt>
              </c:numCache>
            </c:numRef>
          </c:val>
        </c:ser>
        <c:ser>
          <c:idx val="6"/>
          <c:order val="6"/>
          <c:dLbls>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tabele!$C$8</c:f>
              <c:numCache>
                <c:formatCode>General</c:formatCode>
                <c:ptCount val="1"/>
                <c:pt idx="0">
                  <c:v>0</c:v>
                </c:pt>
              </c:numCache>
            </c:numRef>
          </c:val>
        </c:ser>
        <c:dLbls>
          <c:showLegendKey val="0"/>
          <c:showVal val="0"/>
          <c:showCatName val="0"/>
          <c:showSerName val="0"/>
          <c:showPercent val="1"/>
          <c:showBubbleSize val="0"/>
          <c:showLeaderLines val="1"/>
        </c:dLbls>
        <c:firstSliceAng val="0"/>
      </c:pieChart>
      <c:spPr>
        <a:ln>
          <a:noFill/>
        </a:ln>
      </c:spPr>
    </c:plotArea>
    <c:legend>
      <c:legendPos val="r"/>
      <c:layout>
        <c:manualLayout>
          <c:xMode val="edge"/>
          <c:yMode val="edge"/>
          <c:x val="0.41990422277659895"/>
          <c:y val="0.33672135402950937"/>
          <c:w val="0.58009577722341465"/>
          <c:h val="0.49796003972703512"/>
        </c:manualLayout>
      </c:layout>
      <c:overlay val="1"/>
      <c:txPr>
        <a:bodyPr/>
        <a:lstStyle/>
        <a:p>
          <a:pPr>
            <a:defRPr sz="1100" b="1">
              <a:latin typeface="Times New Roman" pitchFamily="18" charset="0"/>
              <a:cs typeface="Times New Roman" pitchFamily="18" charset="0"/>
            </a:defRPr>
          </a:pPr>
          <a:endParaRPr lang="pl-PL"/>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i="1">
                <a:latin typeface="Times New Roman" pitchFamily="18" charset="0"/>
                <a:cs typeface="Times New Roman" pitchFamily="18" charset="0"/>
              </a:rPr>
              <a:t>PRS Południowy</a:t>
            </a:r>
          </a:p>
        </c:rich>
      </c:tx>
      <c:layout>
        <c:manualLayout>
          <c:xMode val="edge"/>
          <c:yMode val="edge"/>
          <c:x val="0.12875373134328355"/>
          <c:y val="0.11944442354428322"/>
        </c:manualLayout>
      </c:layout>
      <c:overlay val="0"/>
    </c:title>
    <c:autoTitleDeleted val="0"/>
    <c:plotArea>
      <c:layout>
        <c:manualLayout>
          <c:layoutTarget val="inner"/>
          <c:xMode val="edge"/>
          <c:yMode val="edge"/>
          <c:x val="6.9494610281924524E-2"/>
          <c:y val="0.26163595596921158"/>
          <c:w val="0.55562106135989076"/>
          <c:h val="0.63021417231598065"/>
        </c:manualLayout>
      </c:layout>
      <c:pieChart>
        <c:varyColors val="1"/>
        <c:ser>
          <c:idx val="0"/>
          <c:order val="0"/>
          <c:dPt>
            <c:idx val="0"/>
            <c:bubble3D val="0"/>
            <c:spPr>
              <a:solidFill>
                <a:schemeClr val="accent2">
                  <a:lumMod val="60000"/>
                  <a:lumOff val="40000"/>
                </a:schemeClr>
              </a:solidFill>
            </c:spPr>
          </c:dPt>
          <c:dPt>
            <c:idx val="1"/>
            <c:bubble3D val="0"/>
            <c:spPr>
              <a:solidFill>
                <a:srgbClr val="00B050"/>
              </a:solidFill>
            </c:spPr>
          </c:dPt>
          <c:dPt>
            <c:idx val="2"/>
            <c:bubble3D val="0"/>
            <c:spPr>
              <a:solidFill>
                <a:schemeClr val="accent6">
                  <a:lumMod val="60000"/>
                  <a:lumOff val="40000"/>
                </a:schemeClr>
              </a:solidFill>
            </c:spPr>
          </c:dPt>
          <c:dLbls>
            <c:dLbl>
              <c:idx val="1"/>
              <c:layout>
                <c:manualLayout>
                  <c:x val="0.1353859867330017"/>
                  <c:y val="7.6653223682725521E-2"/>
                </c:manualLayout>
              </c:layout>
              <c:showLegendKey val="0"/>
              <c:showVal val="0"/>
              <c:showCatName val="0"/>
              <c:showSerName val="0"/>
              <c:showPercent val="1"/>
              <c:showBubbleSize val="0"/>
            </c:dLbl>
            <c:txPr>
              <a:bodyPr/>
              <a:lstStyle/>
              <a:p>
                <a:pPr>
                  <a:defRPr b="1">
                    <a:solidFill>
                      <a:sysClr val="windowText" lastClr="000000"/>
                    </a:solidFill>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tabele!$T$4:$V$4</c:f>
              <c:strCache>
                <c:ptCount val="3"/>
                <c:pt idx="0">
                  <c:v>Umowy podpisane</c:v>
                </c:pt>
                <c:pt idx="1">
                  <c:v>Umowy do podpisania</c:v>
                </c:pt>
                <c:pt idx="2">
                  <c:v>Projekty utracone</c:v>
                </c:pt>
              </c:strCache>
            </c:strRef>
          </c:cat>
          <c:val>
            <c:numRef>
              <c:f>tabele!$T$6:$V$6</c:f>
              <c:numCache>
                <c:formatCode>_(* #,##0.00_);_(* \(#,##0.00\);_(* "-"??_);_(@_)</c:formatCode>
                <c:ptCount val="3"/>
                <c:pt idx="0">
                  <c:v>121330116.86</c:v>
                </c:pt>
                <c:pt idx="1">
                  <c:v>3295082.96</c:v>
                </c:pt>
                <c:pt idx="2" formatCode="#,##0.00">
                  <c:v>25082828.102000009</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diagrams/_rels/drawing10.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12.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14.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9FA676-F65A-4091-B1CF-E4B21C84377F}" type="doc">
      <dgm:prSet loTypeId="urn:microsoft.com/office/officeart/2005/8/layout/pyramid3" loCatId="pyramid" qsTypeId="urn:microsoft.com/office/officeart/2005/8/quickstyle/simple5" qsCatId="simple" csTypeId="urn:microsoft.com/office/officeart/2005/8/colors/colorful4" csCatId="colorful" phldr="1"/>
      <dgm:spPr/>
    </dgm:pt>
    <dgm:pt modelId="{F413DBDF-65CB-4072-BE84-2ACC90D80E48}">
      <dgm:prSet phldrT="[Tekst]" custT="1"/>
      <dgm:spPr>
        <a:solidFill>
          <a:schemeClr val="accent1">
            <a:lumMod val="40000"/>
            <a:lumOff val="60000"/>
          </a:schemeClr>
        </a:solidFill>
      </dgm:spPr>
      <dgm:t>
        <a:bodyPr/>
        <a:lstStyle/>
        <a:p>
          <a:r>
            <a:rPr lang="pl-PL" sz="1200" b="1">
              <a:latin typeface="Times New Roman" pitchFamily="18" charset="0"/>
              <a:cs typeface="Times New Roman" pitchFamily="18" charset="0"/>
            </a:rPr>
            <a:t>Transport- 26,34%</a:t>
          </a:r>
        </a:p>
      </dgm:t>
    </dgm:pt>
    <dgm:pt modelId="{F6C0F401-E068-493B-AADE-569ADB7E2EFF}" type="parTrans" cxnId="{6012BA00-A0D8-4927-A216-4F1C4342ADC4}">
      <dgm:prSet/>
      <dgm:spPr/>
      <dgm:t>
        <a:bodyPr/>
        <a:lstStyle/>
        <a:p>
          <a:endParaRPr lang="pl-PL"/>
        </a:p>
      </dgm:t>
    </dgm:pt>
    <dgm:pt modelId="{C1C2F7EC-B390-41E9-B36B-7CB39095E05D}" type="sibTrans" cxnId="{6012BA00-A0D8-4927-A216-4F1C4342ADC4}">
      <dgm:prSet/>
      <dgm:spPr/>
      <dgm:t>
        <a:bodyPr/>
        <a:lstStyle/>
        <a:p>
          <a:endParaRPr lang="pl-PL"/>
        </a:p>
      </dgm:t>
    </dgm:pt>
    <dgm:pt modelId="{AFA4B149-5830-4610-8A21-313288439399}">
      <dgm:prSet phldrT="[Tekst]" custT="1"/>
      <dgm:spPr>
        <a:solidFill>
          <a:schemeClr val="bg1">
            <a:lumMod val="75000"/>
          </a:schemeClr>
        </a:solidFill>
      </dgm:spPr>
      <dgm:t>
        <a:bodyPr/>
        <a:lstStyle/>
        <a:p>
          <a:r>
            <a:rPr lang="pl-PL" sz="1200" b="1">
              <a:latin typeface="Times New Roman" pitchFamily="18" charset="0"/>
              <a:cs typeface="Times New Roman" pitchFamily="18" charset="0"/>
            </a:rPr>
            <a:t>Zrównoważony rozwój miast- 17,90%</a:t>
          </a:r>
        </a:p>
      </dgm:t>
    </dgm:pt>
    <dgm:pt modelId="{0CF3698E-F2DB-4EE8-A7AB-287F597B5631}" type="parTrans" cxnId="{51551D2B-2E4F-41D1-B293-E5BE91BCF293}">
      <dgm:prSet/>
      <dgm:spPr/>
      <dgm:t>
        <a:bodyPr/>
        <a:lstStyle/>
        <a:p>
          <a:endParaRPr lang="pl-PL"/>
        </a:p>
      </dgm:t>
    </dgm:pt>
    <dgm:pt modelId="{CAD95DE1-F7F2-4AD6-B015-EF69F0CDFA77}" type="sibTrans" cxnId="{51551D2B-2E4F-41D1-B293-E5BE91BCF293}">
      <dgm:prSet/>
      <dgm:spPr/>
      <dgm:t>
        <a:bodyPr/>
        <a:lstStyle/>
        <a:p>
          <a:endParaRPr lang="pl-PL"/>
        </a:p>
      </dgm:t>
    </dgm:pt>
    <dgm:pt modelId="{6E8A4D89-760C-4523-9431-77F5AF24E8E3}">
      <dgm:prSet custT="1"/>
      <dgm:spPr>
        <a:solidFill>
          <a:schemeClr val="accent1">
            <a:lumMod val="40000"/>
            <a:lumOff val="60000"/>
          </a:schemeClr>
        </a:solidFill>
      </dgm:spPr>
      <dgm:t>
        <a:bodyPr/>
        <a:lstStyle/>
        <a:p>
          <a:r>
            <a:rPr lang="pl-PL" sz="1200" b="1">
              <a:latin typeface="Times New Roman" pitchFamily="18" charset="0"/>
              <a:cs typeface="Times New Roman" pitchFamily="18" charset="0"/>
            </a:rPr>
            <a:t>B+R, innowacje, przedsiebiorczość - 16,96%</a:t>
          </a:r>
        </a:p>
      </dgm:t>
    </dgm:pt>
    <dgm:pt modelId="{B7C6F99B-86FB-4AEC-B012-D91C5C70E2BF}" type="parTrans" cxnId="{4A8CCA5E-B729-4CDD-8026-EDEFF65ABD64}">
      <dgm:prSet/>
      <dgm:spPr/>
      <dgm:t>
        <a:bodyPr/>
        <a:lstStyle/>
        <a:p>
          <a:endParaRPr lang="pl-PL"/>
        </a:p>
      </dgm:t>
    </dgm:pt>
    <dgm:pt modelId="{C694DDBB-927E-4ECF-9BF5-5A6EEC27C6EF}" type="sibTrans" cxnId="{4A8CCA5E-B729-4CDD-8026-EDEFF65ABD64}">
      <dgm:prSet/>
      <dgm:spPr/>
      <dgm:t>
        <a:bodyPr/>
        <a:lstStyle/>
        <a:p>
          <a:endParaRPr lang="pl-PL"/>
        </a:p>
      </dgm:t>
    </dgm:pt>
    <dgm:pt modelId="{BD60BC05-C339-4E8E-9517-B85E3D2C9137}">
      <dgm:prSet custT="1"/>
      <dgm:spPr>
        <a:solidFill>
          <a:schemeClr val="tx2">
            <a:lumMod val="40000"/>
            <a:lumOff val="60000"/>
          </a:schemeClr>
        </a:solidFill>
      </dgm:spPr>
      <dgm:t>
        <a:bodyPr/>
        <a:lstStyle/>
        <a:p>
          <a:r>
            <a:rPr lang="pl-PL" sz="1200" b="1">
              <a:latin typeface="Times New Roman" pitchFamily="18" charset="0"/>
              <a:cs typeface="Times New Roman" pitchFamily="18" charset="0"/>
            </a:rPr>
            <a:t>Środowisko - 10,34%</a:t>
          </a:r>
        </a:p>
      </dgm:t>
    </dgm:pt>
    <dgm:pt modelId="{A4334EF1-65E8-4530-8EB0-A5BC274742D0}" type="parTrans" cxnId="{417D7183-8962-46CA-8F4D-05B99823AFC7}">
      <dgm:prSet/>
      <dgm:spPr/>
      <dgm:t>
        <a:bodyPr/>
        <a:lstStyle/>
        <a:p>
          <a:endParaRPr lang="pl-PL"/>
        </a:p>
      </dgm:t>
    </dgm:pt>
    <dgm:pt modelId="{B98217F6-42DF-4146-A70C-E7F1E883CE2C}" type="sibTrans" cxnId="{417D7183-8962-46CA-8F4D-05B99823AFC7}">
      <dgm:prSet/>
      <dgm:spPr/>
      <dgm:t>
        <a:bodyPr/>
        <a:lstStyle/>
        <a:p>
          <a:endParaRPr lang="pl-PL"/>
        </a:p>
      </dgm:t>
    </dgm:pt>
    <dgm:pt modelId="{EAC5FA95-A679-4A93-8AAD-F64AE3BC7F1A}">
      <dgm:prSet custT="1"/>
      <dgm:spPr>
        <a:solidFill>
          <a:schemeClr val="accent1">
            <a:lumMod val="40000"/>
            <a:lumOff val="60000"/>
          </a:schemeClr>
        </a:solidFill>
      </dgm:spPr>
      <dgm:t>
        <a:bodyPr/>
        <a:lstStyle/>
        <a:p>
          <a:r>
            <a:rPr lang="pl-PL" sz="1200" b="1">
              <a:latin typeface="Times New Roman" pitchFamily="18" charset="0"/>
              <a:cs typeface="Times New Roman" pitchFamily="18" charset="0"/>
            </a:rPr>
            <a:t>Społeczeństwo informacyjne - 8,59%</a:t>
          </a:r>
        </a:p>
      </dgm:t>
    </dgm:pt>
    <dgm:pt modelId="{C243A4D5-C41E-4064-A9DF-3A53A3621A09}" type="parTrans" cxnId="{E4E57719-5532-488B-8C99-7208899A766D}">
      <dgm:prSet/>
      <dgm:spPr/>
      <dgm:t>
        <a:bodyPr/>
        <a:lstStyle/>
        <a:p>
          <a:endParaRPr lang="pl-PL"/>
        </a:p>
      </dgm:t>
    </dgm:pt>
    <dgm:pt modelId="{52E366C5-11ED-4F22-BB6D-204820F50B4E}" type="sibTrans" cxnId="{E4E57719-5532-488B-8C99-7208899A766D}">
      <dgm:prSet/>
      <dgm:spPr/>
      <dgm:t>
        <a:bodyPr/>
        <a:lstStyle/>
        <a:p>
          <a:endParaRPr lang="pl-PL"/>
        </a:p>
      </dgm:t>
    </dgm:pt>
    <dgm:pt modelId="{B8A09979-CE3A-4CE7-9F5D-AEFCEFA48124}">
      <dgm:prSet custT="1"/>
      <dgm:spPr>
        <a:solidFill>
          <a:schemeClr val="bg1">
            <a:lumMod val="75000"/>
          </a:schemeClr>
        </a:solidFill>
      </dgm:spPr>
      <dgm:t>
        <a:bodyPr/>
        <a:lstStyle/>
        <a:p>
          <a:r>
            <a:rPr lang="pl-PL" sz="1200" b="1">
              <a:latin typeface="Times New Roman" pitchFamily="18" charset="0"/>
              <a:cs typeface="Times New Roman" pitchFamily="18" charset="0"/>
            </a:rPr>
            <a:t>Turystyka - 6,32%</a:t>
          </a:r>
        </a:p>
      </dgm:t>
    </dgm:pt>
    <dgm:pt modelId="{411EF70C-07AC-4624-A29D-D6BBAB2416D7}" type="parTrans" cxnId="{CC79B0B5-450A-4D9E-8BC9-F0F8A0696836}">
      <dgm:prSet/>
      <dgm:spPr/>
      <dgm:t>
        <a:bodyPr/>
        <a:lstStyle/>
        <a:p>
          <a:endParaRPr lang="pl-PL"/>
        </a:p>
      </dgm:t>
    </dgm:pt>
    <dgm:pt modelId="{E3B0DC41-77D4-43D2-8FBB-B0B2A296FF5F}" type="sibTrans" cxnId="{CC79B0B5-450A-4D9E-8BC9-F0F8A0696836}">
      <dgm:prSet/>
      <dgm:spPr/>
      <dgm:t>
        <a:bodyPr/>
        <a:lstStyle/>
        <a:p>
          <a:endParaRPr lang="pl-PL"/>
        </a:p>
      </dgm:t>
    </dgm:pt>
    <dgm:pt modelId="{F85AD790-4432-48C0-9D7B-848649E3CFCF}">
      <dgm:prSet custT="1"/>
      <dgm:spPr>
        <a:solidFill>
          <a:schemeClr val="accent1">
            <a:lumMod val="40000"/>
            <a:lumOff val="60000"/>
          </a:schemeClr>
        </a:solidFill>
      </dgm:spPr>
      <dgm:t>
        <a:bodyPr/>
        <a:lstStyle/>
        <a:p>
          <a:r>
            <a:rPr lang="pl-PL" sz="1200" b="1">
              <a:latin typeface="Times New Roman" pitchFamily="18" charset="0"/>
              <a:cs typeface="Times New Roman" pitchFamily="18" charset="0"/>
            </a:rPr>
            <a:t>Edukacja - 4,72%</a:t>
          </a:r>
        </a:p>
      </dgm:t>
    </dgm:pt>
    <dgm:pt modelId="{0711381C-45E8-4F6D-B4FD-DABE3E480ABD}" type="parTrans" cxnId="{B264ED6D-CE99-439F-83BB-C5892F13A455}">
      <dgm:prSet/>
      <dgm:spPr/>
      <dgm:t>
        <a:bodyPr/>
        <a:lstStyle/>
        <a:p>
          <a:endParaRPr lang="pl-PL"/>
        </a:p>
      </dgm:t>
    </dgm:pt>
    <dgm:pt modelId="{BCF72DFB-0173-4044-ABFE-5460AF240B93}" type="sibTrans" cxnId="{B264ED6D-CE99-439F-83BB-C5892F13A455}">
      <dgm:prSet/>
      <dgm:spPr/>
      <dgm:t>
        <a:bodyPr/>
        <a:lstStyle/>
        <a:p>
          <a:endParaRPr lang="pl-PL"/>
        </a:p>
      </dgm:t>
    </dgm:pt>
    <dgm:pt modelId="{CA171DFE-AAC6-4FF1-BBDF-8B75BF4752BD}">
      <dgm:prSet custT="1"/>
      <dgm:spPr>
        <a:solidFill>
          <a:schemeClr val="bg1">
            <a:lumMod val="75000"/>
          </a:schemeClr>
        </a:solidFill>
      </dgm:spPr>
      <dgm:t>
        <a:bodyPr/>
        <a:lstStyle/>
        <a:p>
          <a:r>
            <a:rPr lang="pl-PL" sz="1200" b="1">
              <a:latin typeface="Times New Roman" pitchFamily="18" charset="0"/>
              <a:cs typeface="Times New Roman" pitchFamily="18" charset="0"/>
            </a:rPr>
            <a:t>Zdrowie - 3,31%</a:t>
          </a:r>
        </a:p>
      </dgm:t>
    </dgm:pt>
    <dgm:pt modelId="{53854011-D054-4B91-B95D-E825C70CCA29}" type="parTrans" cxnId="{7B536AD7-2199-442F-87C8-68AA64C422DD}">
      <dgm:prSet/>
      <dgm:spPr/>
      <dgm:t>
        <a:bodyPr/>
        <a:lstStyle/>
        <a:p>
          <a:endParaRPr lang="pl-PL"/>
        </a:p>
      </dgm:t>
    </dgm:pt>
    <dgm:pt modelId="{9ECC097F-609A-4B1A-A087-0C970CA31788}" type="sibTrans" cxnId="{7B536AD7-2199-442F-87C8-68AA64C422DD}">
      <dgm:prSet/>
      <dgm:spPr/>
      <dgm:t>
        <a:bodyPr/>
        <a:lstStyle/>
        <a:p>
          <a:endParaRPr lang="pl-PL"/>
        </a:p>
      </dgm:t>
    </dgm:pt>
    <dgm:pt modelId="{85513C12-3527-4090-AF34-5C6142128DC5}">
      <dgm:prSet custT="1"/>
      <dgm:spPr>
        <a:solidFill>
          <a:schemeClr val="accent1">
            <a:lumMod val="40000"/>
            <a:lumOff val="60000"/>
          </a:schemeClr>
        </a:solidFill>
      </dgm:spPr>
      <dgm:t>
        <a:bodyPr/>
        <a:lstStyle/>
        <a:p>
          <a:r>
            <a:rPr lang="pl-PL" sz="1200" b="1">
              <a:latin typeface="Times New Roman" pitchFamily="18" charset="0"/>
              <a:cs typeface="Times New Roman" pitchFamily="18" charset="0"/>
            </a:rPr>
            <a:t>Kultura 3,05%</a:t>
          </a:r>
        </a:p>
      </dgm:t>
    </dgm:pt>
    <dgm:pt modelId="{77004FBF-D725-4C9D-9863-2702012E357E}" type="parTrans" cxnId="{C4407A1B-319E-44D5-A785-02657FCEDEA9}">
      <dgm:prSet/>
      <dgm:spPr/>
      <dgm:t>
        <a:bodyPr/>
        <a:lstStyle/>
        <a:p>
          <a:endParaRPr lang="pl-PL"/>
        </a:p>
      </dgm:t>
    </dgm:pt>
    <dgm:pt modelId="{A57FD7A9-28B6-41C0-BEF3-FEBE839830FB}" type="sibTrans" cxnId="{C4407A1B-319E-44D5-A785-02657FCEDEA9}">
      <dgm:prSet/>
      <dgm:spPr/>
      <dgm:t>
        <a:bodyPr/>
        <a:lstStyle/>
        <a:p>
          <a:endParaRPr lang="pl-PL"/>
        </a:p>
      </dgm:t>
    </dgm:pt>
    <dgm:pt modelId="{34902AC9-7D18-455B-BA7E-BEBCDE137CBC}" type="pres">
      <dgm:prSet presAssocID="{049FA676-F65A-4091-B1CF-E4B21C84377F}" presName="Name0" presStyleCnt="0">
        <dgm:presLayoutVars>
          <dgm:dir/>
          <dgm:animLvl val="lvl"/>
          <dgm:resizeHandles val="exact"/>
        </dgm:presLayoutVars>
      </dgm:prSet>
      <dgm:spPr/>
    </dgm:pt>
    <dgm:pt modelId="{FE254F99-C576-4564-9758-B2DF882A278C}" type="pres">
      <dgm:prSet presAssocID="{F413DBDF-65CB-4072-BE84-2ACC90D80E48}" presName="Name8" presStyleCnt="0"/>
      <dgm:spPr/>
    </dgm:pt>
    <dgm:pt modelId="{FBCFBC98-A96E-4EB7-969B-416F229941FF}" type="pres">
      <dgm:prSet presAssocID="{F413DBDF-65CB-4072-BE84-2ACC90D80E48}" presName="level" presStyleLbl="node1" presStyleIdx="0" presStyleCnt="9" custLinFactNeighborX="1136">
        <dgm:presLayoutVars>
          <dgm:chMax val="1"/>
          <dgm:bulletEnabled val="1"/>
        </dgm:presLayoutVars>
      </dgm:prSet>
      <dgm:spPr/>
      <dgm:t>
        <a:bodyPr/>
        <a:lstStyle/>
        <a:p>
          <a:endParaRPr lang="pl-PL"/>
        </a:p>
      </dgm:t>
    </dgm:pt>
    <dgm:pt modelId="{D02EE0D3-A1F1-4FCA-A8E3-C963F39AAF7C}" type="pres">
      <dgm:prSet presAssocID="{F413DBDF-65CB-4072-BE84-2ACC90D80E48}" presName="levelTx" presStyleLbl="revTx" presStyleIdx="0" presStyleCnt="0">
        <dgm:presLayoutVars>
          <dgm:chMax val="1"/>
          <dgm:bulletEnabled val="1"/>
        </dgm:presLayoutVars>
      </dgm:prSet>
      <dgm:spPr/>
      <dgm:t>
        <a:bodyPr/>
        <a:lstStyle/>
        <a:p>
          <a:endParaRPr lang="pl-PL"/>
        </a:p>
      </dgm:t>
    </dgm:pt>
    <dgm:pt modelId="{14153AE6-773D-45D2-9BD1-9C65120F0EB1}" type="pres">
      <dgm:prSet presAssocID="{AFA4B149-5830-4610-8A21-313288439399}" presName="Name8" presStyleCnt="0"/>
      <dgm:spPr/>
    </dgm:pt>
    <dgm:pt modelId="{C35BEE18-518B-4CC7-8F34-6EF4D7083621}" type="pres">
      <dgm:prSet presAssocID="{AFA4B149-5830-4610-8A21-313288439399}" presName="level" presStyleLbl="node1" presStyleIdx="1" presStyleCnt="9" custScaleX="98906">
        <dgm:presLayoutVars>
          <dgm:chMax val="1"/>
          <dgm:bulletEnabled val="1"/>
        </dgm:presLayoutVars>
      </dgm:prSet>
      <dgm:spPr/>
      <dgm:t>
        <a:bodyPr/>
        <a:lstStyle/>
        <a:p>
          <a:endParaRPr lang="pl-PL"/>
        </a:p>
      </dgm:t>
    </dgm:pt>
    <dgm:pt modelId="{E537F6A5-0981-4ADF-9588-DA8988D17CE9}" type="pres">
      <dgm:prSet presAssocID="{AFA4B149-5830-4610-8A21-313288439399}" presName="levelTx" presStyleLbl="revTx" presStyleIdx="0" presStyleCnt="0">
        <dgm:presLayoutVars>
          <dgm:chMax val="1"/>
          <dgm:bulletEnabled val="1"/>
        </dgm:presLayoutVars>
      </dgm:prSet>
      <dgm:spPr/>
      <dgm:t>
        <a:bodyPr/>
        <a:lstStyle/>
        <a:p>
          <a:endParaRPr lang="pl-PL"/>
        </a:p>
      </dgm:t>
    </dgm:pt>
    <dgm:pt modelId="{5FB2D2B7-5E20-4CA8-A685-7E79271FF997}" type="pres">
      <dgm:prSet presAssocID="{6E8A4D89-760C-4523-9431-77F5AF24E8E3}" presName="Name8" presStyleCnt="0"/>
      <dgm:spPr/>
    </dgm:pt>
    <dgm:pt modelId="{B281C17F-906E-48A1-8B5D-1D1496DF6A37}" type="pres">
      <dgm:prSet presAssocID="{6E8A4D89-760C-4523-9431-77F5AF24E8E3}" presName="level" presStyleLbl="node1" presStyleIdx="2" presStyleCnt="9">
        <dgm:presLayoutVars>
          <dgm:chMax val="1"/>
          <dgm:bulletEnabled val="1"/>
        </dgm:presLayoutVars>
      </dgm:prSet>
      <dgm:spPr/>
      <dgm:t>
        <a:bodyPr/>
        <a:lstStyle/>
        <a:p>
          <a:endParaRPr lang="pl-PL"/>
        </a:p>
      </dgm:t>
    </dgm:pt>
    <dgm:pt modelId="{3DBBBB3D-E041-40BE-94C2-697CBEA5B36B}" type="pres">
      <dgm:prSet presAssocID="{6E8A4D89-760C-4523-9431-77F5AF24E8E3}" presName="levelTx" presStyleLbl="revTx" presStyleIdx="0" presStyleCnt="0">
        <dgm:presLayoutVars>
          <dgm:chMax val="1"/>
          <dgm:bulletEnabled val="1"/>
        </dgm:presLayoutVars>
      </dgm:prSet>
      <dgm:spPr/>
      <dgm:t>
        <a:bodyPr/>
        <a:lstStyle/>
        <a:p>
          <a:endParaRPr lang="pl-PL"/>
        </a:p>
      </dgm:t>
    </dgm:pt>
    <dgm:pt modelId="{86CD74AF-2194-44D1-8541-E843C860C91A}" type="pres">
      <dgm:prSet presAssocID="{BD60BC05-C339-4E8E-9517-B85E3D2C9137}" presName="Name8" presStyleCnt="0"/>
      <dgm:spPr/>
    </dgm:pt>
    <dgm:pt modelId="{D5EF1B7A-7846-4FE3-925B-0BEB7077EF79}" type="pres">
      <dgm:prSet presAssocID="{BD60BC05-C339-4E8E-9517-B85E3D2C9137}" presName="level" presStyleLbl="node1" presStyleIdx="3" presStyleCnt="9">
        <dgm:presLayoutVars>
          <dgm:chMax val="1"/>
          <dgm:bulletEnabled val="1"/>
        </dgm:presLayoutVars>
      </dgm:prSet>
      <dgm:spPr/>
      <dgm:t>
        <a:bodyPr/>
        <a:lstStyle/>
        <a:p>
          <a:endParaRPr lang="pl-PL"/>
        </a:p>
      </dgm:t>
    </dgm:pt>
    <dgm:pt modelId="{F92B5606-F325-41C8-A1D6-5EFF38C3F8FC}" type="pres">
      <dgm:prSet presAssocID="{BD60BC05-C339-4E8E-9517-B85E3D2C9137}" presName="levelTx" presStyleLbl="revTx" presStyleIdx="0" presStyleCnt="0">
        <dgm:presLayoutVars>
          <dgm:chMax val="1"/>
          <dgm:bulletEnabled val="1"/>
        </dgm:presLayoutVars>
      </dgm:prSet>
      <dgm:spPr/>
      <dgm:t>
        <a:bodyPr/>
        <a:lstStyle/>
        <a:p>
          <a:endParaRPr lang="pl-PL"/>
        </a:p>
      </dgm:t>
    </dgm:pt>
    <dgm:pt modelId="{4A2EAE27-9DF8-41E4-9333-942B65EADD98}" type="pres">
      <dgm:prSet presAssocID="{EAC5FA95-A679-4A93-8AAD-F64AE3BC7F1A}" presName="Name8" presStyleCnt="0"/>
      <dgm:spPr/>
    </dgm:pt>
    <dgm:pt modelId="{62FF0D7C-2A3D-4233-B565-77842EEEC5A1}" type="pres">
      <dgm:prSet presAssocID="{EAC5FA95-A679-4A93-8AAD-F64AE3BC7F1A}" presName="level" presStyleLbl="node1" presStyleIdx="4" presStyleCnt="9">
        <dgm:presLayoutVars>
          <dgm:chMax val="1"/>
          <dgm:bulletEnabled val="1"/>
        </dgm:presLayoutVars>
      </dgm:prSet>
      <dgm:spPr/>
      <dgm:t>
        <a:bodyPr/>
        <a:lstStyle/>
        <a:p>
          <a:endParaRPr lang="pl-PL"/>
        </a:p>
      </dgm:t>
    </dgm:pt>
    <dgm:pt modelId="{A6153E49-0586-43C2-945A-AEBB1CD0761F}" type="pres">
      <dgm:prSet presAssocID="{EAC5FA95-A679-4A93-8AAD-F64AE3BC7F1A}" presName="levelTx" presStyleLbl="revTx" presStyleIdx="0" presStyleCnt="0">
        <dgm:presLayoutVars>
          <dgm:chMax val="1"/>
          <dgm:bulletEnabled val="1"/>
        </dgm:presLayoutVars>
      </dgm:prSet>
      <dgm:spPr/>
      <dgm:t>
        <a:bodyPr/>
        <a:lstStyle/>
        <a:p>
          <a:endParaRPr lang="pl-PL"/>
        </a:p>
      </dgm:t>
    </dgm:pt>
    <dgm:pt modelId="{CC1B7511-968E-4F34-8AD6-1B7925E31987}" type="pres">
      <dgm:prSet presAssocID="{B8A09979-CE3A-4CE7-9F5D-AEFCEFA48124}" presName="Name8" presStyleCnt="0"/>
      <dgm:spPr/>
    </dgm:pt>
    <dgm:pt modelId="{0EE56840-546E-4A6F-9FB6-A9D7F55D5B75}" type="pres">
      <dgm:prSet presAssocID="{B8A09979-CE3A-4CE7-9F5D-AEFCEFA48124}" presName="level" presStyleLbl="node1" presStyleIdx="5" presStyleCnt="9">
        <dgm:presLayoutVars>
          <dgm:chMax val="1"/>
          <dgm:bulletEnabled val="1"/>
        </dgm:presLayoutVars>
      </dgm:prSet>
      <dgm:spPr/>
      <dgm:t>
        <a:bodyPr/>
        <a:lstStyle/>
        <a:p>
          <a:endParaRPr lang="pl-PL"/>
        </a:p>
      </dgm:t>
    </dgm:pt>
    <dgm:pt modelId="{5A5181F1-1FA2-4346-BFB7-12214D193400}" type="pres">
      <dgm:prSet presAssocID="{B8A09979-CE3A-4CE7-9F5D-AEFCEFA48124}" presName="levelTx" presStyleLbl="revTx" presStyleIdx="0" presStyleCnt="0">
        <dgm:presLayoutVars>
          <dgm:chMax val="1"/>
          <dgm:bulletEnabled val="1"/>
        </dgm:presLayoutVars>
      </dgm:prSet>
      <dgm:spPr/>
      <dgm:t>
        <a:bodyPr/>
        <a:lstStyle/>
        <a:p>
          <a:endParaRPr lang="pl-PL"/>
        </a:p>
      </dgm:t>
    </dgm:pt>
    <dgm:pt modelId="{C8B64779-C472-446F-99CF-D4FFA80DDB34}" type="pres">
      <dgm:prSet presAssocID="{F85AD790-4432-48C0-9D7B-848649E3CFCF}" presName="Name8" presStyleCnt="0"/>
      <dgm:spPr/>
    </dgm:pt>
    <dgm:pt modelId="{E1FE3F6E-31EA-41DF-A48D-894C82F58AE9}" type="pres">
      <dgm:prSet presAssocID="{F85AD790-4432-48C0-9D7B-848649E3CFCF}" presName="level" presStyleLbl="node1" presStyleIdx="6" presStyleCnt="9">
        <dgm:presLayoutVars>
          <dgm:chMax val="1"/>
          <dgm:bulletEnabled val="1"/>
        </dgm:presLayoutVars>
      </dgm:prSet>
      <dgm:spPr/>
      <dgm:t>
        <a:bodyPr/>
        <a:lstStyle/>
        <a:p>
          <a:endParaRPr lang="pl-PL"/>
        </a:p>
      </dgm:t>
    </dgm:pt>
    <dgm:pt modelId="{1EC3ABBF-6D89-4285-AFD5-FA2A3B531CAC}" type="pres">
      <dgm:prSet presAssocID="{F85AD790-4432-48C0-9D7B-848649E3CFCF}" presName="levelTx" presStyleLbl="revTx" presStyleIdx="0" presStyleCnt="0">
        <dgm:presLayoutVars>
          <dgm:chMax val="1"/>
          <dgm:bulletEnabled val="1"/>
        </dgm:presLayoutVars>
      </dgm:prSet>
      <dgm:spPr/>
      <dgm:t>
        <a:bodyPr/>
        <a:lstStyle/>
        <a:p>
          <a:endParaRPr lang="pl-PL"/>
        </a:p>
      </dgm:t>
    </dgm:pt>
    <dgm:pt modelId="{F0F23A68-F74F-4EAE-AE42-69514D6011C4}" type="pres">
      <dgm:prSet presAssocID="{CA171DFE-AAC6-4FF1-BBDF-8B75BF4752BD}" presName="Name8" presStyleCnt="0"/>
      <dgm:spPr/>
    </dgm:pt>
    <dgm:pt modelId="{A24C2AEE-249A-49C5-B222-65CBF4F6A9B1}" type="pres">
      <dgm:prSet presAssocID="{CA171DFE-AAC6-4FF1-BBDF-8B75BF4752BD}" presName="level" presStyleLbl="node1" presStyleIdx="7" presStyleCnt="9">
        <dgm:presLayoutVars>
          <dgm:chMax val="1"/>
          <dgm:bulletEnabled val="1"/>
        </dgm:presLayoutVars>
      </dgm:prSet>
      <dgm:spPr/>
      <dgm:t>
        <a:bodyPr/>
        <a:lstStyle/>
        <a:p>
          <a:endParaRPr lang="pl-PL"/>
        </a:p>
      </dgm:t>
    </dgm:pt>
    <dgm:pt modelId="{577EEAD2-F294-41BA-92CA-113D067EE554}" type="pres">
      <dgm:prSet presAssocID="{CA171DFE-AAC6-4FF1-BBDF-8B75BF4752BD}" presName="levelTx" presStyleLbl="revTx" presStyleIdx="0" presStyleCnt="0">
        <dgm:presLayoutVars>
          <dgm:chMax val="1"/>
          <dgm:bulletEnabled val="1"/>
        </dgm:presLayoutVars>
      </dgm:prSet>
      <dgm:spPr/>
      <dgm:t>
        <a:bodyPr/>
        <a:lstStyle/>
        <a:p>
          <a:endParaRPr lang="pl-PL"/>
        </a:p>
      </dgm:t>
    </dgm:pt>
    <dgm:pt modelId="{300FF9B0-8642-4108-A231-098D37BCF02C}" type="pres">
      <dgm:prSet presAssocID="{85513C12-3527-4090-AF34-5C6142128DC5}" presName="Name8" presStyleCnt="0"/>
      <dgm:spPr/>
    </dgm:pt>
    <dgm:pt modelId="{F1B8EAC3-53FD-4311-B83A-0A05E3810910}" type="pres">
      <dgm:prSet presAssocID="{85513C12-3527-4090-AF34-5C6142128DC5}" presName="level" presStyleLbl="node1" presStyleIdx="8" presStyleCnt="9">
        <dgm:presLayoutVars>
          <dgm:chMax val="1"/>
          <dgm:bulletEnabled val="1"/>
        </dgm:presLayoutVars>
      </dgm:prSet>
      <dgm:spPr/>
      <dgm:t>
        <a:bodyPr/>
        <a:lstStyle/>
        <a:p>
          <a:endParaRPr lang="pl-PL"/>
        </a:p>
      </dgm:t>
    </dgm:pt>
    <dgm:pt modelId="{BE51F4D4-BB32-4C45-922E-CBB939CC34F7}" type="pres">
      <dgm:prSet presAssocID="{85513C12-3527-4090-AF34-5C6142128DC5}" presName="levelTx" presStyleLbl="revTx" presStyleIdx="0" presStyleCnt="0">
        <dgm:presLayoutVars>
          <dgm:chMax val="1"/>
          <dgm:bulletEnabled val="1"/>
        </dgm:presLayoutVars>
      </dgm:prSet>
      <dgm:spPr/>
      <dgm:t>
        <a:bodyPr/>
        <a:lstStyle/>
        <a:p>
          <a:endParaRPr lang="pl-PL"/>
        </a:p>
      </dgm:t>
    </dgm:pt>
  </dgm:ptLst>
  <dgm:cxnLst>
    <dgm:cxn modelId="{4A8CCA5E-B729-4CDD-8026-EDEFF65ABD64}" srcId="{049FA676-F65A-4091-B1CF-E4B21C84377F}" destId="{6E8A4D89-760C-4523-9431-77F5AF24E8E3}" srcOrd="2" destOrd="0" parTransId="{B7C6F99B-86FB-4AEC-B012-D91C5C70E2BF}" sibTransId="{C694DDBB-927E-4ECF-9BF5-5A6EEC27C6EF}"/>
    <dgm:cxn modelId="{83D8D4F8-A4CE-4E08-A065-E210A0215445}" type="presOf" srcId="{85513C12-3527-4090-AF34-5C6142128DC5}" destId="{F1B8EAC3-53FD-4311-B83A-0A05E3810910}" srcOrd="0" destOrd="0" presId="urn:microsoft.com/office/officeart/2005/8/layout/pyramid3"/>
    <dgm:cxn modelId="{EA919A6C-8038-4E50-A149-B843B0ABF6D8}" type="presOf" srcId="{B8A09979-CE3A-4CE7-9F5D-AEFCEFA48124}" destId="{5A5181F1-1FA2-4346-BFB7-12214D193400}" srcOrd="1" destOrd="0" presId="urn:microsoft.com/office/officeart/2005/8/layout/pyramid3"/>
    <dgm:cxn modelId="{1FEEA0C6-FA5B-4A65-98AB-0C54F771D9F1}" type="presOf" srcId="{AFA4B149-5830-4610-8A21-313288439399}" destId="{C35BEE18-518B-4CC7-8F34-6EF4D7083621}" srcOrd="0" destOrd="0" presId="urn:microsoft.com/office/officeart/2005/8/layout/pyramid3"/>
    <dgm:cxn modelId="{C4407A1B-319E-44D5-A785-02657FCEDEA9}" srcId="{049FA676-F65A-4091-B1CF-E4B21C84377F}" destId="{85513C12-3527-4090-AF34-5C6142128DC5}" srcOrd="8" destOrd="0" parTransId="{77004FBF-D725-4C9D-9863-2702012E357E}" sibTransId="{A57FD7A9-28B6-41C0-BEF3-FEBE839830FB}"/>
    <dgm:cxn modelId="{45F200B2-AE50-4020-B675-08AC72D20D65}" type="presOf" srcId="{6E8A4D89-760C-4523-9431-77F5AF24E8E3}" destId="{B281C17F-906E-48A1-8B5D-1D1496DF6A37}" srcOrd="0" destOrd="0" presId="urn:microsoft.com/office/officeart/2005/8/layout/pyramid3"/>
    <dgm:cxn modelId="{E31F211C-8741-4905-83A5-012B69ADFA09}" type="presOf" srcId="{B8A09979-CE3A-4CE7-9F5D-AEFCEFA48124}" destId="{0EE56840-546E-4A6F-9FB6-A9D7F55D5B75}" srcOrd="0" destOrd="0" presId="urn:microsoft.com/office/officeart/2005/8/layout/pyramid3"/>
    <dgm:cxn modelId="{A78E7D90-BC6B-40E5-B6E8-B9EF00F06B59}" type="presOf" srcId="{BD60BC05-C339-4E8E-9517-B85E3D2C9137}" destId="{D5EF1B7A-7846-4FE3-925B-0BEB7077EF79}" srcOrd="0" destOrd="0" presId="urn:microsoft.com/office/officeart/2005/8/layout/pyramid3"/>
    <dgm:cxn modelId="{7B536AD7-2199-442F-87C8-68AA64C422DD}" srcId="{049FA676-F65A-4091-B1CF-E4B21C84377F}" destId="{CA171DFE-AAC6-4FF1-BBDF-8B75BF4752BD}" srcOrd="7" destOrd="0" parTransId="{53854011-D054-4B91-B95D-E825C70CCA29}" sibTransId="{9ECC097F-609A-4B1A-A087-0C970CA31788}"/>
    <dgm:cxn modelId="{7B618B21-A6D4-4262-978A-D4E2773D9787}" type="presOf" srcId="{CA171DFE-AAC6-4FF1-BBDF-8B75BF4752BD}" destId="{A24C2AEE-249A-49C5-B222-65CBF4F6A9B1}" srcOrd="0" destOrd="0" presId="urn:microsoft.com/office/officeart/2005/8/layout/pyramid3"/>
    <dgm:cxn modelId="{0E9BCAD1-7916-44FB-93B1-AAE9F5FEC66B}" type="presOf" srcId="{BD60BC05-C339-4E8E-9517-B85E3D2C9137}" destId="{F92B5606-F325-41C8-A1D6-5EFF38C3F8FC}" srcOrd="1" destOrd="0" presId="urn:microsoft.com/office/officeart/2005/8/layout/pyramid3"/>
    <dgm:cxn modelId="{E4E57719-5532-488B-8C99-7208899A766D}" srcId="{049FA676-F65A-4091-B1CF-E4B21C84377F}" destId="{EAC5FA95-A679-4A93-8AAD-F64AE3BC7F1A}" srcOrd="4" destOrd="0" parTransId="{C243A4D5-C41E-4064-A9DF-3A53A3621A09}" sibTransId="{52E366C5-11ED-4F22-BB6D-204820F50B4E}"/>
    <dgm:cxn modelId="{D454E1AD-48E6-4E92-B571-DC5F5D6DFEB7}" type="presOf" srcId="{EAC5FA95-A679-4A93-8AAD-F64AE3BC7F1A}" destId="{62FF0D7C-2A3D-4233-B565-77842EEEC5A1}" srcOrd="0" destOrd="0" presId="urn:microsoft.com/office/officeart/2005/8/layout/pyramid3"/>
    <dgm:cxn modelId="{EDDD47FA-2F37-4E62-B57B-97EE05682A46}" type="presOf" srcId="{85513C12-3527-4090-AF34-5C6142128DC5}" destId="{BE51F4D4-BB32-4C45-922E-CBB939CC34F7}" srcOrd="1" destOrd="0" presId="urn:microsoft.com/office/officeart/2005/8/layout/pyramid3"/>
    <dgm:cxn modelId="{A0D189D5-651F-4626-BF51-6521ED46E9A2}" type="presOf" srcId="{F85AD790-4432-48C0-9D7B-848649E3CFCF}" destId="{E1FE3F6E-31EA-41DF-A48D-894C82F58AE9}" srcOrd="0" destOrd="0" presId="urn:microsoft.com/office/officeart/2005/8/layout/pyramid3"/>
    <dgm:cxn modelId="{69F45164-BB41-4ECA-A420-7F9DC7B8AFBC}" type="presOf" srcId="{049FA676-F65A-4091-B1CF-E4B21C84377F}" destId="{34902AC9-7D18-455B-BA7E-BEBCDE137CBC}" srcOrd="0" destOrd="0" presId="urn:microsoft.com/office/officeart/2005/8/layout/pyramid3"/>
    <dgm:cxn modelId="{1C018BAF-20F5-46E9-8FC1-603C6A8D95FF}" type="presOf" srcId="{F85AD790-4432-48C0-9D7B-848649E3CFCF}" destId="{1EC3ABBF-6D89-4285-AFD5-FA2A3B531CAC}" srcOrd="1" destOrd="0" presId="urn:microsoft.com/office/officeart/2005/8/layout/pyramid3"/>
    <dgm:cxn modelId="{A7372566-4A5F-46C3-9255-6804EE073980}" type="presOf" srcId="{EAC5FA95-A679-4A93-8AAD-F64AE3BC7F1A}" destId="{A6153E49-0586-43C2-945A-AEBB1CD0761F}" srcOrd="1" destOrd="0" presId="urn:microsoft.com/office/officeart/2005/8/layout/pyramid3"/>
    <dgm:cxn modelId="{417D7183-8962-46CA-8F4D-05B99823AFC7}" srcId="{049FA676-F65A-4091-B1CF-E4B21C84377F}" destId="{BD60BC05-C339-4E8E-9517-B85E3D2C9137}" srcOrd="3" destOrd="0" parTransId="{A4334EF1-65E8-4530-8EB0-A5BC274742D0}" sibTransId="{B98217F6-42DF-4146-A70C-E7F1E883CE2C}"/>
    <dgm:cxn modelId="{6F49A39E-7E14-4047-9FA2-6B66E41850F1}" type="presOf" srcId="{6E8A4D89-760C-4523-9431-77F5AF24E8E3}" destId="{3DBBBB3D-E041-40BE-94C2-697CBEA5B36B}" srcOrd="1" destOrd="0" presId="urn:microsoft.com/office/officeart/2005/8/layout/pyramid3"/>
    <dgm:cxn modelId="{B264ED6D-CE99-439F-83BB-C5892F13A455}" srcId="{049FA676-F65A-4091-B1CF-E4B21C84377F}" destId="{F85AD790-4432-48C0-9D7B-848649E3CFCF}" srcOrd="6" destOrd="0" parTransId="{0711381C-45E8-4F6D-B4FD-DABE3E480ABD}" sibTransId="{BCF72DFB-0173-4044-ABFE-5460AF240B93}"/>
    <dgm:cxn modelId="{B94C0A5F-E044-4136-B943-294551F50444}" type="presOf" srcId="{AFA4B149-5830-4610-8A21-313288439399}" destId="{E537F6A5-0981-4ADF-9588-DA8988D17CE9}" srcOrd="1" destOrd="0" presId="urn:microsoft.com/office/officeart/2005/8/layout/pyramid3"/>
    <dgm:cxn modelId="{6012BA00-A0D8-4927-A216-4F1C4342ADC4}" srcId="{049FA676-F65A-4091-B1CF-E4B21C84377F}" destId="{F413DBDF-65CB-4072-BE84-2ACC90D80E48}" srcOrd="0" destOrd="0" parTransId="{F6C0F401-E068-493B-AADE-569ADB7E2EFF}" sibTransId="{C1C2F7EC-B390-41E9-B36B-7CB39095E05D}"/>
    <dgm:cxn modelId="{254354CE-319B-4967-B57D-FB80C573441F}" type="presOf" srcId="{F413DBDF-65CB-4072-BE84-2ACC90D80E48}" destId="{FBCFBC98-A96E-4EB7-969B-416F229941FF}" srcOrd="0" destOrd="0" presId="urn:microsoft.com/office/officeart/2005/8/layout/pyramid3"/>
    <dgm:cxn modelId="{9AB23CE3-8937-4175-880D-F2F250971340}" type="presOf" srcId="{CA171DFE-AAC6-4FF1-BBDF-8B75BF4752BD}" destId="{577EEAD2-F294-41BA-92CA-113D067EE554}" srcOrd="1" destOrd="0" presId="urn:microsoft.com/office/officeart/2005/8/layout/pyramid3"/>
    <dgm:cxn modelId="{8F73720D-7F3C-4480-BB9D-2241E0CD824D}" type="presOf" srcId="{F413DBDF-65CB-4072-BE84-2ACC90D80E48}" destId="{D02EE0D3-A1F1-4FCA-A8E3-C963F39AAF7C}" srcOrd="1" destOrd="0" presId="urn:microsoft.com/office/officeart/2005/8/layout/pyramid3"/>
    <dgm:cxn modelId="{CC79B0B5-450A-4D9E-8BC9-F0F8A0696836}" srcId="{049FA676-F65A-4091-B1CF-E4B21C84377F}" destId="{B8A09979-CE3A-4CE7-9F5D-AEFCEFA48124}" srcOrd="5" destOrd="0" parTransId="{411EF70C-07AC-4624-A29D-D6BBAB2416D7}" sibTransId="{E3B0DC41-77D4-43D2-8FBB-B0B2A296FF5F}"/>
    <dgm:cxn modelId="{51551D2B-2E4F-41D1-B293-E5BE91BCF293}" srcId="{049FA676-F65A-4091-B1CF-E4B21C84377F}" destId="{AFA4B149-5830-4610-8A21-313288439399}" srcOrd="1" destOrd="0" parTransId="{0CF3698E-F2DB-4EE8-A7AB-287F597B5631}" sibTransId="{CAD95DE1-F7F2-4AD6-B015-EF69F0CDFA77}"/>
    <dgm:cxn modelId="{2FE256E9-1207-4F1E-8B0C-030862B4512B}" type="presParOf" srcId="{34902AC9-7D18-455B-BA7E-BEBCDE137CBC}" destId="{FE254F99-C576-4564-9758-B2DF882A278C}" srcOrd="0" destOrd="0" presId="urn:microsoft.com/office/officeart/2005/8/layout/pyramid3"/>
    <dgm:cxn modelId="{04D7F116-0E54-4C21-9100-6A61EF78221C}" type="presParOf" srcId="{FE254F99-C576-4564-9758-B2DF882A278C}" destId="{FBCFBC98-A96E-4EB7-969B-416F229941FF}" srcOrd="0" destOrd="0" presId="urn:microsoft.com/office/officeart/2005/8/layout/pyramid3"/>
    <dgm:cxn modelId="{477252FF-C5F5-4A96-ACBA-9CB219C9E8AD}" type="presParOf" srcId="{FE254F99-C576-4564-9758-B2DF882A278C}" destId="{D02EE0D3-A1F1-4FCA-A8E3-C963F39AAF7C}" srcOrd="1" destOrd="0" presId="urn:microsoft.com/office/officeart/2005/8/layout/pyramid3"/>
    <dgm:cxn modelId="{23CA86E9-AE66-4008-B8C3-1CE42DCF65B8}" type="presParOf" srcId="{34902AC9-7D18-455B-BA7E-BEBCDE137CBC}" destId="{14153AE6-773D-45D2-9BD1-9C65120F0EB1}" srcOrd="1" destOrd="0" presId="urn:microsoft.com/office/officeart/2005/8/layout/pyramid3"/>
    <dgm:cxn modelId="{65F53A0A-339E-4CBD-8BCA-2FB63EF26911}" type="presParOf" srcId="{14153AE6-773D-45D2-9BD1-9C65120F0EB1}" destId="{C35BEE18-518B-4CC7-8F34-6EF4D7083621}" srcOrd="0" destOrd="0" presId="urn:microsoft.com/office/officeart/2005/8/layout/pyramid3"/>
    <dgm:cxn modelId="{5ADAD941-C9E4-47AF-A3AB-8FCFA570B8A8}" type="presParOf" srcId="{14153AE6-773D-45D2-9BD1-9C65120F0EB1}" destId="{E537F6A5-0981-4ADF-9588-DA8988D17CE9}" srcOrd="1" destOrd="0" presId="urn:microsoft.com/office/officeart/2005/8/layout/pyramid3"/>
    <dgm:cxn modelId="{7F684FF7-7BDF-414E-966F-22F872349405}" type="presParOf" srcId="{34902AC9-7D18-455B-BA7E-BEBCDE137CBC}" destId="{5FB2D2B7-5E20-4CA8-A685-7E79271FF997}" srcOrd="2" destOrd="0" presId="urn:microsoft.com/office/officeart/2005/8/layout/pyramid3"/>
    <dgm:cxn modelId="{41E75E1D-950A-45D8-9A82-175C66B2C0AC}" type="presParOf" srcId="{5FB2D2B7-5E20-4CA8-A685-7E79271FF997}" destId="{B281C17F-906E-48A1-8B5D-1D1496DF6A37}" srcOrd="0" destOrd="0" presId="urn:microsoft.com/office/officeart/2005/8/layout/pyramid3"/>
    <dgm:cxn modelId="{E68525B5-8FBF-4365-A8CA-532FC71EAD6D}" type="presParOf" srcId="{5FB2D2B7-5E20-4CA8-A685-7E79271FF997}" destId="{3DBBBB3D-E041-40BE-94C2-697CBEA5B36B}" srcOrd="1" destOrd="0" presId="urn:microsoft.com/office/officeart/2005/8/layout/pyramid3"/>
    <dgm:cxn modelId="{4975D6B4-93C8-41E9-8223-CBA8D41B683F}" type="presParOf" srcId="{34902AC9-7D18-455B-BA7E-BEBCDE137CBC}" destId="{86CD74AF-2194-44D1-8541-E843C860C91A}" srcOrd="3" destOrd="0" presId="urn:microsoft.com/office/officeart/2005/8/layout/pyramid3"/>
    <dgm:cxn modelId="{A5E15A09-974F-439D-A6A3-FE287F282330}" type="presParOf" srcId="{86CD74AF-2194-44D1-8541-E843C860C91A}" destId="{D5EF1B7A-7846-4FE3-925B-0BEB7077EF79}" srcOrd="0" destOrd="0" presId="urn:microsoft.com/office/officeart/2005/8/layout/pyramid3"/>
    <dgm:cxn modelId="{02536742-A429-48CF-85F7-80E11AA607D6}" type="presParOf" srcId="{86CD74AF-2194-44D1-8541-E843C860C91A}" destId="{F92B5606-F325-41C8-A1D6-5EFF38C3F8FC}" srcOrd="1" destOrd="0" presId="urn:microsoft.com/office/officeart/2005/8/layout/pyramid3"/>
    <dgm:cxn modelId="{4EB49C69-CD93-4808-8D20-38ED238BEF98}" type="presParOf" srcId="{34902AC9-7D18-455B-BA7E-BEBCDE137CBC}" destId="{4A2EAE27-9DF8-41E4-9333-942B65EADD98}" srcOrd="4" destOrd="0" presId="urn:microsoft.com/office/officeart/2005/8/layout/pyramid3"/>
    <dgm:cxn modelId="{CF8A4E50-C28D-4BCC-86B4-0C4748C535F8}" type="presParOf" srcId="{4A2EAE27-9DF8-41E4-9333-942B65EADD98}" destId="{62FF0D7C-2A3D-4233-B565-77842EEEC5A1}" srcOrd="0" destOrd="0" presId="urn:microsoft.com/office/officeart/2005/8/layout/pyramid3"/>
    <dgm:cxn modelId="{28817F8F-AC0A-4B69-BEBA-32058476C59F}" type="presParOf" srcId="{4A2EAE27-9DF8-41E4-9333-942B65EADD98}" destId="{A6153E49-0586-43C2-945A-AEBB1CD0761F}" srcOrd="1" destOrd="0" presId="urn:microsoft.com/office/officeart/2005/8/layout/pyramid3"/>
    <dgm:cxn modelId="{93A3E2EE-5FFF-4BDA-871A-7FAB1D92794C}" type="presParOf" srcId="{34902AC9-7D18-455B-BA7E-BEBCDE137CBC}" destId="{CC1B7511-968E-4F34-8AD6-1B7925E31987}" srcOrd="5" destOrd="0" presId="urn:microsoft.com/office/officeart/2005/8/layout/pyramid3"/>
    <dgm:cxn modelId="{08AFC323-5A94-428F-9877-8938F71E7B5C}" type="presParOf" srcId="{CC1B7511-968E-4F34-8AD6-1B7925E31987}" destId="{0EE56840-546E-4A6F-9FB6-A9D7F55D5B75}" srcOrd="0" destOrd="0" presId="urn:microsoft.com/office/officeart/2005/8/layout/pyramid3"/>
    <dgm:cxn modelId="{BDBBA764-A421-4924-8FDA-A8824A1A7D7D}" type="presParOf" srcId="{CC1B7511-968E-4F34-8AD6-1B7925E31987}" destId="{5A5181F1-1FA2-4346-BFB7-12214D193400}" srcOrd="1" destOrd="0" presId="urn:microsoft.com/office/officeart/2005/8/layout/pyramid3"/>
    <dgm:cxn modelId="{DA6B0231-0C1D-4439-A152-9E0C97AFD681}" type="presParOf" srcId="{34902AC9-7D18-455B-BA7E-BEBCDE137CBC}" destId="{C8B64779-C472-446F-99CF-D4FFA80DDB34}" srcOrd="6" destOrd="0" presId="urn:microsoft.com/office/officeart/2005/8/layout/pyramid3"/>
    <dgm:cxn modelId="{AC767DC2-7452-4897-94EC-7FD6B0768FCE}" type="presParOf" srcId="{C8B64779-C472-446F-99CF-D4FFA80DDB34}" destId="{E1FE3F6E-31EA-41DF-A48D-894C82F58AE9}" srcOrd="0" destOrd="0" presId="urn:microsoft.com/office/officeart/2005/8/layout/pyramid3"/>
    <dgm:cxn modelId="{30AC23C7-12EC-4CFE-BCFF-91B00C0F3277}" type="presParOf" srcId="{C8B64779-C472-446F-99CF-D4FFA80DDB34}" destId="{1EC3ABBF-6D89-4285-AFD5-FA2A3B531CAC}" srcOrd="1" destOrd="0" presId="urn:microsoft.com/office/officeart/2005/8/layout/pyramid3"/>
    <dgm:cxn modelId="{B0D5B611-0D0C-48FA-86A8-8A5AA61E6013}" type="presParOf" srcId="{34902AC9-7D18-455B-BA7E-BEBCDE137CBC}" destId="{F0F23A68-F74F-4EAE-AE42-69514D6011C4}" srcOrd="7" destOrd="0" presId="urn:microsoft.com/office/officeart/2005/8/layout/pyramid3"/>
    <dgm:cxn modelId="{FB743451-096F-4235-AF73-F2AC93AA1DAB}" type="presParOf" srcId="{F0F23A68-F74F-4EAE-AE42-69514D6011C4}" destId="{A24C2AEE-249A-49C5-B222-65CBF4F6A9B1}" srcOrd="0" destOrd="0" presId="urn:microsoft.com/office/officeart/2005/8/layout/pyramid3"/>
    <dgm:cxn modelId="{755108A9-A95A-4EF0-95AE-AC7FA023C259}" type="presParOf" srcId="{F0F23A68-F74F-4EAE-AE42-69514D6011C4}" destId="{577EEAD2-F294-41BA-92CA-113D067EE554}" srcOrd="1" destOrd="0" presId="urn:microsoft.com/office/officeart/2005/8/layout/pyramid3"/>
    <dgm:cxn modelId="{2050B530-2E4F-4B4F-8E55-C54FB89B0363}" type="presParOf" srcId="{34902AC9-7D18-455B-BA7E-BEBCDE137CBC}" destId="{300FF9B0-8642-4108-A231-098D37BCF02C}" srcOrd="8" destOrd="0" presId="urn:microsoft.com/office/officeart/2005/8/layout/pyramid3"/>
    <dgm:cxn modelId="{A035AAB4-8E24-420D-9515-431B69EE4C37}" type="presParOf" srcId="{300FF9B0-8642-4108-A231-098D37BCF02C}" destId="{F1B8EAC3-53FD-4311-B83A-0A05E3810910}" srcOrd="0" destOrd="0" presId="urn:microsoft.com/office/officeart/2005/8/layout/pyramid3"/>
    <dgm:cxn modelId="{5811E613-E107-4ABC-894E-5FBBB968F973}" type="presParOf" srcId="{300FF9B0-8642-4108-A231-098D37BCF02C}" destId="{BE51F4D4-BB32-4C45-922E-CBB939CC34F7}" srcOrd="1" destOrd="0" presId="urn:microsoft.com/office/officeart/2005/8/layout/pyramid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AA76E41-9A83-4BB0-A6CD-0D325ED96764}"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endParaRPr lang="pl-PL"/>
        </a:p>
      </dgm:t>
    </dgm:pt>
    <dgm:pt modelId="{7743B988-F0AC-46D0-AB29-581B1F7F1687}">
      <dgm:prSet phldrT="[Tekst]" custT="1"/>
      <dgm:spPr/>
      <dgm:t>
        <a:bodyPr/>
        <a:lstStyle/>
        <a:p>
          <a:r>
            <a:rPr lang="pl-PL" sz="1200" b="1" dirty="0" smtClean="0">
              <a:latin typeface="Times New Roman" pitchFamily="18" charset="0"/>
              <a:cs typeface="Times New Roman" pitchFamily="18" charset="0"/>
            </a:rPr>
            <a:t>PRIORYTET VI    </a:t>
          </a:r>
        </a:p>
        <a:p>
          <a:r>
            <a:rPr lang="pl-PL" sz="1100" b="1" dirty="0" smtClean="0">
              <a:latin typeface="Times New Roman" pitchFamily="18" charset="0"/>
              <a:cs typeface="Times New Roman" pitchFamily="18" charset="0"/>
            </a:rPr>
            <a:t>73</a:t>
          </a:r>
          <a:r>
            <a:rPr lang="pl-PL" sz="1100" dirty="0" smtClean="0">
              <a:latin typeface="Times New Roman" pitchFamily="18" charset="0"/>
              <a:cs typeface="Times New Roman" pitchFamily="18" charset="0"/>
            </a:rPr>
            <a:t> umowy </a:t>
          </a:r>
        </a:p>
        <a:p>
          <a:r>
            <a:rPr lang="pl-PL" sz="1100" b="1" dirty="0" smtClean="0">
              <a:latin typeface="Times New Roman" pitchFamily="18" charset="0"/>
              <a:cs typeface="Times New Roman" pitchFamily="18" charset="0"/>
            </a:rPr>
            <a:t>440,95 mln EUR </a:t>
          </a:r>
          <a:r>
            <a:rPr lang="pl-PL" sz="1100" dirty="0" smtClean="0">
              <a:latin typeface="Times New Roman" pitchFamily="18" charset="0"/>
              <a:cs typeface="Times New Roman" pitchFamily="18" charset="0"/>
            </a:rPr>
            <a:t>wartość</a:t>
          </a:r>
          <a:br>
            <a:rPr lang="pl-PL" sz="1100" dirty="0" smtClean="0">
              <a:latin typeface="Times New Roman" pitchFamily="18" charset="0"/>
              <a:cs typeface="Times New Roman" pitchFamily="18" charset="0"/>
            </a:rPr>
          </a:br>
          <a:r>
            <a:rPr lang="pl-PL" sz="1100" b="1" dirty="0" smtClean="0">
              <a:latin typeface="Times New Roman" pitchFamily="18" charset="0"/>
              <a:cs typeface="Times New Roman" pitchFamily="18" charset="0"/>
            </a:rPr>
            <a:t>262,33 mln EUR </a:t>
          </a:r>
          <a:r>
            <a:rPr lang="pl-PL" sz="1100" b="0" dirty="0" smtClean="0">
              <a:latin typeface="Times New Roman" pitchFamily="18" charset="0"/>
              <a:cs typeface="Times New Roman" pitchFamily="18" charset="0"/>
            </a:rPr>
            <a:t>dofinansowanie</a:t>
          </a:r>
        </a:p>
        <a:p>
          <a:r>
            <a:rPr lang="pl-PL" sz="1100" b="1" dirty="0" smtClean="0">
              <a:latin typeface="Times New Roman" pitchFamily="18" charset="0"/>
              <a:cs typeface="Times New Roman" pitchFamily="18" charset="0"/>
            </a:rPr>
            <a:t>101,84 mln EUR </a:t>
          </a:r>
          <a:r>
            <a:rPr lang="pl-PL" sz="1100" b="0" dirty="0" smtClean="0">
              <a:latin typeface="Times New Roman" pitchFamily="18" charset="0"/>
              <a:cs typeface="Times New Roman" pitchFamily="18" charset="0"/>
            </a:rPr>
            <a:t>płatności</a:t>
          </a:r>
          <a:endParaRPr lang="pl-PL" sz="1100" b="0" dirty="0">
            <a:latin typeface="Times New Roman" pitchFamily="18" charset="0"/>
            <a:cs typeface="Times New Roman" pitchFamily="18" charset="0"/>
          </a:endParaRPr>
        </a:p>
      </dgm:t>
    </dgm:pt>
    <dgm:pt modelId="{ACF1F7B0-F09E-4E6F-8533-80B41A5D31B7}" type="parTrans" cxnId="{D8679739-0EBD-4185-A869-ADB702CAFA7A}">
      <dgm:prSet/>
      <dgm:spPr/>
      <dgm:t>
        <a:bodyPr/>
        <a:lstStyle/>
        <a:p>
          <a:endParaRPr lang="pl-PL"/>
        </a:p>
      </dgm:t>
    </dgm:pt>
    <dgm:pt modelId="{649CF6C4-CCF7-4CE8-8CCA-39627D11023F}" type="sibTrans" cxnId="{D8679739-0EBD-4185-A869-ADB702CAFA7A}">
      <dgm:prSet/>
      <dgm:spPr/>
      <dgm:t>
        <a:bodyPr/>
        <a:lstStyle/>
        <a:p>
          <a:endParaRPr lang="pl-PL"/>
        </a:p>
      </dgm:t>
    </dgm:pt>
    <dgm:pt modelId="{A17AE715-EA34-4023-98B7-E41502B9B236}">
      <dgm:prSet phldrT="[Tekst]" custT="1"/>
      <dgm:spPr/>
      <dgm:t>
        <a:bodyPr/>
        <a:lstStyle/>
        <a:p>
          <a:pPr algn="ctr"/>
          <a:endParaRPr lang="pl-PL" sz="1200" b="1" dirty="0" smtClean="0">
            <a:latin typeface="Times New Roman" pitchFamily="18" charset="0"/>
            <a:cs typeface="Times New Roman" pitchFamily="18" charset="0"/>
          </a:endParaRPr>
        </a:p>
        <a:p>
          <a:pPr algn="ctr"/>
          <a:r>
            <a:rPr lang="pl-PL" sz="1200" b="1" dirty="0" smtClean="0">
              <a:latin typeface="Times New Roman" pitchFamily="18" charset="0"/>
              <a:cs typeface="Times New Roman" pitchFamily="18" charset="0"/>
            </a:rPr>
            <a:t>KONKURSY</a:t>
          </a:r>
        </a:p>
        <a:p>
          <a:pPr algn="ctr"/>
          <a:r>
            <a:rPr lang="pl-PL" sz="1100" b="1" dirty="0" smtClean="0">
              <a:latin typeface="Times New Roman" pitchFamily="18" charset="0"/>
              <a:cs typeface="Times New Roman" pitchFamily="18" charset="0"/>
            </a:rPr>
            <a:t>38 </a:t>
          </a:r>
          <a:r>
            <a:rPr lang="pl-PL" sz="1100" dirty="0" smtClean="0">
              <a:latin typeface="Times New Roman" pitchFamily="18" charset="0"/>
              <a:cs typeface="Times New Roman" pitchFamily="18" charset="0"/>
            </a:rPr>
            <a:t>umów </a:t>
          </a:r>
        </a:p>
        <a:p>
          <a:pPr algn="ctr"/>
          <a:r>
            <a:rPr lang="pl-PL" sz="1100" b="1" dirty="0" smtClean="0">
              <a:latin typeface="Times New Roman" pitchFamily="18" charset="0"/>
              <a:cs typeface="Times New Roman" pitchFamily="18" charset="0"/>
            </a:rPr>
            <a:t>67,22 mln EUR </a:t>
          </a:r>
          <a:r>
            <a:rPr lang="pl-PL" sz="1100" dirty="0" smtClean="0">
              <a:latin typeface="Times New Roman" pitchFamily="18" charset="0"/>
              <a:cs typeface="Times New Roman" pitchFamily="18" charset="0"/>
            </a:rPr>
            <a:t/>
          </a:r>
          <a:br>
            <a:rPr lang="pl-PL" sz="1100" dirty="0" smtClean="0">
              <a:latin typeface="Times New Roman" pitchFamily="18" charset="0"/>
              <a:cs typeface="Times New Roman" pitchFamily="18" charset="0"/>
            </a:rPr>
          </a:br>
          <a:r>
            <a:rPr lang="pl-PL" sz="1100" dirty="0" smtClean="0">
              <a:latin typeface="Times New Roman" pitchFamily="18" charset="0"/>
              <a:cs typeface="Times New Roman" pitchFamily="18" charset="0"/>
            </a:rPr>
            <a:t>wartość </a:t>
          </a:r>
        </a:p>
        <a:p>
          <a:pPr algn="ctr"/>
          <a:r>
            <a:rPr lang="pl-PL" sz="1100" b="1" dirty="0" smtClean="0">
              <a:latin typeface="Times New Roman" pitchFamily="18" charset="0"/>
              <a:cs typeface="Times New Roman" pitchFamily="18" charset="0"/>
            </a:rPr>
            <a:t>43,50 mln EUR (34%) </a:t>
          </a:r>
          <a:r>
            <a:rPr lang="pl-PL" sz="1100" b="0" dirty="0" smtClean="0">
              <a:latin typeface="Times New Roman" pitchFamily="18" charset="0"/>
              <a:cs typeface="Times New Roman" pitchFamily="18" charset="0"/>
            </a:rPr>
            <a:t>dofinansowanie</a:t>
          </a:r>
        </a:p>
        <a:p>
          <a:pPr algn="ctr"/>
          <a:r>
            <a:rPr lang="pl-PL" sz="1100" b="1" dirty="0" smtClean="0">
              <a:latin typeface="Times New Roman" pitchFamily="18" charset="0"/>
              <a:cs typeface="Times New Roman" pitchFamily="18" charset="0"/>
            </a:rPr>
            <a:t>5,87 mln EUR </a:t>
          </a:r>
          <a:r>
            <a:rPr lang="pl-PL" sz="1100" b="0" dirty="0" smtClean="0">
              <a:latin typeface="Times New Roman" pitchFamily="18" charset="0"/>
              <a:cs typeface="Times New Roman" pitchFamily="18" charset="0"/>
            </a:rPr>
            <a:t>płatności</a:t>
          </a:r>
        </a:p>
        <a:p>
          <a:pPr algn="ctr"/>
          <a:endParaRPr lang="pl-PL" sz="1200" b="1" dirty="0" smtClean="0">
            <a:latin typeface="Times New Roman" pitchFamily="18" charset="0"/>
            <a:cs typeface="Times New Roman" pitchFamily="18" charset="0"/>
          </a:endParaRPr>
        </a:p>
        <a:p>
          <a:pPr algn="ctr"/>
          <a:endParaRPr lang="pl-PL" sz="1200" b="1" dirty="0">
            <a:latin typeface="Times New Roman" pitchFamily="18" charset="0"/>
            <a:cs typeface="Times New Roman" pitchFamily="18" charset="0"/>
          </a:endParaRPr>
        </a:p>
      </dgm:t>
    </dgm:pt>
    <dgm:pt modelId="{0349B53E-3E94-4672-A10C-A5AAE4C3F335}" type="parTrans" cxnId="{CBC25D2B-C609-48C7-A6C2-04E2525BAADA}">
      <dgm:prSet/>
      <dgm:spPr/>
      <dgm:t>
        <a:bodyPr/>
        <a:lstStyle/>
        <a:p>
          <a:endParaRPr lang="pl-PL"/>
        </a:p>
      </dgm:t>
    </dgm:pt>
    <dgm:pt modelId="{AD04A19B-61BC-4BAD-8613-6C72E2436F44}" type="sibTrans" cxnId="{CBC25D2B-C609-48C7-A6C2-04E2525BAADA}">
      <dgm:prSet/>
      <dgm:spPr/>
      <dgm:t>
        <a:bodyPr/>
        <a:lstStyle/>
        <a:p>
          <a:endParaRPr lang="pl-PL"/>
        </a:p>
      </dgm:t>
    </dgm:pt>
    <dgm:pt modelId="{8B34730D-7C7A-4AEB-AA45-2ABCEEC8B41D}">
      <dgm:prSet phldrT="[Tekst]" custT="1"/>
      <dgm:spPr/>
      <dgm:t>
        <a:bodyPr/>
        <a:lstStyle/>
        <a:p>
          <a:r>
            <a:rPr lang="pl-PL" sz="1200" b="1" dirty="0" smtClean="0">
              <a:latin typeface="Times New Roman" pitchFamily="18" charset="0"/>
              <a:cs typeface="Times New Roman" pitchFamily="18" charset="0"/>
            </a:rPr>
            <a:t>PK</a:t>
          </a:r>
        </a:p>
        <a:p>
          <a:r>
            <a:rPr lang="pl-PL" sz="1100" b="1" dirty="0" smtClean="0">
              <a:latin typeface="Times New Roman" pitchFamily="18" charset="0"/>
              <a:cs typeface="Times New Roman" pitchFamily="18" charset="0"/>
            </a:rPr>
            <a:t>5</a:t>
          </a:r>
          <a:r>
            <a:rPr lang="pl-PL" sz="1100" dirty="0" smtClean="0">
              <a:latin typeface="Times New Roman" pitchFamily="18" charset="0"/>
              <a:cs typeface="Times New Roman" pitchFamily="18" charset="0"/>
            </a:rPr>
            <a:t> umów </a:t>
          </a:r>
        </a:p>
        <a:p>
          <a:r>
            <a:rPr lang="pl-PL" sz="1100" b="1" dirty="0" smtClean="0">
              <a:latin typeface="Times New Roman" pitchFamily="18" charset="0"/>
              <a:cs typeface="Times New Roman" pitchFamily="18" charset="0"/>
            </a:rPr>
            <a:t>250,03 mln EUR </a:t>
          </a:r>
          <a:r>
            <a:rPr lang="pl-PL" sz="1100" dirty="0" smtClean="0">
              <a:latin typeface="Times New Roman" pitchFamily="18" charset="0"/>
              <a:cs typeface="Times New Roman" pitchFamily="18" charset="0"/>
            </a:rPr>
            <a:t/>
          </a:r>
          <a:br>
            <a:rPr lang="pl-PL" sz="1100" dirty="0" smtClean="0">
              <a:latin typeface="Times New Roman" pitchFamily="18" charset="0"/>
              <a:cs typeface="Times New Roman" pitchFamily="18" charset="0"/>
            </a:rPr>
          </a:br>
          <a:r>
            <a:rPr lang="pl-PL" sz="1100" dirty="0" smtClean="0">
              <a:latin typeface="Times New Roman" pitchFamily="18" charset="0"/>
              <a:cs typeface="Times New Roman" pitchFamily="18" charset="0"/>
            </a:rPr>
            <a:t>wartość</a:t>
          </a:r>
        </a:p>
        <a:p>
          <a:r>
            <a:rPr lang="pl-PL" sz="1100" b="1" dirty="0" smtClean="0">
              <a:latin typeface="Times New Roman" pitchFamily="18" charset="0"/>
              <a:cs typeface="Times New Roman" pitchFamily="18" charset="0"/>
            </a:rPr>
            <a:t>129,95 mln EUR (89%) </a:t>
          </a:r>
          <a:r>
            <a:rPr lang="pl-PL" sz="1100" b="0" dirty="0" smtClean="0">
              <a:latin typeface="Times New Roman" pitchFamily="18" charset="0"/>
              <a:cs typeface="Times New Roman" pitchFamily="18" charset="0"/>
            </a:rPr>
            <a:t>dofinansowanie</a:t>
          </a:r>
        </a:p>
        <a:p>
          <a:r>
            <a:rPr lang="pl-PL" sz="1100" b="1" dirty="0" smtClean="0">
              <a:latin typeface="Times New Roman" pitchFamily="18" charset="0"/>
              <a:cs typeface="Times New Roman" pitchFamily="18" charset="0"/>
            </a:rPr>
            <a:t>16,47 mln EUR </a:t>
          </a:r>
          <a:r>
            <a:rPr lang="pl-PL" sz="1100" b="0" dirty="0" smtClean="0">
              <a:latin typeface="Times New Roman" pitchFamily="18" charset="0"/>
              <a:cs typeface="Times New Roman" pitchFamily="18" charset="0"/>
            </a:rPr>
            <a:t>płatności </a:t>
          </a:r>
        </a:p>
        <a:p>
          <a:endParaRPr lang="pl-PL" sz="1200" b="1" dirty="0" smtClean="0">
            <a:latin typeface="Times New Roman" pitchFamily="18" charset="0"/>
            <a:cs typeface="Times New Roman" pitchFamily="18" charset="0"/>
          </a:endParaRPr>
        </a:p>
      </dgm:t>
    </dgm:pt>
    <dgm:pt modelId="{454ADD98-DD88-4A70-8ACF-953245855806}" type="parTrans" cxnId="{0002560D-C1AB-453A-9F23-DE147779ECB1}">
      <dgm:prSet/>
      <dgm:spPr/>
      <dgm:t>
        <a:bodyPr/>
        <a:lstStyle/>
        <a:p>
          <a:endParaRPr lang="pl-PL"/>
        </a:p>
      </dgm:t>
    </dgm:pt>
    <dgm:pt modelId="{7B9CDCDD-B78C-4DF0-977B-8CA9AD76156B}" type="sibTrans" cxnId="{0002560D-C1AB-453A-9F23-DE147779ECB1}">
      <dgm:prSet/>
      <dgm:spPr/>
      <dgm:t>
        <a:bodyPr/>
        <a:lstStyle/>
        <a:p>
          <a:endParaRPr lang="pl-PL"/>
        </a:p>
      </dgm:t>
    </dgm:pt>
    <dgm:pt modelId="{B2F4DAA7-B966-4917-9066-B14CAC66763A}">
      <dgm:prSet phldrT="[Tekst]" custT="1"/>
      <dgm:spPr/>
      <dgm:t>
        <a:bodyPr/>
        <a:lstStyle/>
        <a:p>
          <a:r>
            <a:rPr lang="pl-PL" sz="1200" b="1" dirty="0" smtClean="0">
              <a:latin typeface="Times New Roman" pitchFamily="18" charset="0"/>
              <a:cs typeface="Times New Roman" pitchFamily="18" charset="0"/>
            </a:rPr>
            <a:t>JESSICA</a:t>
          </a:r>
        </a:p>
        <a:p>
          <a:r>
            <a:rPr lang="pl-PL" sz="1200" b="1" dirty="0" smtClean="0">
              <a:latin typeface="Times New Roman" pitchFamily="18" charset="0"/>
              <a:cs typeface="Times New Roman" pitchFamily="18" charset="0"/>
            </a:rPr>
            <a:t>1</a:t>
          </a:r>
          <a:r>
            <a:rPr lang="pl-PL" sz="1200" dirty="0" smtClean="0">
              <a:latin typeface="Times New Roman" pitchFamily="18" charset="0"/>
              <a:cs typeface="Times New Roman" pitchFamily="18" charset="0"/>
            </a:rPr>
            <a:t> umowa </a:t>
          </a:r>
        </a:p>
        <a:p>
          <a:r>
            <a:rPr lang="pl-PL" sz="1200" b="1" dirty="0" smtClean="0">
              <a:latin typeface="Times New Roman" pitchFamily="18" charset="0"/>
              <a:cs typeface="Times New Roman" pitchFamily="18" charset="0"/>
            </a:rPr>
            <a:t>55,14 mln EUR </a:t>
          </a:r>
          <a:r>
            <a:rPr lang="pl-PL" sz="1200" dirty="0" smtClean="0">
              <a:latin typeface="Times New Roman" pitchFamily="18" charset="0"/>
              <a:cs typeface="Times New Roman" pitchFamily="18" charset="0"/>
            </a:rPr>
            <a:t/>
          </a:r>
          <a:br>
            <a:rPr lang="pl-PL" sz="1200" dirty="0" smtClean="0">
              <a:latin typeface="Times New Roman" pitchFamily="18" charset="0"/>
              <a:cs typeface="Times New Roman" pitchFamily="18" charset="0"/>
            </a:rPr>
          </a:br>
          <a:r>
            <a:rPr lang="pl-PL" sz="1200" dirty="0" smtClean="0">
              <a:latin typeface="Times New Roman" pitchFamily="18" charset="0"/>
              <a:cs typeface="Times New Roman" pitchFamily="18" charset="0"/>
            </a:rPr>
            <a:t>dofinansowanie</a:t>
          </a:r>
          <a:endParaRPr lang="pl-PL" sz="1200" b="1" dirty="0" smtClean="0">
            <a:latin typeface="Times New Roman" pitchFamily="18" charset="0"/>
            <a:cs typeface="Times New Roman" pitchFamily="18" charset="0"/>
          </a:endParaRPr>
        </a:p>
        <a:p>
          <a:r>
            <a:rPr lang="pl-PL" sz="1200" b="1" dirty="0" smtClean="0">
              <a:latin typeface="Times New Roman" pitchFamily="18" charset="0"/>
              <a:cs typeface="Times New Roman" pitchFamily="18" charset="0"/>
            </a:rPr>
            <a:t>55,14 mln EUR </a:t>
          </a:r>
          <a:r>
            <a:rPr lang="pl-PL" sz="1200" b="0" dirty="0" smtClean="0">
              <a:latin typeface="Times New Roman" pitchFamily="18" charset="0"/>
              <a:cs typeface="Times New Roman" pitchFamily="18" charset="0"/>
            </a:rPr>
            <a:t>płatności</a:t>
          </a:r>
        </a:p>
        <a:p>
          <a:endParaRPr lang="pl-PL" sz="1400" dirty="0">
            <a:latin typeface="Times New Roman" pitchFamily="18" charset="0"/>
            <a:cs typeface="Times New Roman" pitchFamily="18" charset="0"/>
          </a:endParaRPr>
        </a:p>
      </dgm:t>
    </dgm:pt>
    <dgm:pt modelId="{EE554156-9106-4A32-99A3-5145B2E4F836}" type="parTrans" cxnId="{8DEF9BFA-8750-4100-9137-BAF14C64B461}">
      <dgm:prSet/>
      <dgm:spPr/>
      <dgm:t>
        <a:bodyPr/>
        <a:lstStyle/>
        <a:p>
          <a:endParaRPr lang="pl-PL"/>
        </a:p>
      </dgm:t>
    </dgm:pt>
    <dgm:pt modelId="{B1655702-304F-4713-BD52-6B74108EC477}" type="sibTrans" cxnId="{8DEF9BFA-8750-4100-9137-BAF14C64B461}">
      <dgm:prSet/>
      <dgm:spPr/>
      <dgm:t>
        <a:bodyPr/>
        <a:lstStyle/>
        <a:p>
          <a:endParaRPr lang="pl-PL"/>
        </a:p>
      </dgm:t>
    </dgm:pt>
    <dgm:pt modelId="{C452AB0E-5387-49D7-97C0-A64186A580F1}">
      <dgm:prSet phldrT="[Tekst]" custT="1"/>
      <dgm:spPr/>
      <dgm:t>
        <a:bodyPr/>
        <a:lstStyle/>
        <a:p>
          <a:r>
            <a:rPr lang="pl-PL" sz="1200" b="1" dirty="0" smtClean="0">
              <a:latin typeface="Times New Roman" pitchFamily="18" charset="0"/>
              <a:cs typeface="Times New Roman" pitchFamily="18" charset="0"/>
            </a:rPr>
            <a:t>PRS </a:t>
          </a:r>
        </a:p>
        <a:p>
          <a:r>
            <a:rPr lang="pl-PL" sz="1100" b="1" dirty="0" smtClean="0">
              <a:latin typeface="Times New Roman" pitchFamily="18" charset="0"/>
              <a:cs typeface="Times New Roman" pitchFamily="18" charset="0"/>
            </a:rPr>
            <a:t>29</a:t>
          </a:r>
          <a:r>
            <a:rPr lang="pl-PL" sz="1100" dirty="0" smtClean="0">
              <a:latin typeface="Times New Roman" pitchFamily="18" charset="0"/>
              <a:cs typeface="Times New Roman" pitchFamily="18" charset="0"/>
            </a:rPr>
            <a:t> umów </a:t>
          </a:r>
        </a:p>
        <a:p>
          <a:r>
            <a:rPr lang="pl-PL" sz="1100" b="1" dirty="0" smtClean="0">
              <a:latin typeface="Times New Roman" pitchFamily="18" charset="0"/>
              <a:cs typeface="Times New Roman" pitchFamily="18" charset="0"/>
            </a:rPr>
            <a:t>68,12 mln EUR </a:t>
          </a:r>
          <a:r>
            <a:rPr lang="pl-PL" sz="1100" dirty="0" smtClean="0">
              <a:latin typeface="Times New Roman" pitchFamily="18" charset="0"/>
              <a:cs typeface="Times New Roman" pitchFamily="18" charset="0"/>
            </a:rPr>
            <a:t/>
          </a:r>
          <a:br>
            <a:rPr lang="pl-PL" sz="1100" dirty="0" smtClean="0">
              <a:latin typeface="Times New Roman" pitchFamily="18" charset="0"/>
              <a:cs typeface="Times New Roman" pitchFamily="18" charset="0"/>
            </a:rPr>
          </a:br>
          <a:r>
            <a:rPr lang="pl-PL" sz="1100" dirty="0" smtClean="0">
              <a:latin typeface="Times New Roman" pitchFamily="18" charset="0"/>
              <a:cs typeface="Times New Roman" pitchFamily="18" charset="0"/>
            </a:rPr>
            <a:t>wartość </a:t>
          </a:r>
        </a:p>
        <a:p>
          <a:r>
            <a:rPr lang="pl-PL" sz="1100" b="1" dirty="0" smtClean="0">
              <a:latin typeface="Times New Roman" pitchFamily="18" charset="0"/>
              <a:cs typeface="Times New Roman" pitchFamily="18" charset="0"/>
            </a:rPr>
            <a:t>33,52 mln EUR (84%) </a:t>
          </a:r>
          <a:r>
            <a:rPr lang="pl-PL" sz="1100" b="0" dirty="0" smtClean="0">
              <a:latin typeface="Times New Roman" pitchFamily="18" charset="0"/>
              <a:cs typeface="Times New Roman" pitchFamily="18" charset="0"/>
            </a:rPr>
            <a:t>dofinansowanie</a:t>
          </a:r>
        </a:p>
        <a:p>
          <a:r>
            <a:rPr lang="pl-PL" sz="1100" b="1" dirty="0" smtClean="0">
              <a:latin typeface="Times New Roman" pitchFamily="18" charset="0"/>
              <a:cs typeface="Times New Roman" pitchFamily="18" charset="0"/>
            </a:rPr>
            <a:t>23,88 mln EUR </a:t>
          </a:r>
          <a:r>
            <a:rPr lang="pl-PL" sz="1100" b="0" dirty="0" smtClean="0">
              <a:latin typeface="Times New Roman" pitchFamily="18" charset="0"/>
              <a:cs typeface="Times New Roman" pitchFamily="18" charset="0"/>
            </a:rPr>
            <a:t>płatności</a:t>
          </a:r>
          <a:endParaRPr lang="pl-PL" sz="1100" b="0" dirty="0">
            <a:latin typeface="Times New Roman" pitchFamily="18" charset="0"/>
            <a:cs typeface="Times New Roman" pitchFamily="18" charset="0"/>
          </a:endParaRPr>
        </a:p>
      </dgm:t>
    </dgm:pt>
    <dgm:pt modelId="{CF06DC98-24D9-43B6-A2BF-FFAAF011AE63}" type="parTrans" cxnId="{3810F561-EC7F-4CDB-86CA-100F63402716}">
      <dgm:prSet/>
      <dgm:spPr/>
      <dgm:t>
        <a:bodyPr/>
        <a:lstStyle/>
        <a:p>
          <a:endParaRPr lang="pl-PL"/>
        </a:p>
      </dgm:t>
    </dgm:pt>
    <dgm:pt modelId="{47B62744-EF95-4A53-B052-752AB167535A}" type="sibTrans" cxnId="{3810F561-EC7F-4CDB-86CA-100F63402716}">
      <dgm:prSet/>
      <dgm:spPr/>
      <dgm:t>
        <a:bodyPr/>
        <a:lstStyle/>
        <a:p>
          <a:endParaRPr lang="pl-PL"/>
        </a:p>
      </dgm:t>
    </dgm:pt>
    <dgm:pt modelId="{917D16ED-B29A-4A88-8697-0C3E93B446A0}" type="pres">
      <dgm:prSet presAssocID="{CAA76E41-9A83-4BB0-A6CD-0D325ED96764}" presName="hierChild1" presStyleCnt="0">
        <dgm:presLayoutVars>
          <dgm:chPref val="1"/>
          <dgm:dir/>
          <dgm:animOne val="branch"/>
          <dgm:animLvl val="lvl"/>
          <dgm:resizeHandles/>
        </dgm:presLayoutVars>
      </dgm:prSet>
      <dgm:spPr/>
      <dgm:t>
        <a:bodyPr/>
        <a:lstStyle/>
        <a:p>
          <a:endParaRPr lang="pl-PL"/>
        </a:p>
      </dgm:t>
    </dgm:pt>
    <dgm:pt modelId="{14CC7A80-C09C-48F5-9785-55DE81098B6C}" type="pres">
      <dgm:prSet presAssocID="{7743B988-F0AC-46D0-AB29-581B1F7F1687}" presName="hierRoot1" presStyleCnt="0"/>
      <dgm:spPr/>
      <dgm:t>
        <a:bodyPr/>
        <a:lstStyle/>
        <a:p>
          <a:endParaRPr lang="pl-PL"/>
        </a:p>
      </dgm:t>
    </dgm:pt>
    <dgm:pt modelId="{7D9DCDDA-CEF3-4767-A086-F173D24983A6}" type="pres">
      <dgm:prSet presAssocID="{7743B988-F0AC-46D0-AB29-581B1F7F1687}" presName="composite" presStyleCnt="0"/>
      <dgm:spPr/>
      <dgm:t>
        <a:bodyPr/>
        <a:lstStyle/>
        <a:p>
          <a:endParaRPr lang="pl-PL"/>
        </a:p>
      </dgm:t>
    </dgm:pt>
    <dgm:pt modelId="{6153A06A-C339-4EB3-A189-6786FB6DA1EE}" type="pres">
      <dgm:prSet presAssocID="{7743B988-F0AC-46D0-AB29-581B1F7F1687}" presName="background" presStyleLbl="node0" presStyleIdx="0" presStyleCnt="1"/>
      <dgm:spPr/>
      <dgm:t>
        <a:bodyPr/>
        <a:lstStyle/>
        <a:p>
          <a:endParaRPr lang="pl-PL"/>
        </a:p>
      </dgm:t>
    </dgm:pt>
    <dgm:pt modelId="{B771203E-8DF7-4205-8E32-8B8FADE1CC3D}" type="pres">
      <dgm:prSet presAssocID="{7743B988-F0AC-46D0-AB29-581B1F7F1687}" presName="text" presStyleLbl="fgAcc0" presStyleIdx="0" presStyleCnt="1" custScaleX="289927" custScaleY="172931" custLinFactNeighborX="6564" custLinFactNeighborY="-445">
        <dgm:presLayoutVars>
          <dgm:chPref val="3"/>
        </dgm:presLayoutVars>
      </dgm:prSet>
      <dgm:spPr/>
      <dgm:t>
        <a:bodyPr/>
        <a:lstStyle/>
        <a:p>
          <a:endParaRPr lang="pl-PL"/>
        </a:p>
      </dgm:t>
    </dgm:pt>
    <dgm:pt modelId="{CBBF4422-229D-4F3C-927D-83D9969DAA30}" type="pres">
      <dgm:prSet presAssocID="{7743B988-F0AC-46D0-AB29-581B1F7F1687}" presName="hierChild2" presStyleCnt="0"/>
      <dgm:spPr/>
      <dgm:t>
        <a:bodyPr/>
        <a:lstStyle/>
        <a:p>
          <a:endParaRPr lang="pl-PL"/>
        </a:p>
      </dgm:t>
    </dgm:pt>
    <dgm:pt modelId="{A60BBDE4-7335-4021-BFAE-019E56A023B2}" type="pres">
      <dgm:prSet presAssocID="{0349B53E-3E94-4672-A10C-A5AAE4C3F335}" presName="Name10" presStyleLbl="parChTrans1D2" presStyleIdx="0" presStyleCnt="4"/>
      <dgm:spPr/>
      <dgm:t>
        <a:bodyPr/>
        <a:lstStyle/>
        <a:p>
          <a:endParaRPr lang="pl-PL"/>
        </a:p>
      </dgm:t>
    </dgm:pt>
    <dgm:pt modelId="{AEBC5766-D448-46F9-A8F1-DFBF4AF52F17}" type="pres">
      <dgm:prSet presAssocID="{A17AE715-EA34-4023-98B7-E41502B9B236}" presName="hierRoot2" presStyleCnt="0"/>
      <dgm:spPr/>
      <dgm:t>
        <a:bodyPr/>
        <a:lstStyle/>
        <a:p>
          <a:endParaRPr lang="pl-PL"/>
        </a:p>
      </dgm:t>
    </dgm:pt>
    <dgm:pt modelId="{97D78571-FA5A-41A8-984F-7BA513F4B770}" type="pres">
      <dgm:prSet presAssocID="{A17AE715-EA34-4023-98B7-E41502B9B236}" presName="composite2" presStyleCnt="0"/>
      <dgm:spPr/>
      <dgm:t>
        <a:bodyPr/>
        <a:lstStyle/>
        <a:p>
          <a:endParaRPr lang="pl-PL"/>
        </a:p>
      </dgm:t>
    </dgm:pt>
    <dgm:pt modelId="{43525AA2-7C9D-4D26-A343-EB7E8E06A996}" type="pres">
      <dgm:prSet presAssocID="{A17AE715-EA34-4023-98B7-E41502B9B236}" presName="background2" presStyleLbl="node2" presStyleIdx="0" presStyleCnt="4"/>
      <dgm:spPr/>
      <dgm:t>
        <a:bodyPr/>
        <a:lstStyle/>
        <a:p>
          <a:endParaRPr lang="pl-PL"/>
        </a:p>
      </dgm:t>
    </dgm:pt>
    <dgm:pt modelId="{D5A6BAC2-671C-410A-9505-EFF4AE58FA6F}" type="pres">
      <dgm:prSet presAssocID="{A17AE715-EA34-4023-98B7-E41502B9B236}" presName="text2" presStyleLbl="fgAcc2" presStyleIdx="0" presStyleCnt="4" custScaleX="125757" custScaleY="262616" custLinFactNeighborX="269" custLinFactNeighborY="814">
        <dgm:presLayoutVars>
          <dgm:chPref val="3"/>
        </dgm:presLayoutVars>
      </dgm:prSet>
      <dgm:spPr/>
      <dgm:t>
        <a:bodyPr/>
        <a:lstStyle/>
        <a:p>
          <a:endParaRPr lang="pl-PL"/>
        </a:p>
      </dgm:t>
    </dgm:pt>
    <dgm:pt modelId="{48D8F62F-DD99-4854-89FB-81FC98850E3C}" type="pres">
      <dgm:prSet presAssocID="{A17AE715-EA34-4023-98B7-E41502B9B236}" presName="hierChild3" presStyleCnt="0"/>
      <dgm:spPr/>
      <dgm:t>
        <a:bodyPr/>
        <a:lstStyle/>
        <a:p>
          <a:endParaRPr lang="pl-PL"/>
        </a:p>
      </dgm:t>
    </dgm:pt>
    <dgm:pt modelId="{B798FF5D-036E-4488-AFD3-770CDE76F8ED}" type="pres">
      <dgm:prSet presAssocID="{454ADD98-DD88-4A70-8ACF-953245855806}" presName="Name10" presStyleLbl="parChTrans1D2" presStyleIdx="1" presStyleCnt="4"/>
      <dgm:spPr/>
      <dgm:t>
        <a:bodyPr/>
        <a:lstStyle/>
        <a:p>
          <a:endParaRPr lang="pl-PL"/>
        </a:p>
      </dgm:t>
    </dgm:pt>
    <dgm:pt modelId="{C59F5C2A-4B45-4719-9177-A9D86A95D5CC}" type="pres">
      <dgm:prSet presAssocID="{8B34730D-7C7A-4AEB-AA45-2ABCEEC8B41D}" presName="hierRoot2" presStyleCnt="0"/>
      <dgm:spPr/>
      <dgm:t>
        <a:bodyPr/>
        <a:lstStyle/>
        <a:p>
          <a:endParaRPr lang="pl-PL"/>
        </a:p>
      </dgm:t>
    </dgm:pt>
    <dgm:pt modelId="{1F7C11E2-66FD-4C5F-94B6-8B0FBD345B60}" type="pres">
      <dgm:prSet presAssocID="{8B34730D-7C7A-4AEB-AA45-2ABCEEC8B41D}" presName="composite2" presStyleCnt="0"/>
      <dgm:spPr/>
      <dgm:t>
        <a:bodyPr/>
        <a:lstStyle/>
        <a:p>
          <a:endParaRPr lang="pl-PL"/>
        </a:p>
      </dgm:t>
    </dgm:pt>
    <dgm:pt modelId="{3C65DEDE-82B1-497B-AFF2-165152FF352B}" type="pres">
      <dgm:prSet presAssocID="{8B34730D-7C7A-4AEB-AA45-2ABCEEC8B41D}" presName="background2" presStyleLbl="node2" presStyleIdx="1" presStyleCnt="4"/>
      <dgm:spPr/>
      <dgm:t>
        <a:bodyPr/>
        <a:lstStyle/>
        <a:p>
          <a:endParaRPr lang="pl-PL"/>
        </a:p>
      </dgm:t>
    </dgm:pt>
    <dgm:pt modelId="{814AA9A0-4B4D-4570-B280-0D2D27369AAD}" type="pres">
      <dgm:prSet presAssocID="{8B34730D-7C7A-4AEB-AA45-2ABCEEC8B41D}" presName="text2" presStyleLbl="fgAcc2" presStyleIdx="1" presStyleCnt="4" custScaleX="108696" custScaleY="271993" custLinFactNeighborX="-1392" custLinFactNeighborY="-3754">
        <dgm:presLayoutVars>
          <dgm:chPref val="3"/>
        </dgm:presLayoutVars>
      </dgm:prSet>
      <dgm:spPr/>
      <dgm:t>
        <a:bodyPr/>
        <a:lstStyle/>
        <a:p>
          <a:endParaRPr lang="pl-PL"/>
        </a:p>
      </dgm:t>
    </dgm:pt>
    <dgm:pt modelId="{61311B9B-FCE2-4F8D-BDF2-E8B464B64D6C}" type="pres">
      <dgm:prSet presAssocID="{8B34730D-7C7A-4AEB-AA45-2ABCEEC8B41D}" presName="hierChild3" presStyleCnt="0"/>
      <dgm:spPr/>
      <dgm:t>
        <a:bodyPr/>
        <a:lstStyle/>
        <a:p>
          <a:endParaRPr lang="pl-PL"/>
        </a:p>
      </dgm:t>
    </dgm:pt>
    <dgm:pt modelId="{511717CF-46C5-4059-BE21-3A85AA1C76DD}" type="pres">
      <dgm:prSet presAssocID="{CF06DC98-24D9-43B6-A2BF-FFAAF011AE63}" presName="Name10" presStyleLbl="parChTrans1D2" presStyleIdx="2" presStyleCnt="4"/>
      <dgm:spPr/>
      <dgm:t>
        <a:bodyPr/>
        <a:lstStyle/>
        <a:p>
          <a:endParaRPr lang="pl-PL"/>
        </a:p>
      </dgm:t>
    </dgm:pt>
    <dgm:pt modelId="{A0575924-D3D4-4B77-9BF9-C350E3120C69}" type="pres">
      <dgm:prSet presAssocID="{C452AB0E-5387-49D7-97C0-A64186A580F1}" presName="hierRoot2" presStyleCnt="0"/>
      <dgm:spPr/>
      <dgm:t>
        <a:bodyPr/>
        <a:lstStyle/>
        <a:p>
          <a:endParaRPr lang="pl-PL"/>
        </a:p>
      </dgm:t>
    </dgm:pt>
    <dgm:pt modelId="{E659DF18-0EFE-45D2-AE9F-E40ADA64AE27}" type="pres">
      <dgm:prSet presAssocID="{C452AB0E-5387-49D7-97C0-A64186A580F1}" presName="composite2" presStyleCnt="0"/>
      <dgm:spPr/>
      <dgm:t>
        <a:bodyPr/>
        <a:lstStyle/>
        <a:p>
          <a:endParaRPr lang="pl-PL"/>
        </a:p>
      </dgm:t>
    </dgm:pt>
    <dgm:pt modelId="{63651AB7-1BFF-4160-A702-17D9C41E3A29}" type="pres">
      <dgm:prSet presAssocID="{C452AB0E-5387-49D7-97C0-A64186A580F1}" presName="background2" presStyleLbl="node2" presStyleIdx="2" presStyleCnt="4"/>
      <dgm:spPr/>
      <dgm:t>
        <a:bodyPr/>
        <a:lstStyle/>
        <a:p>
          <a:endParaRPr lang="pl-PL"/>
        </a:p>
      </dgm:t>
    </dgm:pt>
    <dgm:pt modelId="{5BF28909-8113-4A0A-B169-1F5AEE505A9A}" type="pres">
      <dgm:prSet presAssocID="{C452AB0E-5387-49D7-97C0-A64186A580F1}" presName="text2" presStyleLbl="fgAcc2" presStyleIdx="2" presStyleCnt="4" custScaleY="268874" custLinFactNeighborX="491" custLinFactNeighborY="-1292">
        <dgm:presLayoutVars>
          <dgm:chPref val="3"/>
        </dgm:presLayoutVars>
      </dgm:prSet>
      <dgm:spPr/>
      <dgm:t>
        <a:bodyPr/>
        <a:lstStyle/>
        <a:p>
          <a:endParaRPr lang="pl-PL"/>
        </a:p>
      </dgm:t>
    </dgm:pt>
    <dgm:pt modelId="{765811BC-C0C1-46DC-AB84-BA1B7CE8F9D5}" type="pres">
      <dgm:prSet presAssocID="{C452AB0E-5387-49D7-97C0-A64186A580F1}" presName="hierChild3" presStyleCnt="0"/>
      <dgm:spPr/>
      <dgm:t>
        <a:bodyPr/>
        <a:lstStyle/>
        <a:p>
          <a:endParaRPr lang="pl-PL"/>
        </a:p>
      </dgm:t>
    </dgm:pt>
    <dgm:pt modelId="{3861F9D0-C642-4FEC-B3E1-28303652F562}" type="pres">
      <dgm:prSet presAssocID="{EE554156-9106-4A32-99A3-5145B2E4F836}" presName="Name10" presStyleLbl="parChTrans1D2" presStyleIdx="3" presStyleCnt="4"/>
      <dgm:spPr/>
      <dgm:t>
        <a:bodyPr/>
        <a:lstStyle/>
        <a:p>
          <a:endParaRPr lang="pl-PL"/>
        </a:p>
      </dgm:t>
    </dgm:pt>
    <dgm:pt modelId="{DDC96B5B-7AD3-410D-8427-03FD24355E72}" type="pres">
      <dgm:prSet presAssocID="{B2F4DAA7-B966-4917-9066-B14CAC66763A}" presName="hierRoot2" presStyleCnt="0"/>
      <dgm:spPr/>
      <dgm:t>
        <a:bodyPr/>
        <a:lstStyle/>
        <a:p>
          <a:endParaRPr lang="pl-PL"/>
        </a:p>
      </dgm:t>
    </dgm:pt>
    <dgm:pt modelId="{5B2F2686-343B-42BD-98D6-836BCCFB8BDA}" type="pres">
      <dgm:prSet presAssocID="{B2F4DAA7-B966-4917-9066-B14CAC66763A}" presName="composite2" presStyleCnt="0"/>
      <dgm:spPr/>
      <dgm:t>
        <a:bodyPr/>
        <a:lstStyle/>
        <a:p>
          <a:endParaRPr lang="pl-PL"/>
        </a:p>
      </dgm:t>
    </dgm:pt>
    <dgm:pt modelId="{B3E716BF-24A8-40DB-89C2-38A357949589}" type="pres">
      <dgm:prSet presAssocID="{B2F4DAA7-B966-4917-9066-B14CAC66763A}" presName="background2" presStyleLbl="node2" presStyleIdx="3" presStyleCnt="4"/>
      <dgm:spPr/>
      <dgm:t>
        <a:bodyPr/>
        <a:lstStyle/>
        <a:p>
          <a:endParaRPr lang="pl-PL"/>
        </a:p>
      </dgm:t>
    </dgm:pt>
    <dgm:pt modelId="{88DC67A7-995A-4863-89DE-C1BF841310A3}" type="pres">
      <dgm:prSet presAssocID="{B2F4DAA7-B966-4917-9066-B14CAC66763A}" presName="text2" presStyleLbl="fgAcc2" presStyleIdx="3" presStyleCnt="4" custScaleY="272595" custLinFactNeighborX="-1814" custLinFactNeighborY="-1292">
        <dgm:presLayoutVars>
          <dgm:chPref val="3"/>
        </dgm:presLayoutVars>
      </dgm:prSet>
      <dgm:spPr/>
      <dgm:t>
        <a:bodyPr/>
        <a:lstStyle/>
        <a:p>
          <a:endParaRPr lang="pl-PL"/>
        </a:p>
      </dgm:t>
    </dgm:pt>
    <dgm:pt modelId="{7709648C-E334-4139-BB50-F21F65B43BFB}" type="pres">
      <dgm:prSet presAssocID="{B2F4DAA7-B966-4917-9066-B14CAC66763A}" presName="hierChild3" presStyleCnt="0"/>
      <dgm:spPr/>
      <dgm:t>
        <a:bodyPr/>
        <a:lstStyle/>
        <a:p>
          <a:endParaRPr lang="pl-PL"/>
        </a:p>
      </dgm:t>
    </dgm:pt>
  </dgm:ptLst>
  <dgm:cxnLst>
    <dgm:cxn modelId="{07C825F5-341B-450D-AD39-FB6FCD17F8C5}" type="presOf" srcId="{0349B53E-3E94-4672-A10C-A5AAE4C3F335}" destId="{A60BBDE4-7335-4021-BFAE-019E56A023B2}" srcOrd="0" destOrd="0" presId="urn:microsoft.com/office/officeart/2005/8/layout/hierarchy1"/>
    <dgm:cxn modelId="{D8679739-0EBD-4185-A869-ADB702CAFA7A}" srcId="{CAA76E41-9A83-4BB0-A6CD-0D325ED96764}" destId="{7743B988-F0AC-46D0-AB29-581B1F7F1687}" srcOrd="0" destOrd="0" parTransId="{ACF1F7B0-F09E-4E6F-8533-80B41A5D31B7}" sibTransId="{649CF6C4-CCF7-4CE8-8CCA-39627D11023F}"/>
    <dgm:cxn modelId="{27A0410D-075E-49AB-AD74-D5B441C7124B}" type="presOf" srcId="{EE554156-9106-4A32-99A3-5145B2E4F836}" destId="{3861F9D0-C642-4FEC-B3E1-28303652F562}" srcOrd="0" destOrd="0" presId="urn:microsoft.com/office/officeart/2005/8/layout/hierarchy1"/>
    <dgm:cxn modelId="{3810F561-EC7F-4CDB-86CA-100F63402716}" srcId="{7743B988-F0AC-46D0-AB29-581B1F7F1687}" destId="{C452AB0E-5387-49D7-97C0-A64186A580F1}" srcOrd="2" destOrd="0" parTransId="{CF06DC98-24D9-43B6-A2BF-FFAAF011AE63}" sibTransId="{47B62744-EF95-4A53-B052-752AB167535A}"/>
    <dgm:cxn modelId="{65ACE7B3-5E3F-454E-A291-76A295A6EBBF}" type="presOf" srcId="{7743B988-F0AC-46D0-AB29-581B1F7F1687}" destId="{B771203E-8DF7-4205-8E32-8B8FADE1CC3D}" srcOrd="0" destOrd="0" presId="urn:microsoft.com/office/officeart/2005/8/layout/hierarchy1"/>
    <dgm:cxn modelId="{415DE56E-BEC6-42A8-9A98-28F6FCE92574}" type="presOf" srcId="{CF06DC98-24D9-43B6-A2BF-FFAAF011AE63}" destId="{511717CF-46C5-4059-BE21-3A85AA1C76DD}" srcOrd="0" destOrd="0" presId="urn:microsoft.com/office/officeart/2005/8/layout/hierarchy1"/>
    <dgm:cxn modelId="{0002560D-C1AB-453A-9F23-DE147779ECB1}" srcId="{7743B988-F0AC-46D0-AB29-581B1F7F1687}" destId="{8B34730D-7C7A-4AEB-AA45-2ABCEEC8B41D}" srcOrd="1" destOrd="0" parTransId="{454ADD98-DD88-4A70-8ACF-953245855806}" sibTransId="{7B9CDCDD-B78C-4DF0-977B-8CA9AD76156B}"/>
    <dgm:cxn modelId="{CDE1E46D-7825-4DB9-ADF4-3AFC2969CECE}" type="presOf" srcId="{8B34730D-7C7A-4AEB-AA45-2ABCEEC8B41D}" destId="{814AA9A0-4B4D-4570-B280-0D2D27369AAD}" srcOrd="0" destOrd="0" presId="urn:microsoft.com/office/officeart/2005/8/layout/hierarchy1"/>
    <dgm:cxn modelId="{8DEF9BFA-8750-4100-9137-BAF14C64B461}" srcId="{7743B988-F0AC-46D0-AB29-581B1F7F1687}" destId="{B2F4DAA7-B966-4917-9066-B14CAC66763A}" srcOrd="3" destOrd="0" parTransId="{EE554156-9106-4A32-99A3-5145B2E4F836}" sibTransId="{B1655702-304F-4713-BD52-6B74108EC477}"/>
    <dgm:cxn modelId="{D411F4DB-77E3-452E-938A-3C4DA8B2D68B}" type="presOf" srcId="{C452AB0E-5387-49D7-97C0-A64186A580F1}" destId="{5BF28909-8113-4A0A-B169-1F5AEE505A9A}" srcOrd="0" destOrd="0" presId="urn:microsoft.com/office/officeart/2005/8/layout/hierarchy1"/>
    <dgm:cxn modelId="{86B3D19F-1E03-4897-8133-F090C0DD17D4}" type="presOf" srcId="{454ADD98-DD88-4A70-8ACF-953245855806}" destId="{B798FF5D-036E-4488-AFD3-770CDE76F8ED}" srcOrd="0" destOrd="0" presId="urn:microsoft.com/office/officeart/2005/8/layout/hierarchy1"/>
    <dgm:cxn modelId="{B6311B82-14B7-4720-9145-D71320D998BC}" type="presOf" srcId="{B2F4DAA7-B966-4917-9066-B14CAC66763A}" destId="{88DC67A7-995A-4863-89DE-C1BF841310A3}" srcOrd="0" destOrd="0" presId="urn:microsoft.com/office/officeart/2005/8/layout/hierarchy1"/>
    <dgm:cxn modelId="{CBC25D2B-C609-48C7-A6C2-04E2525BAADA}" srcId="{7743B988-F0AC-46D0-AB29-581B1F7F1687}" destId="{A17AE715-EA34-4023-98B7-E41502B9B236}" srcOrd="0" destOrd="0" parTransId="{0349B53E-3E94-4672-A10C-A5AAE4C3F335}" sibTransId="{AD04A19B-61BC-4BAD-8613-6C72E2436F44}"/>
    <dgm:cxn modelId="{9F7CF991-2B87-4516-B0E2-4940644F49D9}" type="presOf" srcId="{CAA76E41-9A83-4BB0-A6CD-0D325ED96764}" destId="{917D16ED-B29A-4A88-8697-0C3E93B446A0}" srcOrd="0" destOrd="0" presId="urn:microsoft.com/office/officeart/2005/8/layout/hierarchy1"/>
    <dgm:cxn modelId="{EBDF917E-534A-4544-95E2-98621E5E7860}" type="presOf" srcId="{A17AE715-EA34-4023-98B7-E41502B9B236}" destId="{D5A6BAC2-671C-410A-9505-EFF4AE58FA6F}" srcOrd="0" destOrd="0" presId="urn:microsoft.com/office/officeart/2005/8/layout/hierarchy1"/>
    <dgm:cxn modelId="{ACB936D0-995B-43A9-9D28-6CCAD4DDE36B}" type="presParOf" srcId="{917D16ED-B29A-4A88-8697-0C3E93B446A0}" destId="{14CC7A80-C09C-48F5-9785-55DE81098B6C}" srcOrd="0" destOrd="0" presId="urn:microsoft.com/office/officeart/2005/8/layout/hierarchy1"/>
    <dgm:cxn modelId="{4C102AE6-8432-4743-8CBC-C9534DB290DC}" type="presParOf" srcId="{14CC7A80-C09C-48F5-9785-55DE81098B6C}" destId="{7D9DCDDA-CEF3-4767-A086-F173D24983A6}" srcOrd="0" destOrd="0" presId="urn:microsoft.com/office/officeart/2005/8/layout/hierarchy1"/>
    <dgm:cxn modelId="{551B5C27-7E24-4CB4-BC1B-9477B4B2A7E5}" type="presParOf" srcId="{7D9DCDDA-CEF3-4767-A086-F173D24983A6}" destId="{6153A06A-C339-4EB3-A189-6786FB6DA1EE}" srcOrd="0" destOrd="0" presId="urn:microsoft.com/office/officeart/2005/8/layout/hierarchy1"/>
    <dgm:cxn modelId="{AF2CCF78-6DF3-4982-BA27-2C6919277490}" type="presParOf" srcId="{7D9DCDDA-CEF3-4767-A086-F173D24983A6}" destId="{B771203E-8DF7-4205-8E32-8B8FADE1CC3D}" srcOrd="1" destOrd="0" presId="urn:microsoft.com/office/officeart/2005/8/layout/hierarchy1"/>
    <dgm:cxn modelId="{8651A221-A0E5-44C3-88C5-09EC471BA614}" type="presParOf" srcId="{14CC7A80-C09C-48F5-9785-55DE81098B6C}" destId="{CBBF4422-229D-4F3C-927D-83D9969DAA30}" srcOrd="1" destOrd="0" presId="urn:microsoft.com/office/officeart/2005/8/layout/hierarchy1"/>
    <dgm:cxn modelId="{A7F24CBF-F984-4980-A072-DB13C98FC06D}" type="presParOf" srcId="{CBBF4422-229D-4F3C-927D-83D9969DAA30}" destId="{A60BBDE4-7335-4021-BFAE-019E56A023B2}" srcOrd="0" destOrd="0" presId="urn:microsoft.com/office/officeart/2005/8/layout/hierarchy1"/>
    <dgm:cxn modelId="{11731B78-8811-435E-88F4-49EA44E9D8E1}" type="presParOf" srcId="{CBBF4422-229D-4F3C-927D-83D9969DAA30}" destId="{AEBC5766-D448-46F9-A8F1-DFBF4AF52F17}" srcOrd="1" destOrd="0" presId="urn:microsoft.com/office/officeart/2005/8/layout/hierarchy1"/>
    <dgm:cxn modelId="{50EECB27-231A-4EBD-8CD6-6B6E5A8F4CDE}" type="presParOf" srcId="{AEBC5766-D448-46F9-A8F1-DFBF4AF52F17}" destId="{97D78571-FA5A-41A8-984F-7BA513F4B770}" srcOrd="0" destOrd="0" presId="urn:microsoft.com/office/officeart/2005/8/layout/hierarchy1"/>
    <dgm:cxn modelId="{BD51F68C-6930-4054-BD8E-EBECEB52BCE6}" type="presParOf" srcId="{97D78571-FA5A-41A8-984F-7BA513F4B770}" destId="{43525AA2-7C9D-4D26-A343-EB7E8E06A996}" srcOrd="0" destOrd="0" presId="urn:microsoft.com/office/officeart/2005/8/layout/hierarchy1"/>
    <dgm:cxn modelId="{ECF4058C-8E47-4CE1-B9F7-A25B14106035}" type="presParOf" srcId="{97D78571-FA5A-41A8-984F-7BA513F4B770}" destId="{D5A6BAC2-671C-410A-9505-EFF4AE58FA6F}" srcOrd="1" destOrd="0" presId="urn:microsoft.com/office/officeart/2005/8/layout/hierarchy1"/>
    <dgm:cxn modelId="{77785FCE-7D01-4AB0-AD7A-ED86EBBCC61C}" type="presParOf" srcId="{AEBC5766-D448-46F9-A8F1-DFBF4AF52F17}" destId="{48D8F62F-DD99-4854-89FB-81FC98850E3C}" srcOrd="1" destOrd="0" presId="urn:microsoft.com/office/officeart/2005/8/layout/hierarchy1"/>
    <dgm:cxn modelId="{CFF4203E-4018-43D8-96C6-DA9F98EC652A}" type="presParOf" srcId="{CBBF4422-229D-4F3C-927D-83D9969DAA30}" destId="{B798FF5D-036E-4488-AFD3-770CDE76F8ED}" srcOrd="2" destOrd="0" presId="urn:microsoft.com/office/officeart/2005/8/layout/hierarchy1"/>
    <dgm:cxn modelId="{55B9BCDA-6DD3-484C-B4C2-2A3915B7AB25}" type="presParOf" srcId="{CBBF4422-229D-4F3C-927D-83D9969DAA30}" destId="{C59F5C2A-4B45-4719-9177-A9D86A95D5CC}" srcOrd="3" destOrd="0" presId="urn:microsoft.com/office/officeart/2005/8/layout/hierarchy1"/>
    <dgm:cxn modelId="{1351F6B9-D125-4B91-B73B-BCA2D5091BB7}" type="presParOf" srcId="{C59F5C2A-4B45-4719-9177-A9D86A95D5CC}" destId="{1F7C11E2-66FD-4C5F-94B6-8B0FBD345B60}" srcOrd="0" destOrd="0" presId="urn:microsoft.com/office/officeart/2005/8/layout/hierarchy1"/>
    <dgm:cxn modelId="{93AA97DC-20AE-4739-8266-0B9102671C72}" type="presParOf" srcId="{1F7C11E2-66FD-4C5F-94B6-8B0FBD345B60}" destId="{3C65DEDE-82B1-497B-AFF2-165152FF352B}" srcOrd="0" destOrd="0" presId="urn:microsoft.com/office/officeart/2005/8/layout/hierarchy1"/>
    <dgm:cxn modelId="{EEA84DB1-82A0-440B-9724-AD3389885C30}" type="presParOf" srcId="{1F7C11E2-66FD-4C5F-94B6-8B0FBD345B60}" destId="{814AA9A0-4B4D-4570-B280-0D2D27369AAD}" srcOrd="1" destOrd="0" presId="urn:microsoft.com/office/officeart/2005/8/layout/hierarchy1"/>
    <dgm:cxn modelId="{1385D82C-B055-448F-81A3-5A1E99595D79}" type="presParOf" srcId="{C59F5C2A-4B45-4719-9177-A9D86A95D5CC}" destId="{61311B9B-FCE2-4F8D-BDF2-E8B464B64D6C}" srcOrd="1" destOrd="0" presId="urn:microsoft.com/office/officeart/2005/8/layout/hierarchy1"/>
    <dgm:cxn modelId="{84114A52-2093-4BA6-934E-95C04702F679}" type="presParOf" srcId="{CBBF4422-229D-4F3C-927D-83D9969DAA30}" destId="{511717CF-46C5-4059-BE21-3A85AA1C76DD}" srcOrd="4" destOrd="0" presId="urn:microsoft.com/office/officeart/2005/8/layout/hierarchy1"/>
    <dgm:cxn modelId="{F70CD8FF-0FC1-40A7-AD1C-24E19AE2F8F3}" type="presParOf" srcId="{CBBF4422-229D-4F3C-927D-83D9969DAA30}" destId="{A0575924-D3D4-4B77-9BF9-C350E3120C69}" srcOrd="5" destOrd="0" presId="urn:microsoft.com/office/officeart/2005/8/layout/hierarchy1"/>
    <dgm:cxn modelId="{E98F3E7B-35AC-4D84-A4B6-E46DBAFA93A9}" type="presParOf" srcId="{A0575924-D3D4-4B77-9BF9-C350E3120C69}" destId="{E659DF18-0EFE-45D2-AE9F-E40ADA64AE27}" srcOrd="0" destOrd="0" presId="urn:microsoft.com/office/officeart/2005/8/layout/hierarchy1"/>
    <dgm:cxn modelId="{D125341C-AD4F-4E6D-B68D-E54DD11497C7}" type="presParOf" srcId="{E659DF18-0EFE-45D2-AE9F-E40ADA64AE27}" destId="{63651AB7-1BFF-4160-A702-17D9C41E3A29}" srcOrd="0" destOrd="0" presId="urn:microsoft.com/office/officeart/2005/8/layout/hierarchy1"/>
    <dgm:cxn modelId="{A6D951DE-C551-42D0-BB25-A8C914F01625}" type="presParOf" srcId="{E659DF18-0EFE-45D2-AE9F-E40ADA64AE27}" destId="{5BF28909-8113-4A0A-B169-1F5AEE505A9A}" srcOrd="1" destOrd="0" presId="urn:microsoft.com/office/officeart/2005/8/layout/hierarchy1"/>
    <dgm:cxn modelId="{13B5AB15-8757-4957-B3DF-6914DA083E70}" type="presParOf" srcId="{A0575924-D3D4-4B77-9BF9-C350E3120C69}" destId="{765811BC-C0C1-46DC-AB84-BA1B7CE8F9D5}" srcOrd="1" destOrd="0" presId="urn:microsoft.com/office/officeart/2005/8/layout/hierarchy1"/>
    <dgm:cxn modelId="{3E093435-B180-4E86-B5CA-D16AE0666178}" type="presParOf" srcId="{CBBF4422-229D-4F3C-927D-83D9969DAA30}" destId="{3861F9D0-C642-4FEC-B3E1-28303652F562}" srcOrd="6" destOrd="0" presId="urn:microsoft.com/office/officeart/2005/8/layout/hierarchy1"/>
    <dgm:cxn modelId="{6E2FF1B6-28F4-4375-AF1F-3F5E47D83CAA}" type="presParOf" srcId="{CBBF4422-229D-4F3C-927D-83D9969DAA30}" destId="{DDC96B5B-7AD3-410D-8427-03FD24355E72}" srcOrd="7" destOrd="0" presId="urn:microsoft.com/office/officeart/2005/8/layout/hierarchy1"/>
    <dgm:cxn modelId="{65D04B46-4C06-48CB-86CC-7BAF5B07BA15}" type="presParOf" srcId="{DDC96B5B-7AD3-410D-8427-03FD24355E72}" destId="{5B2F2686-343B-42BD-98D6-836BCCFB8BDA}" srcOrd="0" destOrd="0" presId="urn:microsoft.com/office/officeart/2005/8/layout/hierarchy1"/>
    <dgm:cxn modelId="{BF3D10F1-FDC0-446E-909D-6E4F6547B0ED}" type="presParOf" srcId="{5B2F2686-343B-42BD-98D6-836BCCFB8BDA}" destId="{B3E716BF-24A8-40DB-89C2-38A357949589}" srcOrd="0" destOrd="0" presId="urn:microsoft.com/office/officeart/2005/8/layout/hierarchy1"/>
    <dgm:cxn modelId="{93AE3D3C-964D-4767-809E-9E9914B6C98C}" type="presParOf" srcId="{5B2F2686-343B-42BD-98D6-836BCCFB8BDA}" destId="{88DC67A7-995A-4863-89DE-C1BF841310A3}" srcOrd="1" destOrd="0" presId="urn:microsoft.com/office/officeart/2005/8/layout/hierarchy1"/>
    <dgm:cxn modelId="{8D74659F-F48F-4826-A83A-5F5099CA1432}" type="presParOf" srcId="{DDC96B5B-7AD3-410D-8427-03FD24355E72}" destId="{7709648C-E334-4139-BB50-F21F65B43BFB}" srcOrd="1" destOrd="0" presId="urn:microsoft.com/office/officeart/2005/8/layout/hierarchy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AA76E41-9A83-4BB0-A6CD-0D325ED96764}"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endParaRPr lang="pl-PL"/>
        </a:p>
      </dgm:t>
    </dgm:pt>
    <dgm:pt modelId="{7743B988-F0AC-46D0-AB29-581B1F7F1687}">
      <dgm:prSet phldrT="[Tekst]" custT="1"/>
      <dgm:spPr/>
      <dgm:t>
        <a:bodyPr/>
        <a:lstStyle/>
        <a:p>
          <a:r>
            <a:rPr lang="pl-PL" sz="1200" b="1" dirty="0" smtClean="0">
              <a:latin typeface="Times New Roman" pitchFamily="18" charset="0"/>
              <a:cs typeface="Times New Roman" pitchFamily="18" charset="0"/>
            </a:rPr>
            <a:t>PRIORYTET VII   </a:t>
          </a:r>
        </a:p>
        <a:p>
          <a:r>
            <a:rPr lang="pl-PL" sz="1100" b="1" dirty="0" smtClean="0">
              <a:latin typeface="Times New Roman" pitchFamily="18" charset="0"/>
              <a:cs typeface="Times New Roman" pitchFamily="18" charset="0"/>
            </a:rPr>
            <a:t>162</a:t>
          </a:r>
          <a:r>
            <a:rPr lang="pl-PL" sz="1100" dirty="0" smtClean="0">
              <a:latin typeface="Times New Roman" pitchFamily="18" charset="0"/>
              <a:cs typeface="Times New Roman" pitchFamily="18" charset="0"/>
            </a:rPr>
            <a:t> umowy </a:t>
          </a:r>
        </a:p>
        <a:p>
          <a:r>
            <a:rPr lang="pl-PL" sz="1100" b="1" dirty="0" smtClean="0">
              <a:latin typeface="Times New Roman" pitchFamily="18" charset="0"/>
              <a:cs typeface="Times New Roman" pitchFamily="18" charset="0"/>
            </a:rPr>
            <a:t>458,18 EUR </a:t>
          </a:r>
          <a:r>
            <a:rPr lang="pl-PL" sz="1100" dirty="0" smtClean="0">
              <a:latin typeface="Times New Roman" pitchFamily="18" charset="0"/>
              <a:cs typeface="Times New Roman" pitchFamily="18" charset="0"/>
            </a:rPr>
            <a:t>wartość</a:t>
          </a:r>
          <a:br>
            <a:rPr lang="pl-PL" sz="1100" dirty="0" smtClean="0">
              <a:latin typeface="Times New Roman" pitchFamily="18" charset="0"/>
              <a:cs typeface="Times New Roman" pitchFamily="18" charset="0"/>
            </a:rPr>
          </a:br>
          <a:r>
            <a:rPr lang="pl-PL" sz="1100" b="1" dirty="0" smtClean="0">
              <a:latin typeface="Times New Roman" pitchFamily="18" charset="0"/>
              <a:cs typeface="Times New Roman" pitchFamily="18" charset="0"/>
            </a:rPr>
            <a:t>296,75 mln EUR </a:t>
          </a:r>
          <a:r>
            <a:rPr lang="pl-PL" sz="1100" b="0" dirty="0" smtClean="0">
              <a:latin typeface="Times New Roman" pitchFamily="18" charset="0"/>
              <a:cs typeface="Times New Roman" pitchFamily="18" charset="0"/>
            </a:rPr>
            <a:t>dofinansowanie</a:t>
          </a:r>
        </a:p>
        <a:p>
          <a:r>
            <a:rPr lang="pl-PL" sz="1100" b="1" dirty="0" smtClean="0">
              <a:latin typeface="Times New Roman" pitchFamily="18" charset="0"/>
              <a:cs typeface="Times New Roman" pitchFamily="18" charset="0"/>
            </a:rPr>
            <a:t>185,68 mln EUR </a:t>
          </a:r>
          <a:r>
            <a:rPr lang="pl-PL" sz="1100" b="0" dirty="0" smtClean="0">
              <a:latin typeface="Times New Roman" pitchFamily="18" charset="0"/>
              <a:cs typeface="Times New Roman" pitchFamily="18" charset="0"/>
            </a:rPr>
            <a:t>płatności</a:t>
          </a:r>
          <a:endParaRPr lang="pl-PL" sz="1100" b="0" dirty="0">
            <a:latin typeface="Times New Roman" pitchFamily="18" charset="0"/>
            <a:cs typeface="Times New Roman" pitchFamily="18" charset="0"/>
          </a:endParaRPr>
        </a:p>
      </dgm:t>
    </dgm:pt>
    <dgm:pt modelId="{ACF1F7B0-F09E-4E6F-8533-80B41A5D31B7}" type="parTrans" cxnId="{D8679739-0EBD-4185-A869-ADB702CAFA7A}">
      <dgm:prSet/>
      <dgm:spPr/>
      <dgm:t>
        <a:bodyPr/>
        <a:lstStyle/>
        <a:p>
          <a:endParaRPr lang="pl-PL"/>
        </a:p>
      </dgm:t>
    </dgm:pt>
    <dgm:pt modelId="{649CF6C4-CCF7-4CE8-8CCA-39627D11023F}" type="sibTrans" cxnId="{D8679739-0EBD-4185-A869-ADB702CAFA7A}">
      <dgm:prSet/>
      <dgm:spPr/>
      <dgm:t>
        <a:bodyPr/>
        <a:lstStyle/>
        <a:p>
          <a:endParaRPr lang="pl-PL"/>
        </a:p>
      </dgm:t>
    </dgm:pt>
    <dgm:pt modelId="{A17AE715-EA34-4023-98B7-E41502B9B236}">
      <dgm:prSet phldrT="[Tekst]" custT="1"/>
      <dgm:spPr/>
      <dgm:t>
        <a:bodyPr/>
        <a:lstStyle/>
        <a:p>
          <a:endParaRPr lang="pl-PL" sz="1200" b="1" dirty="0" smtClean="0">
            <a:latin typeface="Times New Roman" pitchFamily="18" charset="0"/>
            <a:cs typeface="Times New Roman" pitchFamily="18" charset="0"/>
          </a:endParaRPr>
        </a:p>
        <a:p>
          <a:endParaRPr lang="pl-PL" sz="1200" b="1" dirty="0" smtClean="0">
            <a:latin typeface="Times New Roman" pitchFamily="18" charset="0"/>
            <a:cs typeface="Times New Roman" pitchFamily="18" charset="0"/>
          </a:endParaRPr>
        </a:p>
        <a:p>
          <a:r>
            <a:rPr lang="pl-PL" sz="1200" b="1" dirty="0" smtClean="0">
              <a:latin typeface="Times New Roman" pitchFamily="18" charset="0"/>
              <a:cs typeface="Times New Roman" pitchFamily="18" charset="0"/>
            </a:rPr>
            <a:t>KONKURSY</a:t>
          </a:r>
        </a:p>
        <a:p>
          <a:r>
            <a:rPr lang="pl-PL" sz="1100" b="1" dirty="0" smtClean="0">
              <a:latin typeface="Times New Roman" pitchFamily="18" charset="0"/>
              <a:cs typeface="Times New Roman" pitchFamily="18" charset="0"/>
            </a:rPr>
            <a:t>98</a:t>
          </a:r>
          <a:r>
            <a:rPr lang="pl-PL" sz="1100" dirty="0" smtClean="0">
              <a:latin typeface="Times New Roman" pitchFamily="18" charset="0"/>
              <a:cs typeface="Times New Roman" pitchFamily="18" charset="0"/>
            </a:rPr>
            <a:t> umowy </a:t>
          </a:r>
        </a:p>
        <a:p>
          <a:r>
            <a:rPr lang="pl-PL" sz="1100" b="1" dirty="0" smtClean="0">
              <a:latin typeface="Times New Roman" pitchFamily="18" charset="0"/>
              <a:cs typeface="Times New Roman" pitchFamily="18" charset="0"/>
            </a:rPr>
            <a:t>206,21 mln EUR </a:t>
          </a:r>
          <a:r>
            <a:rPr lang="pl-PL" sz="1100" dirty="0" smtClean="0">
              <a:latin typeface="Times New Roman" pitchFamily="18" charset="0"/>
              <a:cs typeface="Times New Roman" pitchFamily="18" charset="0"/>
            </a:rPr>
            <a:t/>
          </a:r>
          <a:br>
            <a:rPr lang="pl-PL" sz="1100" dirty="0" smtClean="0">
              <a:latin typeface="Times New Roman" pitchFamily="18" charset="0"/>
              <a:cs typeface="Times New Roman" pitchFamily="18" charset="0"/>
            </a:rPr>
          </a:br>
          <a:r>
            <a:rPr lang="pl-PL" sz="1100" dirty="0" smtClean="0">
              <a:latin typeface="Times New Roman" pitchFamily="18" charset="0"/>
              <a:cs typeface="Times New Roman" pitchFamily="18" charset="0"/>
            </a:rPr>
            <a:t>wartość </a:t>
          </a:r>
        </a:p>
        <a:p>
          <a:r>
            <a:rPr lang="pl-PL" sz="1100" b="1" dirty="0" smtClean="0">
              <a:latin typeface="Times New Roman" pitchFamily="18" charset="0"/>
              <a:cs typeface="Times New Roman" pitchFamily="18" charset="0"/>
            </a:rPr>
            <a:t>137,84 mln EUR (72%) </a:t>
          </a:r>
          <a:r>
            <a:rPr lang="pl-PL" sz="1100" b="0" dirty="0" smtClean="0">
              <a:latin typeface="Times New Roman" pitchFamily="18" charset="0"/>
              <a:cs typeface="Times New Roman" pitchFamily="18" charset="0"/>
            </a:rPr>
            <a:t>dofinansowanie</a:t>
          </a:r>
        </a:p>
        <a:p>
          <a:r>
            <a:rPr lang="pl-PL" sz="1100" b="1" dirty="0" smtClean="0">
              <a:latin typeface="Times New Roman" pitchFamily="18" charset="0"/>
              <a:cs typeface="Times New Roman" pitchFamily="18" charset="0"/>
            </a:rPr>
            <a:t>91,44 mln EUR </a:t>
          </a:r>
          <a:r>
            <a:rPr lang="pl-PL" sz="1100" b="0" dirty="0" smtClean="0">
              <a:latin typeface="Times New Roman" pitchFamily="18" charset="0"/>
              <a:cs typeface="Times New Roman" pitchFamily="18" charset="0"/>
            </a:rPr>
            <a:t>płatności</a:t>
          </a:r>
        </a:p>
        <a:p>
          <a:endParaRPr lang="pl-PL" sz="1200" b="1" dirty="0" smtClean="0">
            <a:latin typeface="Times New Roman" pitchFamily="18" charset="0"/>
            <a:cs typeface="Times New Roman" pitchFamily="18" charset="0"/>
          </a:endParaRPr>
        </a:p>
        <a:p>
          <a:endParaRPr lang="pl-PL" sz="1200" b="1" dirty="0">
            <a:latin typeface="Times New Roman" pitchFamily="18" charset="0"/>
            <a:cs typeface="Times New Roman" pitchFamily="18" charset="0"/>
          </a:endParaRPr>
        </a:p>
      </dgm:t>
    </dgm:pt>
    <dgm:pt modelId="{0349B53E-3E94-4672-A10C-A5AAE4C3F335}" type="parTrans" cxnId="{CBC25D2B-C609-48C7-A6C2-04E2525BAADA}">
      <dgm:prSet/>
      <dgm:spPr/>
      <dgm:t>
        <a:bodyPr/>
        <a:lstStyle/>
        <a:p>
          <a:endParaRPr lang="pl-PL"/>
        </a:p>
      </dgm:t>
    </dgm:pt>
    <dgm:pt modelId="{AD04A19B-61BC-4BAD-8613-6C72E2436F44}" type="sibTrans" cxnId="{CBC25D2B-C609-48C7-A6C2-04E2525BAADA}">
      <dgm:prSet/>
      <dgm:spPr/>
      <dgm:t>
        <a:bodyPr/>
        <a:lstStyle/>
        <a:p>
          <a:endParaRPr lang="pl-PL"/>
        </a:p>
      </dgm:t>
    </dgm:pt>
    <dgm:pt modelId="{8B34730D-7C7A-4AEB-AA45-2ABCEEC8B41D}">
      <dgm:prSet phldrT="[Tekst]" custT="1"/>
      <dgm:spPr/>
      <dgm:t>
        <a:bodyPr/>
        <a:lstStyle/>
        <a:p>
          <a:endParaRPr lang="pl-PL" sz="1200" b="1" dirty="0" smtClean="0">
            <a:latin typeface="Times New Roman" pitchFamily="18" charset="0"/>
            <a:cs typeface="Times New Roman" pitchFamily="18" charset="0"/>
          </a:endParaRPr>
        </a:p>
        <a:p>
          <a:r>
            <a:rPr lang="pl-PL" sz="1200" b="1" dirty="0" smtClean="0">
              <a:latin typeface="Times New Roman" pitchFamily="18" charset="0"/>
              <a:cs typeface="Times New Roman" pitchFamily="18" charset="0"/>
            </a:rPr>
            <a:t>PK</a:t>
          </a:r>
        </a:p>
        <a:p>
          <a:r>
            <a:rPr lang="pl-PL" sz="1100" b="1" dirty="0" smtClean="0">
              <a:latin typeface="Times New Roman" pitchFamily="18" charset="0"/>
              <a:cs typeface="Times New Roman" pitchFamily="18" charset="0"/>
            </a:rPr>
            <a:t>18 </a:t>
          </a:r>
          <a:r>
            <a:rPr lang="pl-PL" sz="1100" dirty="0" smtClean="0">
              <a:latin typeface="Times New Roman" pitchFamily="18" charset="0"/>
              <a:cs typeface="Times New Roman" pitchFamily="18" charset="0"/>
            </a:rPr>
            <a:t>umów </a:t>
          </a:r>
        </a:p>
        <a:p>
          <a:r>
            <a:rPr lang="pl-PL" sz="1100" b="1" dirty="0" smtClean="0">
              <a:latin typeface="Times New Roman" pitchFamily="18" charset="0"/>
              <a:cs typeface="Times New Roman" pitchFamily="18" charset="0"/>
            </a:rPr>
            <a:t>182,60 mln EUR </a:t>
          </a:r>
          <a:r>
            <a:rPr lang="pl-PL" sz="1100" dirty="0" smtClean="0">
              <a:latin typeface="Times New Roman" pitchFamily="18" charset="0"/>
              <a:cs typeface="Times New Roman" pitchFamily="18" charset="0"/>
            </a:rPr>
            <a:t>wartość</a:t>
          </a:r>
          <a:br>
            <a:rPr lang="pl-PL" sz="1100" dirty="0" smtClean="0">
              <a:latin typeface="Times New Roman" pitchFamily="18" charset="0"/>
              <a:cs typeface="Times New Roman" pitchFamily="18" charset="0"/>
            </a:rPr>
          </a:br>
          <a:r>
            <a:rPr lang="pl-PL" sz="1100" b="1" dirty="0" smtClean="0">
              <a:latin typeface="Times New Roman" pitchFamily="18" charset="0"/>
              <a:cs typeface="Times New Roman" pitchFamily="18" charset="0"/>
            </a:rPr>
            <a:t>116,85 mln EUR (53%) </a:t>
          </a:r>
          <a:r>
            <a:rPr lang="pl-PL" sz="1100" b="0" dirty="0" smtClean="0">
              <a:latin typeface="Times New Roman" pitchFamily="18" charset="0"/>
              <a:cs typeface="Times New Roman" pitchFamily="18" charset="0"/>
            </a:rPr>
            <a:t>dofinansowanie</a:t>
          </a:r>
        </a:p>
        <a:p>
          <a:r>
            <a:rPr lang="pl-PL" sz="1100" b="1" dirty="0" smtClean="0">
              <a:latin typeface="Times New Roman" pitchFamily="18" charset="0"/>
              <a:cs typeface="Times New Roman" pitchFamily="18" charset="0"/>
            </a:rPr>
            <a:t>65,48 mln EUR </a:t>
          </a:r>
          <a:r>
            <a:rPr lang="pl-PL" sz="1100" b="0" dirty="0" smtClean="0">
              <a:latin typeface="Times New Roman" pitchFamily="18" charset="0"/>
              <a:cs typeface="Times New Roman" pitchFamily="18" charset="0"/>
            </a:rPr>
            <a:t>płatnośći</a:t>
          </a:r>
        </a:p>
        <a:p>
          <a:endParaRPr lang="pl-PL" sz="1200" b="1" dirty="0" smtClean="0">
            <a:latin typeface="Times New Roman" pitchFamily="18" charset="0"/>
            <a:cs typeface="Times New Roman" pitchFamily="18" charset="0"/>
          </a:endParaRPr>
        </a:p>
      </dgm:t>
    </dgm:pt>
    <dgm:pt modelId="{454ADD98-DD88-4A70-8ACF-953245855806}" type="parTrans" cxnId="{0002560D-C1AB-453A-9F23-DE147779ECB1}">
      <dgm:prSet/>
      <dgm:spPr/>
      <dgm:t>
        <a:bodyPr/>
        <a:lstStyle/>
        <a:p>
          <a:endParaRPr lang="pl-PL"/>
        </a:p>
      </dgm:t>
    </dgm:pt>
    <dgm:pt modelId="{7B9CDCDD-B78C-4DF0-977B-8CA9AD76156B}" type="sibTrans" cxnId="{0002560D-C1AB-453A-9F23-DE147779ECB1}">
      <dgm:prSet/>
      <dgm:spPr/>
      <dgm:t>
        <a:bodyPr/>
        <a:lstStyle/>
        <a:p>
          <a:endParaRPr lang="pl-PL"/>
        </a:p>
      </dgm:t>
    </dgm:pt>
    <dgm:pt modelId="{C452AB0E-5387-49D7-97C0-A64186A580F1}">
      <dgm:prSet phldrT="[Tekst]" custT="1"/>
      <dgm:spPr/>
      <dgm:t>
        <a:bodyPr/>
        <a:lstStyle/>
        <a:p>
          <a:r>
            <a:rPr lang="pl-PL" sz="1200" b="1" dirty="0" smtClean="0">
              <a:latin typeface="Times New Roman" pitchFamily="18" charset="0"/>
              <a:cs typeface="Times New Roman" pitchFamily="18" charset="0"/>
            </a:rPr>
            <a:t>PRS </a:t>
          </a:r>
        </a:p>
        <a:p>
          <a:r>
            <a:rPr lang="pl-PL" sz="1100" b="1" dirty="0" smtClean="0">
              <a:latin typeface="Times New Roman" pitchFamily="18" charset="0"/>
              <a:cs typeface="Times New Roman" pitchFamily="18" charset="0"/>
            </a:rPr>
            <a:t>46</a:t>
          </a:r>
          <a:r>
            <a:rPr lang="pl-PL" sz="1100" dirty="0" smtClean="0">
              <a:latin typeface="Times New Roman" pitchFamily="18" charset="0"/>
              <a:cs typeface="Times New Roman" pitchFamily="18" charset="0"/>
            </a:rPr>
            <a:t> umów </a:t>
          </a:r>
        </a:p>
        <a:p>
          <a:r>
            <a:rPr lang="pl-PL" sz="1100" b="1" dirty="0" smtClean="0">
              <a:latin typeface="Times New Roman" pitchFamily="18" charset="0"/>
              <a:cs typeface="Times New Roman" pitchFamily="18" charset="0"/>
            </a:rPr>
            <a:t>69,37 mln EUR </a:t>
          </a:r>
          <a:r>
            <a:rPr lang="pl-PL" sz="1100" dirty="0" smtClean="0">
              <a:latin typeface="Times New Roman" pitchFamily="18" charset="0"/>
              <a:cs typeface="Times New Roman" pitchFamily="18" charset="0"/>
            </a:rPr>
            <a:t/>
          </a:r>
          <a:br>
            <a:rPr lang="pl-PL" sz="1100" dirty="0" smtClean="0">
              <a:latin typeface="Times New Roman" pitchFamily="18" charset="0"/>
              <a:cs typeface="Times New Roman" pitchFamily="18" charset="0"/>
            </a:rPr>
          </a:br>
          <a:r>
            <a:rPr lang="pl-PL" sz="1100" dirty="0" smtClean="0">
              <a:latin typeface="Times New Roman" pitchFamily="18" charset="0"/>
              <a:cs typeface="Times New Roman" pitchFamily="18" charset="0"/>
            </a:rPr>
            <a:t>wartość </a:t>
          </a:r>
        </a:p>
        <a:p>
          <a:r>
            <a:rPr lang="pl-PL" sz="1100" b="1" dirty="0" smtClean="0">
              <a:latin typeface="Times New Roman" pitchFamily="18" charset="0"/>
              <a:cs typeface="Times New Roman" pitchFamily="18" charset="0"/>
            </a:rPr>
            <a:t>42,06 mln EUR (86%) </a:t>
          </a:r>
          <a:r>
            <a:rPr lang="pl-PL" sz="1100" b="0" dirty="0" smtClean="0">
              <a:latin typeface="Times New Roman" pitchFamily="18" charset="0"/>
              <a:cs typeface="Times New Roman" pitchFamily="18" charset="0"/>
            </a:rPr>
            <a:t>dofinansowanie</a:t>
          </a:r>
        </a:p>
        <a:p>
          <a:r>
            <a:rPr lang="pl-PL" sz="1100" b="1" dirty="0" smtClean="0">
              <a:latin typeface="Times New Roman" pitchFamily="18" charset="0"/>
              <a:cs typeface="Times New Roman" pitchFamily="18" charset="0"/>
            </a:rPr>
            <a:t>28,76 mln EUR </a:t>
          </a:r>
          <a:r>
            <a:rPr lang="pl-PL" sz="1100" b="0" dirty="0" smtClean="0">
              <a:latin typeface="Times New Roman" pitchFamily="18" charset="0"/>
              <a:cs typeface="Times New Roman" pitchFamily="18" charset="0"/>
            </a:rPr>
            <a:t>płatności</a:t>
          </a:r>
          <a:endParaRPr lang="pl-PL" sz="1100" b="0" dirty="0">
            <a:latin typeface="Times New Roman" pitchFamily="18" charset="0"/>
            <a:cs typeface="Times New Roman" pitchFamily="18" charset="0"/>
          </a:endParaRPr>
        </a:p>
      </dgm:t>
    </dgm:pt>
    <dgm:pt modelId="{CF06DC98-24D9-43B6-A2BF-FFAAF011AE63}" type="parTrans" cxnId="{3810F561-EC7F-4CDB-86CA-100F63402716}">
      <dgm:prSet/>
      <dgm:spPr/>
      <dgm:t>
        <a:bodyPr/>
        <a:lstStyle/>
        <a:p>
          <a:endParaRPr lang="pl-PL"/>
        </a:p>
      </dgm:t>
    </dgm:pt>
    <dgm:pt modelId="{47B62744-EF95-4A53-B052-752AB167535A}" type="sibTrans" cxnId="{3810F561-EC7F-4CDB-86CA-100F63402716}">
      <dgm:prSet/>
      <dgm:spPr/>
      <dgm:t>
        <a:bodyPr/>
        <a:lstStyle/>
        <a:p>
          <a:endParaRPr lang="pl-PL"/>
        </a:p>
      </dgm:t>
    </dgm:pt>
    <dgm:pt modelId="{917D16ED-B29A-4A88-8697-0C3E93B446A0}" type="pres">
      <dgm:prSet presAssocID="{CAA76E41-9A83-4BB0-A6CD-0D325ED96764}" presName="hierChild1" presStyleCnt="0">
        <dgm:presLayoutVars>
          <dgm:chPref val="1"/>
          <dgm:dir/>
          <dgm:animOne val="branch"/>
          <dgm:animLvl val="lvl"/>
          <dgm:resizeHandles/>
        </dgm:presLayoutVars>
      </dgm:prSet>
      <dgm:spPr/>
      <dgm:t>
        <a:bodyPr/>
        <a:lstStyle/>
        <a:p>
          <a:endParaRPr lang="pl-PL"/>
        </a:p>
      </dgm:t>
    </dgm:pt>
    <dgm:pt modelId="{14CC7A80-C09C-48F5-9785-55DE81098B6C}" type="pres">
      <dgm:prSet presAssocID="{7743B988-F0AC-46D0-AB29-581B1F7F1687}" presName="hierRoot1" presStyleCnt="0"/>
      <dgm:spPr/>
      <dgm:t>
        <a:bodyPr/>
        <a:lstStyle/>
        <a:p>
          <a:endParaRPr lang="pl-PL"/>
        </a:p>
      </dgm:t>
    </dgm:pt>
    <dgm:pt modelId="{7D9DCDDA-CEF3-4767-A086-F173D24983A6}" type="pres">
      <dgm:prSet presAssocID="{7743B988-F0AC-46D0-AB29-581B1F7F1687}" presName="composite" presStyleCnt="0"/>
      <dgm:spPr/>
      <dgm:t>
        <a:bodyPr/>
        <a:lstStyle/>
        <a:p>
          <a:endParaRPr lang="pl-PL"/>
        </a:p>
      </dgm:t>
    </dgm:pt>
    <dgm:pt modelId="{6153A06A-C339-4EB3-A189-6786FB6DA1EE}" type="pres">
      <dgm:prSet presAssocID="{7743B988-F0AC-46D0-AB29-581B1F7F1687}" presName="background" presStyleLbl="node0" presStyleIdx="0" presStyleCnt="1"/>
      <dgm:spPr/>
      <dgm:t>
        <a:bodyPr/>
        <a:lstStyle/>
        <a:p>
          <a:endParaRPr lang="pl-PL"/>
        </a:p>
      </dgm:t>
    </dgm:pt>
    <dgm:pt modelId="{B771203E-8DF7-4205-8E32-8B8FADE1CC3D}" type="pres">
      <dgm:prSet presAssocID="{7743B988-F0AC-46D0-AB29-581B1F7F1687}" presName="text" presStyleLbl="fgAcc0" presStyleIdx="0" presStyleCnt="1" custScaleX="289927" custScaleY="172931" custLinFactNeighborX="-7588" custLinFactNeighborY="1246">
        <dgm:presLayoutVars>
          <dgm:chPref val="3"/>
        </dgm:presLayoutVars>
      </dgm:prSet>
      <dgm:spPr/>
      <dgm:t>
        <a:bodyPr/>
        <a:lstStyle/>
        <a:p>
          <a:endParaRPr lang="pl-PL"/>
        </a:p>
      </dgm:t>
    </dgm:pt>
    <dgm:pt modelId="{CBBF4422-229D-4F3C-927D-83D9969DAA30}" type="pres">
      <dgm:prSet presAssocID="{7743B988-F0AC-46D0-AB29-581B1F7F1687}" presName="hierChild2" presStyleCnt="0"/>
      <dgm:spPr/>
      <dgm:t>
        <a:bodyPr/>
        <a:lstStyle/>
        <a:p>
          <a:endParaRPr lang="pl-PL"/>
        </a:p>
      </dgm:t>
    </dgm:pt>
    <dgm:pt modelId="{A60BBDE4-7335-4021-BFAE-019E56A023B2}" type="pres">
      <dgm:prSet presAssocID="{0349B53E-3E94-4672-A10C-A5AAE4C3F335}" presName="Name10" presStyleLbl="parChTrans1D2" presStyleIdx="0" presStyleCnt="3"/>
      <dgm:spPr/>
      <dgm:t>
        <a:bodyPr/>
        <a:lstStyle/>
        <a:p>
          <a:endParaRPr lang="pl-PL"/>
        </a:p>
      </dgm:t>
    </dgm:pt>
    <dgm:pt modelId="{AEBC5766-D448-46F9-A8F1-DFBF4AF52F17}" type="pres">
      <dgm:prSet presAssocID="{A17AE715-EA34-4023-98B7-E41502B9B236}" presName="hierRoot2" presStyleCnt="0"/>
      <dgm:spPr/>
      <dgm:t>
        <a:bodyPr/>
        <a:lstStyle/>
        <a:p>
          <a:endParaRPr lang="pl-PL"/>
        </a:p>
      </dgm:t>
    </dgm:pt>
    <dgm:pt modelId="{97D78571-FA5A-41A8-984F-7BA513F4B770}" type="pres">
      <dgm:prSet presAssocID="{A17AE715-EA34-4023-98B7-E41502B9B236}" presName="composite2" presStyleCnt="0"/>
      <dgm:spPr/>
      <dgm:t>
        <a:bodyPr/>
        <a:lstStyle/>
        <a:p>
          <a:endParaRPr lang="pl-PL"/>
        </a:p>
      </dgm:t>
    </dgm:pt>
    <dgm:pt modelId="{43525AA2-7C9D-4D26-A343-EB7E8E06A996}" type="pres">
      <dgm:prSet presAssocID="{A17AE715-EA34-4023-98B7-E41502B9B236}" presName="background2" presStyleLbl="node2" presStyleIdx="0" presStyleCnt="3"/>
      <dgm:spPr/>
      <dgm:t>
        <a:bodyPr/>
        <a:lstStyle/>
        <a:p>
          <a:endParaRPr lang="pl-PL"/>
        </a:p>
      </dgm:t>
    </dgm:pt>
    <dgm:pt modelId="{D5A6BAC2-671C-410A-9505-EFF4AE58FA6F}" type="pres">
      <dgm:prSet presAssocID="{A17AE715-EA34-4023-98B7-E41502B9B236}" presName="text2" presStyleLbl="fgAcc2" presStyleIdx="0" presStyleCnt="3" custScaleX="157598" custScaleY="262616" custLinFactNeighborX="-11596" custLinFactNeighborY="-3857">
        <dgm:presLayoutVars>
          <dgm:chPref val="3"/>
        </dgm:presLayoutVars>
      </dgm:prSet>
      <dgm:spPr/>
      <dgm:t>
        <a:bodyPr/>
        <a:lstStyle/>
        <a:p>
          <a:endParaRPr lang="pl-PL"/>
        </a:p>
      </dgm:t>
    </dgm:pt>
    <dgm:pt modelId="{48D8F62F-DD99-4854-89FB-81FC98850E3C}" type="pres">
      <dgm:prSet presAssocID="{A17AE715-EA34-4023-98B7-E41502B9B236}" presName="hierChild3" presStyleCnt="0"/>
      <dgm:spPr/>
      <dgm:t>
        <a:bodyPr/>
        <a:lstStyle/>
        <a:p>
          <a:endParaRPr lang="pl-PL"/>
        </a:p>
      </dgm:t>
    </dgm:pt>
    <dgm:pt modelId="{B798FF5D-036E-4488-AFD3-770CDE76F8ED}" type="pres">
      <dgm:prSet presAssocID="{454ADD98-DD88-4A70-8ACF-953245855806}" presName="Name10" presStyleLbl="parChTrans1D2" presStyleIdx="1" presStyleCnt="3"/>
      <dgm:spPr/>
      <dgm:t>
        <a:bodyPr/>
        <a:lstStyle/>
        <a:p>
          <a:endParaRPr lang="pl-PL"/>
        </a:p>
      </dgm:t>
    </dgm:pt>
    <dgm:pt modelId="{C59F5C2A-4B45-4719-9177-A9D86A95D5CC}" type="pres">
      <dgm:prSet presAssocID="{8B34730D-7C7A-4AEB-AA45-2ABCEEC8B41D}" presName="hierRoot2" presStyleCnt="0"/>
      <dgm:spPr/>
      <dgm:t>
        <a:bodyPr/>
        <a:lstStyle/>
        <a:p>
          <a:endParaRPr lang="pl-PL"/>
        </a:p>
      </dgm:t>
    </dgm:pt>
    <dgm:pt modelId="{1F7C11E2-66FD-4C5F-94B6-8B0FBD345B60}" type="pres">
      <dgm:prSet presAssocID="{8B34730D-7C7A-4AEB-AA45-2ABCEEC8B41D}" presName="composite2" presStyleCnt="0"/>
      <dgm:spPr/>
      <dgm:t>
        <a:bodyPr/>
        <a:lstStyle/>
        <a:p>
          <a:endParaRPr lang="pl-PL"/>
        </a:p>
      </dgm:t>
    </dgm:pt>
    <dgm:pt modelId="{3C65DEDE-82B1-497B-AFF2-165152FF352B}" type="pres">
      <dgm:prSet presAssocID="{8B34730D-7C7A-4AEB-AA45-2ABCEEC8B41D}" presName="background2" presStyleLbl="node2" presStyleIdx="1" presStyleCnt="3"/>
      <dgm:spPr/>
      <dgm:t>
        <a:bodyPr/>
        <a:lstStyle/>
        <a:p>
          <a:endParaRPr lang="pl-PL"/>
        </a:p>
      </dgm:t>
    </dgm:pt>
    <dgm:pt modelId="{814AA9A0-4B4D-4570-B280-0D2D27369AAD}" type="pres">
      <dgm:prSet presAssocID="{8B34730D-7C7A-4AEB-AA45-2ABCEEC8B41D}" presName="text2" presStyleLbl="fgAcc2" presStyleIdx="1" presStyleCnt="3" custScaleX="139122" custScaleY="266207" custLinFactNeighborX="-3370" custLinFactNeighborY="76">
        <dgm:presLayoutVars>
          <dgm:chPref val="3"/>
        </dgm:presLayoutVars>
      </dgm:prSet>
      <dgm:spPr/>
      <dgm:t>
        <a:bodyPr/>
        <a:lstStyle/>
        <a:p>
          <a:endParaRPr lang="pl-PL"/>
        </a:p>
      </dgm:t>
    </dgm:pt>
    <dgm:pt modelId="{61311B9B-FCE2-4F8D-BDF2-E8B464B64D6C}" type="pres">
      <dgm:prSet presAssocID="{8B34730D-7C7A-4AEB-AA45-2ABCEEC8B41D}" presName="hierChild3" presStyleCnt="0"/>
      <dgm:spPr/>
      <dgm:t>
        <a:bodyPr/>
        <a:lstStyle/>
        <a:p>
          <a:endParaRPr lang="pl-PL"/>
        </a:p>
      </dgm:t>
    </dgm:pt>
    <dgm:pt modelId="{511717CF-46C5-4059-BE21-3A85AA1C76DD}" type="pres">
      <dgm:prSet presAssocID="{CF06DC98-24D9-43B6-A2BF-FFAAF011AE63}" presName="Name10" presStyleLbl="parChTrans1D2" presStyleIdx="2" presStyleCnt="3"/>
      <dgm:spPr/>
      <dgm:t>
        <a:bodyPr/>
        <a:lstStyle/>
        <a:p>
          <a:endParaRPr lang="pl-PL"/>
        </a:p>
      </dgm:t>
    </dgm:pt>
    <dgm:pt modelId="{A0575924-D3D4-4B77-9BF9-C350E3120C69}" type="pres">
      <dgm:prSet presAssocID="{C452AB0E-5387-49D7-97C0-A64186A580F1}" presName="hierRoot2" presStyleCnt="0"/>
      <dgm:spPr/>
      <dgm:t>
        <a:bodyPr/>
        <a:lstStyle/>
        <a:p>
          <a:endParaRPr lang="pl-PL"/>
        </a:p>
      </dgm:t>
    </dgm:pt>
    <dgm:pt modelId="{E659DF18-0EFE-45D2-AE9F-E40ADA64AE27}" type="pres">
      <dgm:prSet presAssocID="{C452AB0E-5387-49D7-97C0-A64186A580F1}" presName="composite2" presStyleCnt="0"/>
      <dgm:spPr/>
      <dgm:t>
        <a:bodyPr/>
        <a:lstStyle/>
        <a:p>
          <a:endParaRPr lang="pl-PL"/>
        </a:p>
      </dgm:t>
    </dgm:pt>
    <dgm:pt modelId="{63651AB7-1BFF-4160-A702-17D9C41E3A29}" type="pres">
      <dgm:prSet presAssocID="{C452AB0E-5387-49D7-97C0-A64186A580F1}" presName="background2" presStyleLbl="node2" presStyleIdx="2" presStyleCnt="3"/>
      <dgm:spPr/>
      <dgm:t>
        <a:bodyPr/>
        <a:lstStyle/>
        <a:p>
          <a:endParaRPr lang="pl-PL"/>
        </a:p>
      </dgm:t>
    </dgm:pt>
    <dgm:pt modelId="{5BF28909-8113-4A0A-B169-1F5AEE505A9A}" type="pres">
      <dgm:prSet presAssocID="{C452AB0E-5387-49D7-97C0-A64186A580F1}" presName="text2" presStyleLbl="fgAcc2" presStyleIdx="2" presStyleCnt="3" custScaleX="131254" custScaleY="258561" custLinFactNeighborX="491" custLinFactNeighborY="-1292">
        <dgm:presLayoutVars>
          <dgm:chPref val="3"/>
        </dgm:presLayoutVars>
      </dgm:prSet>
      <dgm:spPr/>
      <dgm:t>
        <a:bodyPr/>
        <a:lstStyle/>
        <a:p>
          <a:endParaRPr lang="pl-PL"/>
        </a:p>
      </dgm:t>
    </dgm:pt>
    <dgm:pt modelId="{765811BC-C0C1-46DC-AB84-BA1B7CE8F9D5}" type="pres">
      <dgm:prSet presAssocID="{C452AB0E-5387-49D7-97C0-A64186A580F1}" presName="hierChild3" presStyleCnt="0"/>
      <dgm:spPr/>
      <dgm:t>
        <a:bodyPr/>
        <a:lstStyle/>
        <a:p>
          <a:endParaRPr lang="pl-PL"/>
        </a:p>
      </dgm:t>
    </dgm:pt>
  </dgm:ptLst>
  <dgm:cxnLst>
    <dgm:cxn modelId="{FFEDE588-98F7-4D12-9478-AC54824FA4F3}" type="presOf" srcId="{0349B53E-3E94-4672-A10C-A5AAE4C3F335}" destId="{A60BBDE4-7335-4021-BFAE-019E56A023B2}" srcOrd="0" destOrd="0" presId="urn:microsoft.com/office/officeart/2005/8/layout/hierarchy1"/>
    <dgm:cxn modelId="{AB1DC298-BB39-49C3-AA81-DEFA009A0612}" type="presOf" srcId="{A17AE715-EA34-4023-98B7-E41502B9B236}" destId="{D5A6BAC2-671C-410A-9505-EFF4AE58FA6F}" srcOrd="0" destOrd="0" presId="urn:microsoft.com/office/officeart/2005/8/layout/hierarchy1"/>
    <dgm:cxn modelId="{AB83FF53-FA9B-4E7E-89A8-CA7999179FDA}" type="presOf" srcId="{8B34730D-7C7A-4AEB-AA45-2ABCEEC8B41D}" destId="{814AA9A0-4B4D-4570-B280-0D2D27369AAD}" srcOrd="0" destOrd="0" presId="urn:microsoft.com/office/officeart/2005/8/layout/hierarchy1"/>
    <dgm:cxn modelId="{844A4107-08AF-4893-A59C-6407EE6E9D45}" type="presOf" srcId="{7743B988-F0AC-46D0-AB29-581B1F7F1687}" destId="{B771203E-8DF7-4205-8E32-8B8FADE1CC3D}" srcOrd="0" destOrd="0" presId="urn:microsoft.com/office/officeart/2005/8/layout/hierarchy1"/>
    <dgm:cxn modelId="{0002560D-C1AB-453A-9F23-DE147779ECB1}" srcId="{7743B988-F0AC-46D0-AB29-581B1F7F1687}" destId="{8B34730D-7C7A-4AEB-AA45-2ABCEEC8B41D}" srcOrd="1" destOrd="0" parTransId="{454ADD98-DD88-4A70-8ACF-953245855806}" sibTransId="{7B9CDCDD-B78C-4DF0-977B-8CA9AD76156B}"/>
    <dgm:cxn modelId="{F112FC11-9486-484B-BF6D-7CF5289CD4E9}" type="presOf" srcId="{454ADD98-DD88-4A70-8ACF-953245855806}" destId="{B798FF5D-036E-4488-AFD3-770CDE76F8ED}" srcOrd="0" destOrd="0" presId="urn:microsoft.com/office/officeart/2005/8/layout/hierarchy1"/>
    <dgm:cxn modelId="{D8679739-0EBD-4185-A869-ADB702CAFA7A}" srcId="{CAA76E41-9A83-4BB0-A6CD-0D325ED96764}" destId="{7743B988-F0AC-46D0-AB29-581B1F7F1687}" srcOrd="0" destOrd="0" parTransId="{ACF1F7B0-F09E-4E6F-8533-80B41A5D31B7}" sibTransId="{649CF6C4-CCF7-4CE8-8CCA-39627D11023F}"/>
    <dgm:cxn modelId="{A6246023-F563-4DAF-84C0-7739FAF70415}" type="presOf" srcId="{CF06DC98-24D9-43B6-A2BF-FFAAF011AE63}" destId="{511717CF-46C5-4059-BE21-3A85AA1C76DD}" srcOrd="0" destOrd="0" presId="urn:microsoft.com/office/officeart/2005/8/layout/hierarchy1"/>
    <dgm:cxn modelId="{3810F561-EC7F-4CDB-86CA-100F63402716}" srcId="{7743B988-F0AC-46D0-AB29-581B1F7F1687}" destId="{C452AB0E-5387-49D7-97C0-A64186A580F1}" srcOrd="2" destOrd="0" parTransId="{CF06DC98-24D9-43B6-A2BF-FFAAF011AE63}" sibTransId="{47B62744-EF95-4A53-B052-752AB167535A}"/>
    <dgm:cxn modelId="{0FE956D9-B6BD-4A6A-B415-0E8DA6EC6863}" type="presOf" srcId="{CAA76E41-9A83-4BB0-A6CD-0D325ED96764}" destId="{917D16ED-B29A-4A88-8697-0C3E93B446A0}" srcOrd="0" destOrd="0" presId="urn:microsoft.com/office/officeart/2005/8/layout/hierarchy1"/>
    <dgm:cxn modelId="{CBC25D2B-C609-48C7-A6C2-04E2525BAADA}" srcId="{7743B988-F0AC-46D0-AB29-581B1F7F1687}" destId="{A17AE715-EA34-4023-98B7-E41502B9B236}" srcOrd="0" destOrd="0" parTransId="{0349B53E-3E94-4672-A10C-A5AAE4C3F335}" sibTransId="{AD04A19B-61BC-4BAD-8613-6C72E2436F44}"/>
    <dgm:cxn modelId="{7C0BB0B5-F265-4BC7-8069-B411F54C2214}" type="presOf" srcId="{C452AB0E-5387-49D7-97C0-A64186A580F1}" destId="{5BF28909-8113-4A0A-B169-1F5AEE505A9A}" srcOrd="0" destOrd="0" presId="urn:microsoft.com/office/officeart/2005/8/layout/hierarchy1"/>
    <dgm:cxn modelId="{E19817C2-FAA6-423E-A5E2-62978DD3992B}" type="presParOf" srcId="{917D16ED-B29A-4A88-8697-0C3E93B446A0}" destId="{14CC7A80-C09C-48F5-9785-55DE81098B6C}" srcOrd="0" destOrd="0" presId="urn:microsoft.com/office/officeart/2005/8/layout/hierarchy1"/>
    <dgm:cxn modelId="{8EF216A4-AF94-4E12-837A-BF2FBFFFD164}" type="presParOf" srcId="{14CC7A80-C09C-48F5-9785-55DE81098B6C}" destId="{7D9DCDDA-CEF3-4767-A086-F173D24983A6}" srcOrd="0" destOrd="0" presId="urn:microsoft.com/office/officeart/2005/8/layout/hierarchy1"/>
    <dgm:cxn modelId="{D7BF1736-C8C2-421B-8083-1070CF4D3EF4}" type="presParOf" srcId="{7D9DCDDA-CEF3-4767-A086-F173D24983A6}" destId="{6153A06A-C339-4EB3-A189-6786FB6DA1EE}" srcOrd="0" destOrd="0" presId="urn:microsoft.com/office/officeart/2005/8/layout/hierarchy1"/>
    <dgm:cxn modelId="{EFF66373-E7BE-41D7-958C-1FEB066FD64F}" type="presParOf" srcId="{7D9DCDDA-CEF3-4767-A086-F173D24983A6}" destId="{B771203E-8DF7-4205-8E32-8B8FADE1CC3D}" srcOrd="1" destOrd="0" presId="urn:microsoft.com/office/officeart/2005/8/layout/hierarchy1"/>
    <dgm:cxn modelId="{0537B52A-E855-4C4C-859F-085E408AE2B2}" type="presParOf" srcId="{14CC7A80-C09C-48F5-9785-55DE81098B6C}" destId="{CBBF4422-229D-4F3C-927D-83D9969DAA30}" srcOrd="1" destOrd="0" presId="urn:microsoft.com/office/officeart/2005/8/layout/hierarchy1"/>
    <dgm:cxn modelId="{29633504-CC40-46E6-87C5-CE794E5CD53E}" type="presParOf" srcId="{CBBF4422-229D-4F3C-927D-83D9969DAA30}" destId="{A60BBDE4-7335-4021-BFAE-019E56A023B2}" srcOrd="0" destOrd="0" presId="urn:microsoft.com/office/officeart/2005/8/layout/hierarchy1"/>
    <dgm:cxn modelId="{10D0FF32-1954-4710-A339-59F1E9E4E338}" type="presParOf" srcId="{CBBF4422-229D-4F3C-927D-83D9969DAA30}" destId="{AEBC5766-D448-46F9-A8F1-DFBF4AF52F17}" srcOrd="1" destOrd="0" presId="urn:microsoft.com/office/officeart/2005/8/layout/hierarchy1"/>
    <dgm:cxn modelId="{54CF6BF0-9166-4B33-8C5E-937652392980}" type="presParOf" srcId="{AEBC5766-D448-46F9-A8F1-DFBF4AF52F17}" destId="{97D78571-FA5A-41A8-984F-7BA513F4B770}" srcOrd="0" destOrd="0" presId="urn:microsoft.com/office/officeart/2005/8/layout/hierarchy1"/>
    <dgm:cxn modelId="{B57BCDFD-2F30-4622-8ACB-6D44A28D44D5}" type="presParOf" srcId="{97D78571-FA5A-41A8-984F-7BA513F4B770}" destId="{43525AA2-7C9D-4D26-A343-EB7E8E06A996}" srcOrd="0" destOrd="0" presId="urn:microsoft.com/office/officeart/2005/8/layout/hierarchy1"/>
    <dgm:cxn modelId="{E0F32EEE-0FA5-4DC5-A41D-DA8D74E0EEFE}" type="presParOf" srcId="{97D78571-FA5A-41A8-984F-7BA513F4B770}" destId="{D5A6BAC2-671C-410A-9505-EFF4AE58FA6F}" srcOrd="1" destOrd="0" presId="urn:microsoft.com/office/officeart/2005/8/layout/hierarchy1"/>
    <dgm:cxn modelId="{BE81EAA7-7314-415D-A02D-0C43EFB78124}" type="presParOf" srcId="{AEBC5766-D448-46F9-A8F1-DFBF4AF52F17}" destId="{48D8F62F-DD99-4854-89FB-81FC98850E3C}" srcOrd="1" destOrd="0" presId="urn:microsoft.com/office/officeart/2005/8/layout/hierarchy1"/>
    <dgm:cxn modelId="{32806351-48A4-4441-BF7D-58CAE590907E}" type="presParOf" srcId="{CBBF4422-229D-4F3C-927D-83D9969DAA30}" destId="{B798FF5D-036E-4488-AFD3-770CDE76F8ED}" srcOrd="2" destOrd="0" presId="urn:microsoft.com/office/officeart/2005/8/layout/hierarchy1"/>
    <dgm:cxn modelId="{29A9A4DC-53BD-455F-BA1C-6EEC58E9CC82}" type="presParOf" srcId="{CBBF4422-229D-4F3C-927D-83D9969DAA30}" destId="{C59F5C2A-4B45-4719-9177-A9D86A95D5CC}" srcOrd="3" destOrd="0" presId="urn:microsoft.com/office/officeart/2005/8/layout/hierarchy1"/>
    <dgm:cxn modelId="{508286E6-7750-47B7-B1FA-E15566814268}" type="presParOf" srcId="{C59F5C2A-4B45-4719-9177-A9D86A95D5CC}" destId="{1F7C11E2-66FD-4C5F-94B6-8B0FBD345B60}" srcOrd="0" destOrd="0" presId="urn:microsoft.com/office/officeart/2005/8/layout/hierarchy1"/>
    <dgm:cxn modelId="{0C28DC4D-1C3B-42F5-BBD5-0AC351886BE0}" type="presParOf" srcId="{1F7C11E2-66FD-4C5F-94B6-8B0FBD345B60}" destId="{3C65DEDE-82B1-497B-AFF2-165152FF352B}" srcOrd="0" destOrd="0" presId="urn:microsoft.com/office/officeart/2005/8/layout/hierarchy1"/>
    <dgm:cxn modelId="{9AE75628-0DF5-4D39-A4E4-64575AC40FCB}" type="presParOf" srcId="{1F7C11E2-66FD-4C5F-94B6-8B0FBD345B60}" destId="{814AA9A0-4B4D-4570-B280-0D2D27369AAD}" srcOrd="1" destOrd="0" presId="urn:microsoft.com/office/officeart/2005/8/layout/hierarchy1"/>
    <dgm:cxn modelId="{BBDDCEB8-23F6-436E-ADE0-38C64272249C}" type="presParOf" srcId="{C59F5C2A-4B45-4719-9177-A9D86A95D5CC}" destId="{61311B9B-FCE2-4F8D-BDF2-E8B464B64D6C}" srcOrd="1" destOrd="0" presId="urn:microsoft.com/office/officeart/2005/8/layout/hierarchy1"/>
    <dgm:cxn modelId="{D5C55F3B-16FA-4B7C-8572-2962141FB9F9}" type="presParOf" srcId="{CBBF4422-229D-4F3C-927D-83D9969DAA30}" destId="{511717CF-46C5-4059-BE21-3A85AA1C76DD}" srcOrd="4" destOrd="0" presId="urn:microsoft.com/office/officeart/2005/8/layout/hierarchy1"/>
    <dgm:cxn modelId="{86D9AE31-0651-4B29-95EC-C219A936E3A0}" type="presParOf" srcId="{CBBF4422-229D-4F3C-927D-83D9969DAA30}" destId="{A0575924-D3D4-4B77-9BF9-C350E3120C69}" srcOrd="5" destOrd="0" presId="urn:microsoft.com/office/officeart/2005/8/layout/hierarchy1"/>
    <dgm:cxn modelId="{5118956C-AFD5-4882-A417-0F010E1C7538}" type="presParOf" srcId="{A0575924-D3D4-4B77-9BF9-C350E3120C69}" destId="{E659DF18-0EFE-45D2-AE9F-E40ADA64AE27}" srcOrd="0" destOrd="0" presId="urn:microsoft.com/office/officeart/2005/8/layout/hierarchy1"/>
    <dgm:cxn modelId="{F9B664B9-B3C5-4C0A-94F2-7CD22011EDC0}" type="presParOf" srcId="{E659DF18-0EFE-45D2-AE9F-E40ADA64AE27}" destId="{63651AB7-1BFF-4160-A702-17D9C41E3A29}" srcOrd="0" destOrd="0" presId="urn:microsoft.com/office/officeart/2005/8/layout/hierarchy1"/>
    <dgm:cxn modelId="{FE176820-D7E1-42B7-9549-93E2875026E6}" type="presParOf" srcId="{E659DF18-0EFE-45D2-AE9F-E40ADA64AE27}" destId="{5BF28909-8113-4A0A-B169-1F5AEE505A9A}" srcOrd="1" destOrd="0" presId="urn:microsoft.com/office/officeart/2005/8/layout/hierarchy1"/>
    <dgm:cxn modelId="{B76104CD-CE9B-43D3-8E30-1E2EBDC13434}" type="presParOf" srcId="{A0575924-D3D4-4B77-9BF9-C350E3120C69}" destId="{765811BC-C0C1-46DC-AB84-BA1B7CE8F9D5}" srcOrd="1" destOrd="0" presId="urn:microsoft.com/office/officeart/2005/8/layout/hierarchy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9B596A5-798B-4F41-AD2F-F848579601B4}"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endParaRPr lang="pl-PL"/>
        </a:p>
      </dgm:t>
    </dgm:pt>
    <dgm:pt modelId="{40236DF7-C2C5-415A-ACC2-CA7C3B469FFE}">
      <dgm:prSet phldrT="[Tekst]" custT="1"/>
      <dgm:spPr/>
      <dgm:t>
        <a:bodyPr/>
        <a:lstStyle/>
        <a:p>
          <a:r>
            <a:rPr lang="pl-PL" sz="1200" b="1" dirty="0" smtClean="0">
              <a:latin typeface="Times New Roman" pitchFamily="18" charset="0"/>
              <a:cs typeface="Times New Roman" pitchFamily="18" charset="0"/>
            </a:rPr>
            <a:t>PRIORYTET VIII    </a:t>
          </a:r>
        </a:p>
        <a:p>
          <a:r>
            <a:rPr lang="pl-PL" sz="1200" b="1" dirty="0" smtClean="0">
              <a:latin typeface="Times New Roman" pitchFamily="18" charset="0"/>
              <a:cs typeface="Times New Roman" pitchFamily="18" charset="0"/>
            </a:rPr>
            <a:t>77</a:t>
          </a:r>
          <a:r>
            <a:rPr lang="pl-PL" sz="1200" dirty="0" smtClean="0">
              <a:latin typeface="Times New Roman" pitchFamily="18" charset="0"/>
              <a:cs typeface="Times New Roman" pitchFamily="18" charset="0"/>
            </a:rPr>
            <a:t> umów </a:t>
          </a:r>
        </a:p>
        <a:p>
          <a:r>
            <a:rPr lang="pl-PL" sz="1200" b="1" dirty="0" smtClean="0">
              <a:latin typeface="Times New Roman" pitchFamily="18" charset="0"/>
              <a:cs typeface="Times New Roman" pitchFamily="18" charset="0"/>
            </a:rPr>
            <a:t>87,68 mln EUR </a:t>
          </a:r>
          <a:r>
            <a:rPr lang="pl-PL" sz="1200" dirty="0" smtClean="0">
              <a:latin typeface="Times New Roman" pitchFamily="18" charset="0"/>
              <a:cs typeface="Times New Roman" pitchFamily="18" charset="0"/>
            </a:rPr>
            <a:t>wartość</a:t>
          </a:r>
          <a:br>
            <a:rPr lang="pl-PL" sz="1200" dirty="0" smtClean="0">
              <a:latin typeface="Times New Roman" pitchFamily="18" charset="0"/>
              <a:cs typeface="Times New Roman" pitchFamily="18" charset="0"/>
            </a:rPr>
          </a:br>
          <a:r>
            <a:rPr lang="pl-PL" sz="1200" b="1" dirty="0" smtClean="0">
              <a:latin typeface="Times New Roman" pitchFamily="18" charset="0"/>
              <a:cs typeface="Times New Roman" pitchFamily="18" charset="0"/>
            </a:rPr>
            <a:t>69,65 mln EUR </a:t>
          </a:r>
          <a:r>
            <a:rPr lang="pl-PL" sz="1200" b="0" dirty="0" smtClean="0">
              <a:latin typeface="Times New Roman" pitchFamily="18" charset="0"/>
              <a:cs typeface="Times New Roman" pitchFamily="18" charset="0"/>
            </a:rPr>
            <a:t>dofinansowanie</a:t>
          </a:r>
        </a:p>
        <a:p>
          <a:r>
            <a:rPr lang="pl-PL" sz="1200" b="1" dirty="0" smtClean="0">
              <a:latin typeface="Times New Roman" pitchFamily="18" charset="0"/>
              <a:cs typeface="Times New Roman" pitchFamily="18" charset="0"/>
            </a:rPr>
            <a:t>41,76 mln EUR </a:t>
          </a:r>
          <a:r>
            <a:rPr lang="pl-PL" sz="1200" b="0" dirty="0" smtClean="0">
              <a:latin typeface="Times New Roman" pitchFamily="18" charset="0"/>
              <a:cs typeface="Times New Roman" pitchFamily="18" charset="0"/>
            </a:rPr>
            <a:t>płatności</a:t>
          </a:r>
          <a:endParaRPr lang="pl-PL" sz="1200" b="0">
            <a:latin typeface="Times New Roman" pitchFamily="18" charset="0"/>
            <a:cs typeface="Times New Roman" pitchFamily="18" charset="0"/>
          </a:endParaRPr>
        </a:p>
      </dgm:t>
    </dgm:pt>
    <dgm:pt modelId="{97E651EE-6F13-4DB7-868E-72F8B0DF72A4}" type="parTrans" cxnId="{9B2F527E-EEBA-488C-ABC5-92CC589087B0}">
      <dgm:prSet/>
      <dgm:spPr/>
      <dgm:t>
        <a:bodyPr/>
        <a:lstStyle/>
        <a:p>
          <a:endParaRPr lang="pl-PL"/>
        </a:p>
      </dgm:t>
    </dgm:pt>
    <dgm:pt modelId="{05497653-ABCB-4DE4-82D1-BC26665E4CBB}" type="sibTrans" cxnId="{9B2F527E-EEBA-488C-ABC5-92CC589087B0}">
      <dgm:prSet/>
      <dgm:spPr/>
      <dgm:t>
        <a:bodyPr/>
        <a:lstStyle/>
        <a:p>
          <a:endParaRPr lang="pl-PL"/>
        </a:p>
      </dgm:t>
    </dgm:pt>
    <dgm:pt modelId="{BA8C7145-96E0-4BDD-A3CD-75A32D4E67B6}">
      <dgm:prSet phldrT="[Tekst]" custT="1"/>
      <dgm:spPr/>
      <dgm:t>
        <a:bodyPr/>
        <a:lstStyle/>
        <a:p>
          <a:r>
            <a:rPr lang="pl-PL" sz="1200" b="1" dirty="0" smtClean="0">
              <a:latin typeface="Times New Roman" pitchFamily="18" charset="0"/>
              <a:cs typeface="Times New Roman" pitchFamily="18" charset="0"/>
            </a:rPr>
            <a:t>KONKURSY</a:t>
          </a:r>
        </a:p>
        <a:p>
          <a:r>
            <a:rPr lang="pl-PL" sz="1100" b="1" dirty="0" smtClean="0">
              <a:latin typeface="Times New Roman" pitchFamily="18" charset="0"/>
              <a:cs typeface="Times New Roman" pitchFamily="18" charset="0"/>
            </a:rPr>
            <a:t>75 </a:t>
          </a:r>
          <a:r>
            <a:rPr lang="pl-PL" sz="1100" dirty="0" smtClean="0">
              <a:latin typeface="Times New Roman" pitchFamily="18" charset="0"/>
              <a:cs typeface="Times New Roman" pitchFamily="18" charset="0"/>
            </a:rPr>
            <a:t>umów </a:t>
          </a:r>
        </a:p>
        <a:p>
          <a:r>
            <a:rPr lang="pl-PL" sz="1100" b="1" dirty="0" smtClean="0">
              <a:latin typeface="Times New Roman" pitchFamily="18" charset="0"/>
              <a:cs typeface="Times New Roman" pitchFamily="18" charset="0"/>
            </a:rPr>
            <a:t>77,35 mln EUR </a:t>
          </a:r>
          <a:r>
            <a:rPr lang="pl-PL" sz="1100" dirty="0" smtClean="0">
              <a:latin typeface="Times New Roman" pitchFamily="18" charset="0"/>
              <a:cs typeface="Times New Roman" pitchFamily="18" charset="0"/>
            </a:rPr>
            <a:t>wartość </a:t>
          </a:r>
          <a:br>
            <a:rPr lang="pl-PL" sz="1100" dirty="0" smtClean="0">
              <a:latin typeface="Times New Roman" pitchFamily="18" charset="0"/>
              <a:cs typeface="Times New Roman" pitchFamily="18" charset="0"/>
            </a:rPr>
          </a:br>
          <a:r>
            <a:rPr lang="pl-PL" sz="1100" b="1" dirty="0" smtClean="0">
              <a:latin typeface="Times New Roman" pitchFamily="18" charset="0"/>
              <a:cs typeface="Times New Roman" pitchFamily="18" charset="0"/>
            </a:rPr>
            <a:t>60,95 mln EUR (84%) </a:t>
          </a:r>
          <a:r>
            <a:rPr lang="pl-PL" sz="1100" b="0" dirty="0" smtClean="0">
              <a:latin typeface="Times New Roman" pitchFamily="18" charset="0"/>
              <a:cs typeface="Times New Roman" pitchFamily="18" charset="0"/>
            </a:rPr>
            <a:t>dofinansowanie</a:t>
          </a:r>
        </a:p>
        <a:p>
          <a:r>
            <a:rPr lang="pl-PL" sz="1100" b="1" dirty="0" smtClean="0">
              <a:latin typeface="Times New Roman" pitchFamily="18" charset="0"/>
              <a:cs typeface="Times New Roman" pitchFamily="18" charset="0"/>
            </a:rPr>
            <a:t>39,54 mln EUR </a:t>
          </a:r>
          <a:r>
            <a:rPr lang="pl-PL" sz="1100" b="0" dirty="0" smtClean="0">
              <a:latin typeface="Times New Roman" pitchFamily="18" charset="0"/>
              <a:cs typeface="Times New Roman" pitchFamily="18" charset="0"/>
            </a:rPr>
            <a:t>płatności</a:t>
          </a:r>
          <a:endParaRPr lang="pl-PL" sz="1100" b="0">
            <a:latin typeface="Times New Roman" pitchFamily="18" charset="0"/>
            <a:cs typeface="Times New Roman" pitchFamily="18" charset="0"/>
          </a:endParaRPr>
        </a:p>
      </dgm:t>
    </dgm:pt>
    <dgm:pt modelId="{815BEDA5-3647-4D45-88B1-F0A53F963A58}" type="parTrans" cxnId="{A0B40DB7-FA63-48AD-A6FD-1391A60CB94B}">
      <dgm:prSet/>
      <dgm:spPr/>
      <dgm:t>
        <a:bodyPr/>
        <a:lstStyle/>
        <a:p>
          <a:endParaRPr lang="pl-PL"/>
        </a:p>
      </dgm:t>
    </dgm:pt>
    <dgm:pt modelId="{C4CAD21F-1F33-4439-937C-36838C98EE77}" type="sibTrans" cxnId="{A0B40DB7-FA63-48AD-A6FD-1391A60CB94B}">
      <dgm:prSet/>
      <dgm:spPr/>
      <dgm:t>
        <a:bodyPr/>
        <a:lstStyle/>
        <a:p>
          <a:endParaRPr lang="pl-PL"/>
        </a:p>
      </dgm:t>
    </dgm:pt>
    <dgm:pt modelId="{4FAD41D2-87BA-4851-8945-34A809D11451}">
      <dgm:prSet phldrT="[Tekst]" custT="1"/>
      <dgm:spPr/>
      <dgm:t>
        <a:bodyPr/>
        <a:lstStyle/>
        <a:p>
          <a:r>
            <a:rPr lang="pl-PL" sz="1200" b="1" dirty="0" smtClean="0">
              <a:latin typeface="Times New Roman" pitchFamily="18" charset="0"/>
              <a:cs typeface="Times New Roman" pitchFamily="18" charset="0"/>
            </a:rPr>
            <a:t>PK</a:t>
          </a:r>
        </a:p>
        <a:p>
          <a:r>
            <a:rPr lang="pl-PL" sz="1100" b="1" dirty="0" smtClean="0">
              <a:latin typeface="Times New Roman" pitchFamily="18" charset="0"/>
              <a:cs typeface="Times New Roman" pitchFamily="18" charset="0"/>
            </a:rPr>
            <a:t>2 </a:t>
          </a:r>
          <a:r>
            <a:rPr lang="pl-PL" sz="1100" dirty="0" smtClean="0">
              <a:latin typeface="Times New Roman" pitchFamily="18" charset="0"/>
              <a:cs typeface="Times New Roman" pitchFamily="18" charset="0"/>
            </a:rPr>
            <a:t>umowy </a:t>
          </a:r>
        </a:p>
        <a:p>
          <a:r>
            <a:rPr lang="pl-PL" sz="1100" b="1" dirty="0" smtClean="0">
              <a:latin typeface="Times New Roman" pitchFamily="18" charset="0"/>
              <a:cs typeface="Times New Roman" pitchFamily="18" charset="0"/>
            </a:rPr>
            <a:t>10,33 mln EUR </a:t>
          </a:r>
          <a:r>
            <a:rPr lang="pl-PL" sz="1100" dirty="0" smtClean="0">
              <a:latin typeface="Times New Roman" pitchFamily="18" charset="0"/>
              <a:cs typeface="Times New Roman" pitchFamily="18" charset="0"/>
            </a:rPr>
            <a:t>wartość</a:t>
          </a:r>
          <a:br>
            <a:rPr lang="pl-PL" sz="1100" dirty="0" smtClean="0">
              <a:latin typeface="Times New Roman" pitchFamily="18" charset="0"/>
              <a:cs typeface="Times New Roman" pitchFamily="18" charset="0"/>
            </a:rPr>
          </a:br>
          <a:r>
            <a:rPr lang="pl-PL" sz="1100" b="1" dirty="0" smtClean="0">
              <a:latin typeface="Times New Roman" pitchFamily="18" charset="0"/>
              <a:cs typeface="Times New Roman" pitchFamily="18" charset="0"/>
            </a:rPr>
            <a:t>8,70 mln EUR (87%)</a:t>
          </a:r>
        </a:p>
        <a:p>
          <a:r>
            <a:rPr lang="pl-PL" sz="1100" b="0" dirty="0" smtClean="0">
              <a:latin typeface="Times New Roman" pitchFamily="18" charset="0"/>
              <a:cs typeface="Times New Roman" pitchFamily="18" charset="0"/>
            </a:rPr>
            <a:t>dofinansowanie</a:t>
          </a:r>
        </a:p>
        <a:p>
          <a:r>
            <a:rPr lang="pl-PL" sz="1100" b="1" dirty="0" smtClean="0">
              <a:latin typeface="Times New Roman" pitchFamily="18" charset="0"/>
              <a:cs typeface="Times New Roman" pitchFamily="18" charset="0"/>
            </a:rPr>
            <a:t>2,22 mln EUR </a:t>
          </a:r>
          <a:r>
            <a:rPr lang="pl-PL" sz="1100" b="0" dirty="0" smtClean="0">
              <a:latin typeface="Times New Roman" pitchFamily="18" charset="0"/>
              <a:cs typeface="Times New Roman" pitchFamily="18" charset="0"/>
            </a:rPr>
            <a:t>płatności</a:t>
          </a:r>
          <a:endParaRPr lang="pl-PL" sz="1100" b="0">
            <a:latin typeface="Times New Roman" pitchFamily="18" charset="0"/>
            <a:cs typeface="Times New Roman" pitchFamily="18" charset="0"/>
          </a:endParaRPr>
        </a:p>
      </dgm:t>
    </dgm:pt>
    <dgm:pt modelId="{85481FE8-EB71-4EE6-8EAE-954F42B95524}" type="parTrans" cxnId="{17BE05F7-D2E9-4D74-AA08-B13D726E014F}">
      <dgm:prSet/>
      <dgm:spPr/>
      <dgm:t>
        <a:bodyPr/>
        <a:lstStyle/>
        <a:p>
          <a:endParaRPr lang="pl-PL"/>
        </a:p>
      </dgm:t>
    </dgm:pt>
    <dgm:pt modelId="{44D71F0D-2F97-43F6-9305-2020FA0F11F3}" type="sibTrans" cxnId="{17BE05F7-D2E9-4D74-AA08-B13D726E014F}">
      <dgm:prSet/>
      <dgm:spPr/>
      <dgm:t>
        <a:bodyPr/>
        <a:lstStyle/>
        <a:p>
          <a:endParaRPr lang="pl-PL"/>
        </a:p>
      </dgm:t>
    </dgm:pt>
    <dgm:pt modelId="{09BED3D6-FC0D-44EA-807E-86647DEF45CE}" type="pres">
      <dgm:prSet presAssocID="{D9B596A5-798B-4F41-AD2F-F848579601B4}" presName="hierChild1" presStyleCnt="0">
        <dgm:presLayoutVars>
          <dgm:chPref val="1"/>
          <dgm:dir/>
          <dgm:animOne val="branch"/>
          <dgm:animLvl val="lvl"/>
          <dgm:resizeHandles/>
        </dgm:presLayoutVars>
      </dgm:prSet>
      <dgm:spPr/>
      <dgm:t>
        <a:bodyPr/>
        <a:lstStyle/>
        <a:p>
          <a:endParaRPr lang="pl-PL"/>
        </a:p>
      </dgm:t>
    </dgm:pt>
    <dgm:pt modelId="{31129675-4B43-450A-A0DB-BC4BC7B3336F}" type="pres">
      <dgm:prSet presAssocID="{40236DF7-C2C5-415A-ACC2-CA7C3B469FFE}" presName="hierRoot1" presStyleCnt="0"/>
      <dgm:spPr/>
    </dgm:pt>
    <dgm:pt modelId="{F5E193BA-0AF3-4113-81F2-43F9934057EC}" type="pres">
      <dgm:prSet presAssocID="{40236DF7-C2C5-415A-ACC2-CA7C3B469FFE}" presName="composite" presStyleCnt="0"/>
      <dgm:spPr/>
    </dgm:pt>
    <dgm:pt modelId="{BF62D4FE-EA64-49E2-8232-8039E1E81435}" type="pres">
      <dgm:prSet presAssocID="{40236DF7-C2C5-415A-ACC2-CA7C3B469FFE}" presName="background" presStyleLbl="node0" presStyleIdx="0" presStyleCnt="1"/>
      <dgm:spPr/>
    </dgm:pt>
    <dgm:pt modelId="{2B75CD9B-75AC-469E-A566-F7D66F856908}" type="pres">
      <dgm:prSet presAssocID="{40236DF7-C2C5-415A-ACC2-CA7C3B469FFE}" presName="text" presStyleLbl="fgAcc0" presStyleIdx="0" presStyleCnt="1" custScaleX="187526" custScaleY="85321" custLinFactNeighborX="-625">
        <dgm:presLayoutVars>
          <dgm:chPref val="3"/>
        </dgm:presLayoutVars>
      </dgm:prSet>
      <dgm:spPr/>
      <dgm:t>
        <a:bodyPr/>
        <a:lstStyle/>
        <a:p>
          <a:endParaRPr lang="pl-PL"/>
        </a:p>
      </dgm:t>
    </dgm:pt>
    <dgm:pt modelId="{8BB401F7-E0FA-458A-9E13-4617B0ACF7A6}" type="pres">
      <dgm:prSet presAssocID="{40236DF7-C2C5-415A-ACC2-CA7C3B469FFE}" presName="hierChild2" presStyleCnt="0"/>
      <dgm:spPr/>
    </dgm:pt>
    <dgm:pt modelId="{2A551095-1900-4D96-ACFD-9E74E765AD33}" type="pres">
      <dgm:prSet presAssocID="{815BEDA5-3647-4D45-88B1-F0A53F963A58}" presName="Name10" presStyleLbl="parChTrans1D2" presStyleIdx="0" presStyleCnt="2"/>
      <dgm:spPr/>
      <dgm:t>
        <a:bodyPr/>
        <a:lstStyle/>
        <a:p>
          <a:endParaRPr lang="pl-PL"/>
        </a:p>
      </dgm:t>
    </dgm:pt>
    <dgm:pt modelId="{69682B22-1A56-454F-846E-A2CD576C0246}" type="pres">
      <dgm:prSet presAssocID="{BA8C7145-96E0-4BDD-A3CD-75A32D4E67B6}" presName="hierRoot2" presStyleCnt="0"/>
      <dgm:spPr/>
    </dgm:pt>
    <dgm:pt modelId="{A617C3D9-C3F9-4E57-962A-635D8EADD3FD}" type="pres">
      <dgm:prSet presAssocID="{BA8C7145-96E0-4BDD-A3CD-75A32D4E67B6}" presName="composite2" presStyleCnt="0"/>
      <dgm:spPr/>
    </dgm:pt>
    <dgm:pt modelId="{2B06B423-2E98-4C1C-BB14-8CFB3FAC68C0}" type="pres">
      <dgm:prSet presAssocID="{BA8C7145-96E0-4BDD-A3CD-75A32D4E67B6}" presName="background2" presStyleLbl="node2" presStyleIdx="0" presStyleCnt="2"/>
      <dgm:spPr/>
    </dgm:pt>
    <dgm:pt modelId="{BF04710E-19CD-41F0-9DF3-DF17AD83F590}" type="pres">
      <dgm:prSet presAssocID="{BA8C7145-96E0-4BDD-A3CD-75A32D4E67B6}" presName="text2" presStyleLbl="fgAcc2" presStyleIdx="0" presStyleCnt="2" custScaleX="120150" custLinFactNeighborX="-7027" custLinFactNeighborY="250">
        <dgm:presLayoutVars>
          <dgm:chPref val="3"/>
        </dgm:presLayoutVars>
      </dgm:prSet>
      <dgm:spPr/>
      <dgm:t>
        <a:bodyPr/>
        <a:lstStyle/>
        <a:p>
          <a:endParaRPr lang="pl-PL"/>
        </a:p>
      </dgm:t>
    </dgm:pt>
    <dgm:pt modelId="{9EEC74EC-0C4D-49BC-9D7A-7EBBD1A80384}" type="pres">
      <dgm:prSet presAssocID="{BA8C7145-96E0-4BDD-A3CD-75A32D4E67B6}" presName="hierChild3" presStyleCnt="0"/>
      <dgm:spPr/>
    </dgm:pt>
    <dgm:pt modelId="{FEE42C7D-82FB-4FBA-9AB9-43B672FF0AD0}" type="pres">
      <dgm:prSet presAssocID="{85481FE8-EB71-4EE6-8EAE-954F42B95524}" presName="Name10" presStyleLbl="parChTrans1D2" presStyleIdx="1" presStyleCnt="2"/>
      <dgm:spPr/>
      <dgm:t>
        <a:bodyPr/>
        <a:lstStyle/>
        <a:p>
          <a:endParaRPr lang="pl-PL"/>
        </a:p>
      </dgm:t>
    </dgm:pt>
    <dgm:pt modelId="{5E09042A-98DF-4F58-9CDF-FE292875F8A0}" type="pres">
      <dgm:prSet presAssocID="{4FAD41D2-87BA-4851-8945-34A809D11451}" presName="hierRoot2" presStyleCnt="0"/>
      <dgm:spPr/>
    </dgm:pt>
    <dgm:pt modelId="{B6D5A2FD-EE54-40EB-AD8C-39378C917846}" type="pres">
      <dgm:prSet presAssocID="{4FAD41D2-87BA-4851-8945-34A809D11451}" presName="composite2" presStyleCnt="0"/>
      <dgm:spPr/>
    </dgm:pt>
    <dgm:pt modelId="{DCC235DF-4F14-4BF4-B1F1-93023C721E72}" type="pres">
      <dgm:prSet presAssocID="{4FAD41D2-87BA-4851-8945-34A809D11451}" presName="background2" presStyleLbl="node2" presStyleIdx="1" presStyleCnt="2"/>
      <dgm:spPr/>
    </dgm:pt>
    <dgm:pt modelId="{122B4FAF-F0B9-4835-96F3-326424C825F2}" type="pres">
      <dgm:prSet presAssocID="{4FAD41D2-87BA-4851-8945-34A809D11451}" presName="text2" presStyleLbl="fgAcc2" presStyleIdx="1" presStyleCnt="2" custScaleX="138757">
        <dgm:presLayoutVars>
          <dgm:chPref val="3"/>
        </dgm:presLayoutVars>
      </dgm:prSet>
      <dgm:spPr/>
      <dgm:t>
        <a:bodyPr/>
        <a:lstStyle/>
        <a:p>
          <a:endParaRPr lang="pl-PL"/>
        </a:p>
      </dgm:t>
    </dgm:pt>
    <dgm:pt modelId="{7E024528-56F8-4029-BB28-2C15832D9316}" type="pres">
      <dgm:prSet presAssocID="{4FAD41D2-87BA-4851-8945-34A809D11451}" presName="hierChild3" presStyleCnt="0"/>
      <dgm:spPr/>
    </dgm:pt>
  </dgm:ptLst>
  <dgm:cxnLst>
    <dgm:cxn modelId="{EDC9579C-664F-4C46-8731-4BFF6F6D773F}" type="presOf" srcId="{4FAD41D2-87BA-4851-8945-34A809D11451}" destId="{122B4FAF-F0B9-4835-96F3-326424C825F2}" srcOrd="0" destOrd="0" presId="urn:microsoft.com/office/officeart/2005/8/layout/hierarchy1"/>
    <dgm:cxn modelId="{7DD587DA-0985-46D5-B68C-A6BA967892E8}" type="presOf" srcId="{85481FE8-EB71-4EE6-8EAE-954F42B95524}" destId="{FEE42C7D-82FB-4FBA-9AB9-43B672FF0AD0}" srcOrd="0" destOrd="0" presId="urn:microsoft.com/office/officeart/2005/8/layout/hierarchy1"/>
    <dgm:cxn modelId="{AB385861-80BA-4892-9F98-5B09CADA0407}" type="presOf" srcId="{40236DF7-C2C5-415A-ACC2-CA7C3B469FFE}" destId="{2B75CD9B-75AC-469E-A566-F7D66F856908}" srcOrd="0" destOrd="0" presId="urn:microsoft.com/office/officeart/2005/8/layout/hierarchy1"/>
    <dgm:cxn modelId="{A0B40DB7-FA63-48AD-A6FD-1391A60CB94B}" srcId="{40236DF7-C2C5-415A-ACC2-CA7C3B469FFE}" destId="{BA8C7145-96E0-4BDD-A3CD-75A32D4E67B6}" srcOrd="0" destOrd="0" parTransId="{815BEDA5-3647-4D45-88B1-F0A53F963A58}" sibTransId="{C4CAD21F-1F33-4439-937C-36838C98EE77}"/>
    <dgm:cxn modelId="{9B2F527E-EEBA-488C-ABC5-92CC589087B0}" srcId="{D9B596A5-798B-4F41-AD2F-F848579601B4}" destId="{40236DF7-C2C5-415A-ACC2-CA7C3B469FFE}" srcOrd="0" destOrd="0" parTransId="{97E651EE-6F13-4DB7-868E-72F8B0DF72A4}" sibTransId="{05497653-ABCB-4DE4-82D1-BC26665E4CBB}"/>
    <dgm:cxn modelId="{2EE9BB8E-1AAD-4EF0-ADFE-A526BF8097FD}" type="presOf" srcId="{815BEDA5-3647-4D45-88B1-F0A53F963A58}" destId="{2A551095-1900-4D96-ACFD-9E74E765AD33}" srcOrd="0" destOrd="0" presId="urn:microsoft.com/office/officeart/2005/8/layout/hierarchy1"/>
    <dgm:cxn modelId="{3D467C14-AAB4-40F4-8DD5-0C5256A256DB}" type="presOf" srcId="{BA8C7145-96E0-4BDD-A3CD-75A32D4E67B6}" destId="{BF04710E-19CD-41F0-9DF3-DF17AD83F590}" srcOrd="0" destOrd="0" presId="urn:microsoft.com/office/officeart/2005/8/layout/hierarchy1"/>
    <dgm:cxn modelId="{8386EE24-5A4E-4B51-8D4A-789ABFC02E7D}" type="presOf" srcId="{D9B596A5-798B-4F41-AD2F-F848579601B4}" destId="{09BED3D6-FC0D-44EA-807E-86647DEF45CE}" srcOrd="0" destOrd="0" presId="urn:microsoft.com/office/officeart/2005/8/layout/hierarchy1"/>
    <dgm:cxn modelId="{17BE05F7-D2E9-4D74-AA08-B13D726E014F}" srcId="{40236DF7-C2C5-415A-ACC2-CA7C3B469FFE}" destId="{4FAD41D2-87BA-4851-8945-34A809D11451}" srcOrd="1" destOrd="0" parTransId="{85481FE8-EB71-4EE6-8EAE-954F42B95524}" sibTransId="{44D71F0D-2F97-43F6-9305-2020FA0F11F3}"/>
    <dgm:cxn modelId="{654BAAF5-0183-4D6B-B6B7-2D8934DB7C99}" type="presParOf" srcId="{09BED3D6-FC0D-44EA-807E-86647DEF45CE}" destId="{31129675-4B43-450A-A0DB-BC4BC7B3336F}" srcOrd="0" destOrd="0" presId="urn:microsoft.com/office/officeart/2005/8/layout/hierarchy1"/>
    <dgm:cxn modelId="{D61989A7-C45F-417E-B07C-8DDB5E953163}" type="presParOf" srcId="{31129675-4B43-450A-A0DB-BC4BC7B3336F}" destId="{F5E193BA-0AF3-4113-81F2-43F9934057EC}" srcOrd="0" destOrd="0" presId="urn:microsoft.com/office/officeart/2005/8/layout/hierarchy1"/>
    <dgm:cxn modelId="{A53E156C-DD49-4323-9FE7-9BD51B365EAC}" type="presParOf" srcId="{F5E193BA-0AF3-4113-81F2-43F9934057EC}" destId="{BF62D4FE-EA64-49E2-8232-8039E1E81435}" srcOrd="0" destOrd="0" presId="urn:microsoft.com/office/officeart/2005/8/layout/hierarchy1"/>
    <dgm:cxn modelId="{51631BAF-D2A6-4A21-AB2C-7B7D492B4E84}" type="presParOf" srcId="{F5E193BA-0AF3-4113-81F2-43F9934057EC}" destId="{2B75CD9B-75AC-469E-A566-F7D66F856908}" srcOrd="1" destOrd="0" presId="urn:microsoft.com/office/officeart/2005/8/layout/hierarchy1"/>
    <dgm:cxn modelId="{635E4586-222C-4F5F-B6BF-B408FC324A74}" type="presParOf" srcId="{31129675-4B43-450A-A0DB-BC4BC7B3336F}" destId="{8BB401F7-E0FA-458A-9E13-4617B0ACF7A6}" srcOrd="1" destOrd="0" presId="urn:microsoft.com/office/officeart/2005/8/layout/hierarchy1"/>
    <dgm:cxn modelId="{92071B33-C9A8-4B96-9CA8-4B6761FEB876}" type="presParOf" srcId="{8BB401F7-E0FA-458A-9E13-4617B0ACF7A6}" destId="{2A551095-1900-4D96-ACFD-9E74E765AD33}" srcOrd="0" destOrd="0" presId="urn:microsoft.com/office/officeart/2005/8/layout/hierarchy1"/>
    <dgm:cxn modelId="{1289A1A5-5FA3-4A85-855A-2E3D89494F25}" type="presParOf" srcId="{8BB401F7-E0FA-458A-9E13-4617B0ACF7A6}" destId="{69682B22-1A56-454F-846E-A2CD576C0246}" srcOrd="1" destOrd="0" presId="urn:microsoft.com/office/officeart/2005/8/layout/hierarchy1"/>
    <dgm:cxn modelId="{A5A0C3DE-64EF-4395-9C97-6C794A616D55}" type="presParOf" srcId="{69682B22-1A56-454F-846E-A2CD576C0246}" destId="{A617C3D9-C3F9-4E57-962A-635D8EADD3FD}" srcOrd="0" destOrd="0" presId="urn:microsoft.com/office/officeart/2005/8/layout/hierarchy1"/>
    <dgm:cxn modelId="{6A949703-A055-49EB-BE3C-12686C011F92}" type="presParOf" srcId="{A617C3D9-C3F9-4E57-962A-635D8EADD3FD}" destId="{2B06B423-2E98-4C1C-BB14-8CFB3FAC68C0}" srcOrd="0" destOrd="0" presId="urn:microsoft.com/office/officeart/2005/8/layout/hierarchy1"/>
    <dgm:cxn modelId="{273B930C-123A-4839-BCC1-032040748C8D}" type="presParOf" srcId="{A617C3D9-C3F9-4E57-962A-635D8EADD3FD}" destId="{BF04710E-19CD-41F0-9DF3-DF17AD83F590}" srcOrd="1" destOrd="0" presId="urn:microsoft.com/office/officeart/2005/8/layout/hierarchy1"/>
    <dgm:cxn modelId="{59E636B8-6F61-4124-B0BC-2C9EE93B39DB}" type="presParOf" srcId="{69682B22-1A56-454F-846E-A2CD576C0246}" destId="{9EEC74EC-0C4D-49BC-9D7A-7EBBD1A80384}" srcOrd="1" destOrd="0" presId="urn:microsoft.com/office/officeart/2005/8/layout/hierarchy1"/>
    <dgm:cxn modelId="{42237A69-2607-4B04-8F88-74F38BD00B41}" type="presParOf" srcId="{8BB401F7-E0FA-458A-9E13-4617B0ACF7A6}" destId="{FEE42C7D-82FB-4FBA-9AB9-43B672FF0AD0}" srcOrd="2" destOrd="0" presId="urn:microsoft.com/office/officeart/2005/8/layout/hierarchy1"/>
    <dgm:cxn modelId="{FDCE9A05-AD23-442F-A371-CBCBCC4B4FC7}" type="presParOf" srcId="{8BB401F7-E0FA-458A-9E13-4617B0ACF7A6}" destId="{5E09042A-98DF-4F58-9CDF-FE292875F8A0}" srcOrd="3" destOrd="0" presId="urn:microsoft.com/office/officeart/2005/8/layout/hierarchy1"/>
    <dgm:cxn modelId="{FE78AA4B-AA41-4ED3-A4D0-F16727256EB1}" type="presParOf" srcId="{5E09042A-98DF-4F58-9CDF-FE292875F8A0}" destId="{B6D5A2FD-EE54-40EB-AD8C-39378C917846}" srcOrd="0" destOrd="0" presId="urn:microsoft.com/office/officeart/2005/8/layout/hierarchy1"/>
    <dgm:cxn modelId="{B769D92F-3E03-4A02-89ED-8CABB8484B03}" type="presParOf" srcId="{B6D5A2FD-EE54-40EB-AD8C-39378C917846}" destId="{DCC235DF-4F14-4BF4-B1F1-93023C721E72}" srcOrd="0" destOrd="0" presId="urn:microsoft.com/office/officeart/2005/8/layout/hierarchy1"/>
    <dgm:cxn modelId="{7ECF6277-4D2F-406D-B77D-252A09646A49}" type="presParOf" srcId="{B6D5A2FD-EE54-40EB-AD8C-39378C917846}" destId="{122B4FAF-F0B9-4835-96F3-326424C825F2}" srcOrd="1" destOrd="0" presId="urn:microsoft.com/office/officeart/2005/8/layout/hierarchy1"/>
    <dgm:cxn modelId="{C0A29096-F05E-4D4B-8BA8-3E4E5656CF03}" type="presParOf" srcId="{5E09042A-98DF-4F58-9CDF-FE292875F8A0}" destId="{7E024528-56F8-4029-BB28-2C15832D9316}" srcOrd="1" destOrd="0" presId="urn:microsoft.com/office/officeart/2005/8/layout/hierarchy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49FA676-F65A-4091-B1CF-E4B21C84377F}" type="doc">
      <dgm:prSet loTypeId="urn:microsoft.com/office/officeart/2005/8/layout/pyramid3" loCatId="pyramid" qsTypeId="urn:microsoft.com/office/officeart/2005/8/quickstyle/simple5" qsCatId="simple" csTypeId="urn:microsoft.com/office/officeart/2005/8/colors/colorful4" csCatId="colorful" phldr="1"/>
      <dgm:spPr/>
    </dgm:pt>
    <dgm:pt modelId="{F413DBDF-65CB-4072-BE84-2ACC90D80E48}">
      <dgm:prSet phldrT="[Tekst]" custT="1"/>
      <dgm:spPr>
        <a:solidFill>
          <a:schemeClr val="accent1">
            <a:lumMod val="40000"/>
            <a:lumOff val="60000"/>
          </a:schemeClr>
        </a:solidFill>
      </dgm:spPr>
      <dgm:t>
        <a:bodyPr/>
        <a:lstStyle/>
        <a:p>
          <a:r>
            <a:rPr lang="pl-PL" sz="1200" b="1">
              <a:latin typeface="Times New Roman" pitchFamily="18" charset="0"/>
              <a:cs typeface="Times New Roman" pitchFamily="18" charset="0"/>
            </a:rPr>
            <a:t>Transport- 26.34%</a:t>
          </a:r>
        </a:p>
      </dgm:t>
    </dgm:pt>
    <dgm:pt modelId="{F6C0F401-E068-493B-AADE-569ADB7E2EFF}" type="parTrans" cxnId="{6012BA00-A0D8-4927-A216-4F1C4342ADC4}">
      <dgm:prSet/>
      <dgm:spPr/>
      <dgm:t>
        <a:bodyPr/>
        <a:lstStyle/>
        <a:p>
          <a:endParaRPr lang="pl-PL"/>
        </a:p>
      </dgm:t>
    </dgm:pt>
    <dgm:pt modelId="{C1C2F7EC-B390-41E9-B36B-7CB39095E05D}" type="sibTrans" cxnId="{6012BA00-A0D8-4927-A216-4F1C4342ADC4}">
      <dgm:prSet/>
      <dgm:spPr/>
      <dgm:t>
        <a:bodyPr/>
        <a:lstStyle/>
        <a:p>
          <a:endParaRPr lang="pl-PL"/>
        </a:p>
      </dgm:t>
    </dgm:pt>
    <dgm:pt modelId="{AFA4B149-5830-4610-8A21-313288439399}">
      <dgm:prSet phldrT="[Tekst]" custT="1"/>
      <dgm:spPr>
        <a:solidFill>
          <a:schemeClr val="bg1">
            <a:lumMod val="75000"/>
          </a:schemeClr>
        </a:solidFill>
      </dgm:spPr>
      <dgm:t>
        <a:bodyPr/>
        <a:lstStyle/>
        <a:p>
          <a:r>
            <a:rPr lang="pl-PL" sz="1200" b="1">
              <a:latin typeface="Times New Roman" pitchFamily="18" charset="0"/>
              <a:cs typeface="Times New Roman" pitchFamily="18" charset="0"/>
            </a:rPr>
            <a:t>Sustainable urban development 17.90%</a:t>
          </a:r>
        </a:p>
      </dgm:t>
    </dgm:pt>
    <dgm:pt modelId="{0CF3698E-F2DB-4EE8-A7AB-287F597B5631}" type="parTrans" cxnId="{51551D2B-2E4F-41D1-B293-E5BE91BCF293}">
      <dgm:prSet/>
      <dgm:spPr/>
      <dgm:t>
        <a:bodyPr/>
        <a:lstStyle/>
        <a:p>
          <a:endParaRPr lang="pl-PL"/>
        </a:p>
      </dgm:t>
    </dgm:pt>
    <dgm:pt modelId="{CAD95DE1-F7F2-4AD6-B015-EF69F0CDFA77}" type="sibTrans" cxnId="{51551D2B-2E4F-41D1-B293-E5BE91BCF293}">
      <dgm:prSet/>
      <dgm:spPr/>
      <dgm:t>
        <a:bodyPr/>
        <a:lstStyle/>
        <a:p>
          <a:endParaRPr lang="pl-PL"/>
        </a:p>
      </dgm:t>
    </dgm:pt>
    <dgm:pt modelId="{6E8A4D89-760C-4523-9431-77F5AF24E8E3}">
      <dgm:prSet custT="1"/>
      <dgm:spPr>
        <a:solidFill>
          <a:schemeClr val="accent1">
            <a:lumMod val="40000"/>
            <a:lumOff val="60000"/>
          </a:schemeClr>
        </a:solidFill>
      </dgm:spPr>
      <dgm:t>
        <a:bodyPr/>
        <a:lstStyle/>
        <a:p>
          <a:r>
            <a:rPr lang="pl-PL" sz="1200" b="1">
              <a:latin typeface="Times New Roman" pitchFamily="18" charset="0"/>
              <a:cs typeface="Times New Roman" pitchFamily="18" charset="0"/>
            </a:rPr>
            <a:t>R+D, Innovation, Enterprise- 16.96%</a:t>
          </a:r>
        </a:p>
      </dgm:t>
    </dgm:pt>
    <dgm:pt modelId="{B7C6F99B-86FB-4AEC-B012-D91C5C70E2BF}" type="parTrans" cxnId="{4A8CCA5E-B729-4CDD-8026-EDEFF65ABD64}">
      <dgm:prSet/>
      <dgm:spPr/>
      <dgm:t>
        <a:bodyPr/>
        <a:lstStyle/>
        <a:p>
          <a:endParaRPr lang="pl-PL"/>
        </a:p>
      </dgm:t>
    </dgm:pt>
    <dgm:pt modelId="{C694DDBB-927E-4ECF-9BF5-5A6EEC27C6EF}" type="sibTrans" cxnId="{4A8CCA5E-B729-4CDD-8026-EDEFF65ABD64}">
      <dgm:prSet/>
      <dgm:spPr/>
      <dgm:t>
        <a:bodyPr/>
        <a:lstStyle/>
        <a:p>
          <a:endParaRPr lang="pl-PL"/>
        </a:p>
      </dgm:t>
    </dgm:pt>
    <dgm:pt modelId="{BD60BC05-C339-4E8E-9517-B85E3D2C9137}">
      <dgm:prSet custT="1"/>
      <dgm:spPr>
        <a:solidFill>
          <a:schemeClr val="tx2">
            <a:lumMod val="40000"/>
            <a:lumOff val="60000"/>
          </a:schemeClr>
        </a:solidFill>
      </dgm:spPr>
      <dgm:t>
        <a:bodyPr/>
        <a:lstStyle/>
        <a:p>
          <a:r>
            <a:rPr lang="pl-PL" sz="1200" b="1">
              <a:latin typeface="Times New Roman" pitchFamily="18" charset="0"/>
              <a:cs typeface="Times New Roman" pitchFamily="18" charset="0"/>
            </a:rPr>
            <a:t>Environment- 10.34%</a:t>
          </a:r>
        </a:p>
      </dgm:t>
    </dgm:pt>
    <dgm:pt modelId="{A4334EF1-65E8-4530-8EB0-A5BC274742D0}" type="parTrans" cxnId="{417D7183-8962-46CA-8F4D-05B99823AFC7}">
      <dgm:prSet/>
      <dgm:spPr/>
      <dgm:t>
        <a:bodyPr/>
        <a:lstStyle/>
        <a:p>
          <a:endParaRPr lang="pl-PL"/>
        </a:p>
      </dgm:t>
    </dgm:pt>
    <dgm:pt modelId="{B98217F6-42DF-4146-A70C-E7F1E883CE2C}" type="sibTrans" cxnId="{417D7183-8962-46CA-8F4D-05B99823AFC7}">
      <dgm:prSet/>
      <dgm:spPr/>
      <dgm:t>
        <a:bodyPr/>
        <a:lstStyle/>
        <a:p>
          <a:endParaRPr lang="pl-PL"/>
        </a:p>
      </dgm:t>
    </dgm:pt>
    <dgm:pt modelId="{EAC5FA95-A679-4A93-8AAD-F64AE3BC7F1A}">
      <dgm:prSet custT="1"/>
      <dgm:spPr>
        <a:solidFill>
          <a:schemeClr val="accent1">
            <a:lumMod val="40000"/>
            <a:lumOff val="60000"/>
          </a:schemeClr>
        </a:solidFill>
      </dgm:spPr>
      <dgm:t>
        <a:bodyPr/>
        <a:lstStyle/>
        <a:p>
          <a:r>
            <a:rPr lang="pl-PL" sz="1200" b="1">
              <a:latin typeface="Times New Roman" pitchFamily="18" charset="0"/>
              <a:cs typeface="Times New Roman" pitchFamily="18" charset="0"/>
            </a:rPr>
            <a:t>Information society - 8.59%</a:t>
          </a:r>
        </a:p>
      </dgm:t>
    </dgm:pt>
    <dgm:pt modelId="{C243A4D5-C41E-4064-A9DF-3A53A3621A09}" type="parTrans" cxnId="{E4E57719-5532-488B-8C99-7208899A766D}">
      <dgm:prSet/>
      <dgm:spPr/>
      <dgm:t>
        <a:bodyPr/>
        <a:lstStyle/>
        <a:p>
          <a:endParaRPr lang="pl-PL"/>
        </a:p>
      </dgm:t>
    </dgm:pt>
    <dgm:pt modelId="{52E366C5-11ED-4F22-BB6D-204820F50B4E}" type="sibTrans" cxnId="{E4E57719-5532-488B-8C99-7208899A766D}">
      <dgm:prSet/>
      <dgm:spPr/>
      <dgm:t>
        <a:bodyPr/>
        <a:lstStyle/>
        <a:p>
          <a:endParaRPr lang="pl-PL"/>
        </a:p>
      </dgm:t>
    </dgm:pt>
    <dgm:pt modelId="{B8A09979-CE3A-4CE7-9F5D-AEFCEFA48124}">
      <dgm:prSet custT="1"/>
      <dgm:spPr>
        <a:solidFill>
          <a:schemeClr val="bg1">
            <a:lumMod val="75000"/>
          </a:schemeClr>
        </a:solidFill>
      </dgm:spPr>
      <dgm:t>
        <a:bodyPr/>
        <a:lstStyle/>
        <a:p>
          <a:r>
            <a:rPr lang="pl-PL" sz="1200" b="1">
              <a:latin typeface="Times New Roman" pitchFamily="18" charset="0"/>
              <a:cs typeface="Times New Roman" pitchFamily="18" charset="0"/>
            </a:rPr>
            <a:t>Tourism - 6.32%</a:t>
          </a:r>
        </a:p>
      </dgm:t>
    </dgm:pt>
    <dgm:pt modelId="{411EF70C-07AC-4624-A29D-D6BBAB2416D7}" type="parTrans" cxnId="{CC79B0B5-450A-4D9E-8BC9-F0F8A0696836}">
      <dgm:prSet/>
      <dgm:spPr/>
      <dgm:t>
        <a:bodyPr/>
        <a:lstStyle/>
        <a:p>
          <a:endParaRPr lang="pl-PL"/>
        </a:p>
      </dgm:t>
    </dgm:pt>
    <dgm:pt modelId="{E3B0DC41-77D4-43D2-8FBB-B0B2A296FF5F}" type="sibTrans" cxnId="{CC79B0B5-450A-4D9E-8BC9-F0F8A0696836}">
      <dgm:prSet/>
      <dgm:spPr/>
      <dgm:t>
        <a:bodyPr/>
        <a:lstStyle/>
        <a:p>
          <a:endParaRPr lang="pl-PL"/>
        </a:p>
      </dgm:t>
    </dgm:pt>
    <dgm:pt modelId="{F85AD790-4432-48C0-9D7B-848649E3CFCF}">
      <dgm:prSet custT="1"/>
      <dgm:spPr>
        <a:solidFill>
          <a:schemeClr val="accent1">
            <a:lumMod val="40000"/>
            <a:lumOff val="60000"/>
          </a:schemeClr>
        </a:solidFill>
      </dgm:spPr>
      <dgm:t>
        <a:bodyPr/>
        <a:lstStyle/>
        <a:p>
          <a:r>
            <a:rPr lang="pl-PL" sz="1200" b="1">
              <a:latin typeface="Times New Roman" pitchFamily="18" charset="0"/>
              <a:cs typeface="Times New Roman" pitchFamily="18" charset="0"/>
            </a:rPr>
            <a:t>Education- 4.72%</a:t>
          </a:r>
        </a:p>
      </dgm:t>
    </dgm:pt>
    <dgm:pt modelId="{0711381C-45E8-4F6D-B4FD-DABE3E480ABD}" type="parTrans" cxnId="{B264ED6D-CE99-439F-83BB-C5892F13A455}">
      <dgm:prSet/>
      <dgm:spPr/>
      <dgm:t>
        <a:bodyPr/>
        <a:lstStyle/>
        <a:p>
          <a:endParaRPr lang="pl-PL"/>
        </a:p>
      </dgm:t>
    </dgm:pt>
    <dgm:pt modelId="{BCF72DFB-0173-4044-ABFE-5460AF240B93}" type="sibTrans" cxnId="{B264ED6D-CE99-439F-83BB-C5892F13A455}">
      <dgm:prSet/>
      <dgm:spPr/>
      <dgm:t>
        <a:bodyPr/>
        <a:lstStyle/>
        <a:p>
          <a:endParaRPr lang="pl-PL"/>
        </a:p>
      </dgm:t>
    </dgm:pt>
    <dgm:pt modelId="{CA171DFE-AAC6-4FF1-BBDF-8B75BF4752BD}">
      <dgm:prSet custT="1"/>
      <dgm:spPr>
        <a:solidFill>
          <a:schemeClr val="bg1">
            <a:lumMod val="75000"/>
          </a:schemeClr>
        </a:solidFill>
      </dgm:spPr>
      <dgm:t>
        <a:bodyPr/>
        <a:lstStyle/>
        <a:p>
          <a:r>
            <a:rPr lang="pl-PL" sz="1200" b="1">
              <a:latin typeface="Times New Roman" pitchFamily="18" charset="0"/>
              <a:cs typeface="Times New Roman" pitchFamily="18" charset="0"/>
            </a:rPr>
            <a:t>Health- 3.31%</a:t>
          </a:r>
        </a:p>
      </dgm:t>
    </dgm:pt>
    <dgm:pt modelId="{53854011-D054-4B91-B95D-E825C70CCA29}" type="parTrans" cxnId="{7B536AD7-2199-442F-87C8-68AA64C422DD}">
      <dgm:prSet/>
      <dgm:spPr/>
      <dgm:t>
        <a:bodyPr/>
        <a:lstStyle/>
        <a:p>
          <a:endParaRPr lang="pl-PL"/>
        </a:p>
      </dgm:t>
    </dgm:pt>
    <dgm:pt modelId="{9ECC097F-609A-4B1A-A087-0C970CA31788}" type="sibTrans" cxnId="{7B536AD7-2199-442F-87C8-68AA64C422DD}">
      <dgm:prSet/>
      <dgm:spPr/>
      <dgm:t>
        <a:bodyPr/>
        <a:lstStyle/>
        <a:p>
          <a:endParaRPr lang="pl-PL"/>
        </a:p>
      </dgm:t>
    </dgm:pt>
    <dgm:pt modelId="{85513C12-3527-4090-AF34-5C6142128DC5}">
      <dgm:prSet custT="1"/>
      <dgm:spPr>
        <a:solidFill>
          <a:schemeClr val="accent1">
            <a:lumMod val="40000"/>
            <a:lumOff val="60000"/>
          </a:schemeClr>
        </a:solidFill>
      </dgm:spPr>
      <dgm:t>
        <a:bodyPr/>
        <a:lstStyle/>
        <a:p>
          <a:r>
            <a:rPr lang="pl-PL" sz="1200" b="1">
              <a:latin typeface="Times New Roman" pitchFamily="18" charset="0"/>
              <a:cs typeface="Times New Roman" pitchFamily="18" charset="0"/>
            </a:rPr>
            <a:t>Culture 3.05%</a:t>
          </a:r>
        </a:p>
      </dgm:t>
    </dgm:pt>
    <dgm:pt modelId="{77004FBF-D725-4C9D-9863-2702012E357E}" type="parTrans" cxnId="{C4407A1B-319E-44D5-A785-02657FCEDEA9}">
      <dgm:prSet/>
      <dgm:spPr/>
      <dgm:t>
        <a:bodyPr/>
        <a:lstStyle/>
        <a:p>
          <a:endParaRPr lang="pl-PL"/>
        </a:p>
      </dgm:t>
    </dgm:pt>
    <dgm:pt modelId="{A57FD7A9-28B6-41C0-BEF3-FEBE839830FB}" type="sibTrans" cxnId="{C4407A1B-319E-44D5-A785-02657FCEDEA9}">
      <dgm:prSet/>
      <dgm:spPr/>
      <dgm:t>
        <a:bodyPr/>
        <a:lstStyle/>
        <a:p>
          <a:endParaRPr lang="pl-PL"/>
        </a:p>
      </dgm:t>
    </dgm:pt>
    <dgm:pt modelId="{34902AC9-7D18-455B-BA7E-BEBCDE137CBC}" type="pres">
      <dgm:prSet presAssocID="{049FA676-F65A-4091-B1CF-E4B21C84377F}" presName="Name0" presStyleCnt="0">
        <dgm:presLayoutVars>
          <dgm:dir/>
          <dgm:animLvl val="lvl"/>
          <dgm:resizeHandles val="exact"/>
        </dgm:presLayoutVars>
      </dgm:prSet>
      <dgm:spPr/>
    </dgm:pt>
    <dgm:pt modelId="{FE254F99-C576-4564-9758-B2DF882A278C}" type="pres">
      <dgm:prSet presAssocID="{F413DBDF-65CB-4072-BE84-2ACC90D80E48}" presName="Name8" presStyleCnt="0"/>
      <dgm:spPr/>
    </dgm:pt>
    <dgm:pt modelId="{FBCFBC98-A96E-4EB7-969B-416F229941FF}" type="pres">
      <dgm:prSet presAssocID="{F413DBDF-65CB-4072-BE84-2ACC90D80E48}" presName="level" presStyleLbl="node1" presStyleIdx="0" presStyleCnt="9" custLinFactNeighborX="1136">
        <dgm:presLayoutVars>
          <dgm:chMax val="1"/>
          <dgm:bulletEnabled val="1"/>
        </dgm:presLayoutVars>
      </dgm:prSet>
      <dgm:spPr/>
      <dgm:t>
        <a:bodyPr/>
        <a:lstStyle/>
        <a:p>
          <a:endParaRPr lang="pl-PL"/>
        </a:p>
      </dgm:t>
    </dgm:pt>
    <dgm:pt modelId="{D02EE0D3-A1F1-4FCA-A8E3-C963F39AAF7C}" type="pres">
      <dgm:prSet presAssocID="{F413DBDF-65CB-4072-BE84-2ACC90D80E48}" presName="levelTx" presStyleLbl="revTx" presStyleIdx="0" presStyleCnt="0">
        <dgm:presLayoutVars>
          <dgm:chMax val="1"/>
          <dgm:bulletEnabled val="1"/>
        </dgm:presLayoutVars>
      </dgm:prSet>
      <dgm:spPr/>
      <dgm:t>
        <a:bodyPr/>
        <a:lstStyle/>
        <a:p>
          <a:endParaRPr lang="pl-PL"/>
        </a:p>
      </dgm:t>
    </dgm:pt>
    <dgm:pt modelId="{14153AE6-773D-45D2-9BD1-9C65120F0EB1}" type="pres">
      <dgm:prSet presAssocID="{AFA4B149-5830-4610-8A21-313288439399}" presName="Name8" presStyleCnt="0"/>
      <dgm:spPr/>
    </dgm:pt>
    <dgm:pt modelId="{C35BEE18-518B-4CC7-8F34-6EF4D7083621}" type="pres">
      <dgm:prSet presAssocID="{AFA4B149-5830-4610-8A21-313288439399}" presName="level" presStyleLbl="node1" presStyleIdx="1" presStyleCnt="9" custScaleX="98906">
        <dgm:presLayoutVars>
          <dgm:chMax val="1"/>
          <dgm:bulletEnabled val="1"/>
        </dgm:presLayoutVars>
      </dgm:prSet>
      <dgm:spPr/>
      <dgm:t>
        <a:bodyPr/>
        <a:lstStyle/>
        <a:p>
          <a:endParaRPr lang="pl-PL"/>
        </a:p>
      </dgm:t>
    </dgm:pt>
    <dgm:pt modelId="{E537F6A5-0981-4ADF-9588-DA8988D17CE9}" type="pres">
      <dgm:prSet presAssocID="{AFA4B149-5830-4610-8A21-313288439399}" presName="levelTx" presStyleLbl="revTx" presStyleIdx="0" presStyleCnt="0">
        <dgm:presLayoutVars>
          <dgm:chMax val="1"/>
          <dgm:bulletEnabled val="1"/>
        </dgm:presLayoutVars>
      </dgm:prSet>
      <dgm:spPr/>
      <dgm:t>
        <a:bodyPr/>
        <a:lstStyle/>
        <a:p>
          <a:endParaRPr lang="pl-PL"/>
        </a:p>
      </dgm:t>
    </dgm:pt>
    <dgm:pt modelId="{5FB2D2B7-5E20-4CA8-A685-7E79271FF997}" type="pres">
      <dgm:prSet presAssocID="{6E8A4D89-760C-4523-9431-77F5AF24E8E3}" presName="Name8" presStyleCnt="0"/>
      <dgm:spPr/>
    </dgm:pt>
    <dgm:pt modelId="{B281C17F-906E-48A1-8B5D-1D1496DF6A37}" type="pres">
      <dgm:prSet presAssocID="{6E8A4D89-760C-4523-9431-77F5AF24E8E3}" presName="level" presStyleLbl="node1" presStyleIdx="2" presStyleCnt="9">
        <dgm:presLayoutVars>
          <dgm:chMax val="1"/>
          <dgm:bulletEnabled val="1"/>
        </dgm:presLayoutVars>
      </dgm:prSet>
      <dgm:spPr/>
      <dgm:t>
        <a:bodyPr/>
        <a:lstStyle/>
        <a:p>
          <a:endParaRPr lang="pl-PL"/>
        </a:p>
      </dgm:t>
    </dgm:pt>
    <dgm:pt modelId="{3DBBBB3D-E041-40BE-94C2-697CBEA5B36B}" type="pres">
      <dgm:prSet presAssocID="{6E8A4D89-760C-4523-9431-77F5AF24E8E3}" presName="levelTx" presStyleLbl="revTx" presStyleIdx="0" presStyleCnt="0">
        <dgm:presLayoutVars>
          <dgm:chMax val="1"/>
          <dgm:bulletEnabled val="1"/>
        </dgm:presLayoutVars>
      </dgm:prSet>
      <dgm:spPr/>
      <dgm:t>
        <a:bodyPr/>
        <a:lstStyle/>
        <a:p>
          <a:endParaRPr lang="pl-PL"/>
        </a:p>
      </dgm:t>
    </dgm:pt>
    <dgm:pt modelId="{86CD74AF-2194-44D1-8541-E843C860C91A}" type="pres">
      <dgm:prSet presAssocID="{BD60BC05-C339-4E8E-9517-B85E3D2C9137}" presName="Name8" presStyleCnt="0"/>
      <dgm:spPr/>
    </dgm:pt>
    <dgm:pt modelId="{D5EF1B7A-7846-4FE3-925B-0BEB7077EF79}" type="pres">
      <dgm:prSet presAssocID="{BD60BC05-C339-4E8E-9517-B85E3D2C9137}" presName="level" presStyleLbl="node1" presStyleIdx="3" presStyleCnt="9">
        <dgm:presLayoutVars>
          <dgm:chMax val="1"/>
          <dgm:bulletEnabled val="1"/>
        </dgm:presLayoutVars>
      </dgm:prSet>
      <dgm:spPr/>
      <dgm:t>
        <a:bodyPr/>
        <a:lstStyle/>
        <a:p>
          <a:endParaRPr lang="pl-PL"/>
        </a:p>
      </dgm:t>
    </dgm:pt>
    <dgm:pt modelId="{F92B5606-F325-41C8-A1D6-5EFF38C3F8FC}" type="pres">
      <dgm:prSet presAssocID="{BD60BC05-C339-4E8E-9517-B85E3D2C9137}" presName="levelTx" presStyleLbl="revTx" presStyleIdx="0" presStyleCnt="0">
        <dgm:presLayoutVars>
          <dgm:chMax val="1"/>
          <dgm:bulletEnabled val="1"/>
        </dgm:presLayoutVars>
      </dgm:prSet>
      <dgm:spPr/>
      <dgm:t>
        <a:bodyPr/>
        <a:lstStyle/>
        <a:p>
          <a:endParaRPr lang="pl-PL"/>
        </a:p>
      </dgm:t>
    </dgm:pt>
    <dgm:pt modelId="{4A2EAE27-9DF8-41E4-9333-942B65EADD98}" type="pres">
      <dgm:prSet presAssocID="{EAC5FA95-A679-4A93-8AAD-F64AE3BC7F1A}" presName="Name8" presStyleCnt="0"/>
      <dgm:spPr/>
    </dgm:pt>
    <dgm:pt modelId="{62FF0D7C-2A3D-4233-B565-77842EEEC5A1}" type="pres">
      <dgm:prSet presAssocID="{EAC5FA95-A679-4A93-8AAD-F64AE3BC7F1A}" presName="level" presStyleLbl="node1" presStyleIdx="4" presStyleCnt="9">
        <dgm:presLayoutVars>
          <dgm:chMax val="1"/>
          <dgm:bulletEnabled val="1"/>
        </dgm:presLayoutVars>
      </dgm:prSet>
      <dgm:spPr/>
      <dgm:t>
        <a:bodyPr/>
        <a:lstStyle/>
        <a:p>
          <a:endParaRPr lang="pl-PL"/>
        </a:p>
      </dgm:t>
    </dgm:pt>
    <dgm:pt modelId="{A6153E49-0586-43C2-945A-AEBB1CD0761F}" type="pres">
      <dgm:prSet presAssocID="{EAC5FA95-A679-4A93-8AAD-F64AE3BC7F1A}" presName="levelTx" presStyleLbl="revTx" presStyleIdx="0" presStyleCnt="0">
        <dgm:presLayoutVars>
          <dgm:chMax val="1"/>
          <dgm:bulletEnabled val="1"/>
        </dgm:presLayoutVars>
      </dgm:prSet>
      <dgm:spPr/>
      <dgm:t>
        <a:bodyPr/>
        <a:lstStyle/>
        <a:p>
          <a:endParaRPr lang="pl-PL"/>
        </a:p>
      </dgm:t>
    </dgm:pt>
    <dgm:pt modelId="{CC1B7511-968E-4F34-8AD6-1B7925E31987}" type="pres">
      <dgm:prSet presAssocID="{B8A09979-CE3A-4CE7-9F5D-AEFCEFA48124}" presName="Name8" presStyleCnt="0"/>
      <dgm:spPr/>
    </dgm:pt>
    <dgm:pt modelId="{0EE56840-546E-4A6F-9FB6-A9D7F55D5B75}" type="pres">
      <dgm:prSet presAssocID="{B8A09979-CE3A-4CE7-9F5D-AEFCEFA48124}" presName="level" presStyleLbl="node1" presStyleIdx="5" presStyleCnt="9">
        <dgm:presLayoutVars>
          <dgm:chMax val="1"/>
          <dgm:bulletEnabled val="1"/>
        </dgm:presLayoutVars>
      </dgm:prSet>
      <dgm:spPr/>
      <dgm:t>
        <a:bodyPr/>
        <a:lstStyle/>
        <a:p>
          <a:endParaRPr lang="pl-PL"/>
        </a:p>
      </dgm:t>
    </dgm:pt>
    <dgm:pt modelId="{5A5181F1-1FA2-4346-BFB7-12214D193400}" type="pres">
      <dgm:prSet presAssocID="{B8A09979-CE3A-4CE7-9F5D-AEFCEFA48124}" presName="levelTx" presStyleLbl="revTx" presStyleIdx="0" presStyleCnt="0">
        <dgm:presLayoutVars>
          <dgm:chMax val="1"/>
          <dgm:bulletEnabled val="1"/>
        </dgm:presLayoutVars>
      </dgm:prSet>
      <dgm:spPr/>
      <dgm:t>
        <a:bodyPr/>
        <a:lstStyle/>
        <a:p>
          <a:endParaRPr lang="pl-PL"/>
        </a:p>
      </dgm:t>
    </dgm:pt>
    <dgm:pt modelId="{C8B64779-C472-446F-99CF-D4FFA80DDB34}" type="pres">
      <dgm:prSet presAssocID="{F85AD790-4432-48C0-9D7B-848649E3CFCF}" presName="Name8" presStyleCnt="0"/>
      <dgm:spPr/>
    </dgm:pt>
    <dgm:pt modelId="{E1FE3F6E-31EA-41DF-A48D-894C82F58AE9}" type="pres">
      <dgm:prSet presAssocID="{F85AD790-4432-48C0-9D7B-848649E3CFCF}" presName="level" presStyleLbl="node1" presStyleIdx="6" presStyleCnt="9">
        <dgm:presLayoutVars>
          <dgm:chMax val="1"/>
          <dgm:bulletEnabled val="1"/>
        </dgm:presLayoutVars>
      </dgm:prSet>
      <dgm:spPr/>
      <dgm:t>
        <a:bodyPr/>
        <a:lstStyle/>
        <a:p>
          <a:endParaRPr lang="pl-PL"/>
        </a:p>
      </dgm:t>
    </dgm:pt>
    <dgm:pt modelId="{1EC3ABBF-6D89-4285-AFD5-FA2A3B531CAC}" type="pres">
      <dgm:prSet presAssocID="{F85AD790-4432-48C0-9D7B-848649E3CFCF}" presName="levelTx" presStyleLbl="revTx" presStyleIdx="0" presStyleCnt="0">
        <dgm:presLayoutVars>
          <dgm:chMax val="1"/>
          <dgm:bulletEnabled val="1"/>
        </dgm:presLayoutVars>
      </dgm:prSet>
      <dgm:spPr/>
      <dgm:t>
        <a:bodyPr/>
        <a:lstStyle/>
        <a:p>
          <a:endParaRPr lang="pl-PL"/>
        </a:p>
      </dgm:t>
    </dgm:pt>
    <dgm:pt modelId="{F0F23A68-F74F-4EAE-AE42-69514D6011C4}" type="pres">
      <dgm:prSet presAssocID="{CA171DFE-AAC6-4FF1-BBDF-8B75BF4752BD}" presName="Name8" presStyleCnt="0"/>
      <dgm:spPr/>
    </dgm:pt>
    <dgm:pt modelId="{A24C2AEE-249A-49C5-B222-65CBF4F6A9B1}" type="pres">
      <dgm:prSet presAssocID="{CA171DFE-AAC6-4FF1-BBDF-8B75BF4752BD}" presName="level" presStyleLbl="node1" presStyleIdx="7" presStyleCnt="9">
        <dgm:presLayoutVars>
          <dgm:chMax val="1"/>
          <dgm:bulletEnabled val="1"/>
        </dgm:presLayoutVars>
      </dgm:prSet>
      <dgm:spPr/>
      <dgm:t>
        <a:bodyPr/>
        <a:lstStyle/>
        <a:p>
          <a:endParaRPr lang="pl-PL"/>
        </a:p>
      </dgm:t>
    </dgm:pt>
    <dgm:pt modelId="{577EEAD2-F294-41BA-92CA-113D067EE554}" type="pres">
      <dgm:prSet presAssocID="{CA171DFE-AAC6-4FF1-BBDF-8B75BF4752BD}" presName="levelTx" presStyleLbl="revTx" presStyleIdx="0" presStyleCnt="0">
        <dgm:presLayoutVars>
          <dgm:chMax val="1"/>
          <dgm:bulletEnabled val="1"/>
        </dgm:presLayoutVars>
      </dgm:prSet>
      <dgm:spPr/>
      <dgm:t>
        <a:bodyPr/>
        <a:lstStyle/>
        <a:p>
          <a:endParaRPr lang="pl-PL"/>
        </a:p>
      </dgm:t>
    </dgm:pt>
    <dgm:pt modelId="{300FF9B0-8642-4108-A231-098D37BCF02C}" type="pres">
      <dgm:prSet presAssocID="{85513C12-3527-4090-AF34-5C6142128DC5}" presName="Name8" presStyleCnt="0"/>
      <dgm:spPr/>
    </dgm:pt>
    <dgm:pt modelId="{F1B8EAC3-53FD-4311-B83A-0A05E3810910}" type="pres">
      <dgm:prSet presAssocID="{85513C12-3527-4090-AF34-5C6142128DC5}" presName="level" presStyleLbl="node1" presStyleIdx="8" presStyleCnt="9">
        <dgm:presLayoutVars>
          <dgm:chMax val="1"/>
          <dgm:bulletEnabled val="1"/>
        </dgm:presLayoutVars>
      </dgm:prSet>
      <dgm:spPr/>
      <dgm:t>
        <a:bodyPr/>
        <a:lstStyle/>
        <a:p>
          <a:endParaRPr lang="pl-PL"/>
        </a:p>
      </dgm:t>
    </dgm:pt>
    <dgm:pt modelId="{BE51F4D4-BB32-4C45-922E-CBB939CC34F7}" type="pres">
      <dgm:prSet presAssocID="{85513C12-3527-4090-AF34-5C6142128DC5}" presName="levelTx" presStyleLbl="revTx" presStyleIdx="0" presStyleCnt="0">
        <dgm:presLayoutVars>
          <dgm:chMax val="1"/>
          <dgm:bulletEnabled val="1"/>
        </dgm:presLayoutVars>
      </dgm:prSet>
      <dgm:spPr/>
      <dgm:t>
        <a:bodyPr/>
        <a:lstStyle/>
        <a:p>
          <a:endParaRPr lang="pl-PL"/>
        </a:p>
      </dgm:t>
    </dgm:pt>
  </dgm:ptLst>
  <dgm:cxnLst>
    <dgm:cxn modelId="{4A8CCA5E-B729-4CDD-8026-EDEFF65ABD64}" srcId="{049FA676-F65A-4091-B1CF-E4B21C84377F}" destId="{6E8A4D89-760C-4523-9431-77F5AF24E8E3}" srcOrd="2" destOrd="0" parTransId="{B7C6F99B-86FB-4AEC-B012-D91C5C70E2BF}" sibTransId="{C694DDBB-927E-4ECF-9BF5-5A6EEC27C6EF}"/>
    <dgm:cxn modelId="{C4407A1B-319E-44D5-A785-02657FCEDEA9}" srcId="{049FA676-F65A-4091-B1CF-E4B21C84377F}" destId="{85513C12-3527-4090-AF34-5C6142128DC5}" srcOrd="8" destOrd="0" parTransId="{77004FBF-D725-4C9D-9863-2702012E357E}" sibTransId="{A57FD7A9-28B6-41C0-BEF3-FEBE839830FB}"/>
    <dgm:cxn modelId="{1F0BDAA2-C544-460D-BEB9-9AF92781C300}" type="presOf" srcId="{85513C12-3527-4090-AF34-5C6142128DC5}" destId="{BE51F4D4-BB32-4C45-922E-CBB939CC34F7}" srcOrd="1" destOrd="0" presId="urn:microsoft.com/office/officeart/2005/8/layout/pyramid3"/>
    <dgm:cxn modelId="{114A226D-E373-4ACF-802B-274B0052DBF2}" type="presOf" srcId="{AFA4B149-5830-4610-8A21-313288439399}" destId="{C35BEE18-518B-4CC7-8F34-6EF4D7083621}" srcOrd="0" destOrd="0" presId="urn:microsoft.com/office/officeart/2005/8/layout/pyramid3"/>
    <dgm:cxn modelId="{90A75B18-6C4E-4C30-A743-72B35B009DF4}" type="presOf" srcId="{CA171DFE-AAC6-4FF1-BBDF-8B75BF4752BD}" destId="{A24C2AEE-249A-49C5-B222-65CBF4F6A9B1}" srcOrd="0" destOrd="0" presId="urn:microsoft.com/office/officeart/2005/8/layout/pyramid3"/>
    <dgm:cxn modelId="{0CBB9EC4-28E4-4A72-AEC4-F0553280C6CC}" type="presOf" srcId="{BD60BC05-C339-4E8E-9517-B85E3D2C9137}" destId="{F92B5606-F325-41C8-A1D6-5EFF38C3F8FC}" srcOrd="1" destOrd="0" presId="urn:microsoft.com/office/officeart/2005/8/layout/pyramid3"/>
    <dgm:cxn modelId="{7B536AD7-2199-442F-87C8-68AA64C422DD}" srcId="{049FA676-F65A-4091-B1CF-E4B21C84377F}" destId="{CA171DFE-AAC6-4FF1-BBDF-8B75BF4752BD}" srcOrd="7" destOrd="0" parTransId="{53854011-D054-4B91-B95D-E825C70CCA29}" sibTransId="{9ECC097F-609A-4B1A-A087-0C970CA31788}"/>
    <dgm:cxn modelId="{36B68305-69B3-49FD-9ED7-D5B1ED7E7C10}" type="presOf" srcId="{CA171DFE-AAC6-4FF1-BBDF-8B75BF4752BD}" destId="{577EEAD2-F294-41BA-92CA-113D067EE554}" srcOrd="1" destOrd="0" presId="urn:microsoft.com/office/officeart/2005/8/layout/pyramid3"/>
    <dgm:cxn modelId="{E726ABA9-70D1-40DA-9639-C05540E88CFA}" type="presOf" srcId="{6E8A4D89-760C-4523-9431-77F5AF24E8E3}" destId="{3DBBBB3D-E041-40BE-94C2-697CBEA5B36B}" srcOrd="1" destOrd="0" presId="urn:microsoft.com/office/officeart/2005/8/layout/pyramid3"/>
    <dgm:cxn modelId="{FBE07894-5D9B-4A29-950F-99AB0F9BAE5B}" type="presOf" srcId="{EAC5FA95-A679-4A93-8AAD-F64AE3BC7F1A}" destId="{A6153E49-0586-43C2-945A-AEBB1CD0761F}" srcOrd="1" destOrd="0" presId="urn:microsoft.com/office/officeart/2005/8/layout/pyramid3"/>
    <dgm:cxn modelId="{8DB8BBD9-4AD9-4A68-B092-75F9B3898A6D}" type="presOf" srcId="{85513C12-3527-4090-AF34-5C6142128DC5}" destId="{F1B8EAC3-53FD-4311-B83A-0A05E3810910}" srcOrd="0" destOrd="0" presId="urn:microsoft.com/office/officeart/2005/8/layout/pyramid3"/>
    <dgm:cxn modelId="{C6C8D479-E4A9-40B3-BF26-943C0AF5D68A}" type="presOf" srcId="{BD60BC05-C339-4E8E-9517-B85E3D2C9137}" destId="{D5EF1B7A-7846-4FE3-925B-0BEB7077EF79}" srcOrd="0" destOrd="0" presId="urn:microsoft.com/office/officeart/2005/8/layout/pyramid3"/>
    <dgm:cxn modelId="{E4E57719-5532-488B-8C99-7208899A766D}" srcId="{049FA676-F65A-4091-B1CF-E4B21C84377F}" destId="{EAC5FA95-A679-4A93-8AAD-F64AE3BC7F1A}" srcOrd="4" destOrd="0" parTransId="{C243A4D5-C41E-4064-A9DF-3A53A3621A09}" sibTransId="{52E366C5-11ED-4F22-BB6D-204820F50B4E}"/>
    <dgm:cxn modelId="{C23EF96D-63EC-4DE3-B674-AF0299BD769C}" type="presOf" srcId="{EAC5FA95-A679-4A93-8AAD-F64AE3BC7F1A}" destId="{62FF0D7C-2A3D-4233-B565-77842EEEC5A1}" srcOrd="0" destOrd="0" presId="urn:microsoft.com/office/officeart/2005/8/layout/pyramid3"/>
    <dgm:cxn modelId="{AF674329-7E4B-4F13-BC02-5B6EAB1C9FDC}" type="presOf" srcId="{F85AD790-4432-48C0-9D7B-848649E3CFCF}" destId="{1EC3ABBF-6D89-4285-AFD5-FA2A3B531CAC}" srcOrd="1" destOrd="0" presId="urn:microsoft.com/office/officeart/2005/8/layout/pyramid3"/>
    <dgm:cxn modelId="{07EFFF9F-76BD-4696-95EE-FEBD6AA0CDF2}" type="presOf" srcId="{F413DBDF-65CB-4072-BE84-2ACC90D80E48}" destId="{D02EE0D3-A1F1-4FCA-A8E3-C963F39AAF7C}" srcOrd="1" destOrd="0" presId="urn:microsoft.com/office/officeart/2005/8/layout/pyramid3"/>
    <dgm:cxn modelId="{AFB654D8-0E6F-4402-B6F9-DA4DA34F202D}" type="presOf" srcId="{AFA4B149-5830-4610-8A21-313288439399}" destId="{E537F6A5-0981-4ADF-9588-DA8988D17CE9}" srcOrd="1" destOrd="0" presId="urn:microsoft.com/office/officeart/2005/8/layout/pyramid3"/>
    <dgm:cxn modelId="{04ED1B8B-0C52-45AC-A2AF-951A7CCABEB8}" type="presOf" srcId="{F413DBDF-65CB-4072-BE84-2ACC90D80E48}" destId="{FBCFBC98-A96E-4EB7-969B-416F229941FF}" srcOrd="0" destOrd="0" presId="urn:microsoft.com/office/officeart/2005/8/layout/pyramid3"/>
    <dgm:cxn modelId="{D119C526-FAB6-44FC-86C0-BFF96F0D8261}" type="presOf" srcId="{F85AD790-4432-48C0-9D7B-848649E3CFCF}" destId="{E1FE3F6E-31EA-41DF-A48D-894C82F58AE9}" srcOrd="0" destOrd="0" presId="urn:microsoft.com/office/officeart/2005/8/layout/pyramid3"/>
    <dgm:cxn modelId="{3867351F-F213-4804-B34B-A85ACF497B08}" type="presOf" srcId="{B8A09979-CE3A-4CE7-9F5D-AEFCEFA48124}" destId="{5A5181F1-1FA2-4346-BFB7-12214D193400}" srcOrd="1" destOrd="0" presId="urn:microsoft.com/office/officeart/2005/8/layout/pyramid3"/>
    <dgm:cxn modelId="{417D7183-8962-46CA-8F4D-05B99823AFC7}" srcId="{049FA676-F65A-4091-B1CF-E4B21C84377F}" destId="{BD60BC05-C339-4E8E-9517-B85E3D2C9137}" srcOrd="3" destOrd="0" parTransId="{A4334EF1-65E8-4530-8EB0-A5BC274742D0}" sibTransId="{B98217F6-42DF-4146-A70C-E7F1E883CE2C}"/>
    <dgm:cxn modelId="{B264ED6D-CE99-439F-83BB-C5892F13A455}" srcId="{049FA676-F65A-4091-B1CF-E4B21C84377F}" destId="{F85AD790-4432-48C0-9D7B-848649E3CFCF}" srcOrd="6" destOrd="0" parTransId="{0711381C-45E8-4F6D-B4FD-DABE3E480ABD}" sibTransId="{BCF72DFB-0173-4044-ABFE-5460AF240B93}"/>
    <dgm:cxn modelId="{CF358805-D01F-411B-B8AB-FC7865A365C5}" type="presOf" srcId="{B8A09979-CE3A-4CE7-9F5D-AEFCEFA48124}" destId="{0EE56840-546E-4A6F-9FB6-A9D7F55D5B75}" srcOrd="0" destOrd="0" presId="urn:microsoft.com/office/officeart/2005/8/layout/pyramid3"/>
    <dgm:cxn modelId="{6012BA00-A0D8-4927-A216-4F1C4342ADC4}" srcId="{049FA676-F65A-4091-B1CF-E4B21C84377F}" destId="{F413DBDF-65CB-4072-BE84-2ACC90D80E48}" srcOrd="0" destOrd="0" parTransId="{F6C0F401-E068-493B-AADE-569ADB7E2EFF}" sibTransId="{C1C2F7EC-B390-41E9-B36B-7CB39095E05D}"/>
    <dgm:cxn modelId="{40148D17-E7B7-4A15-8BFB-48935E2E5CC0}" type="presOf" srcId="{6E8A4D89-760C-4523-9431-77F5AF24E8E3}" destId="{B281C17F-906E-48A1-8B5D-1D1496DF6A37}" srcOrd="0" destOrd="0" presId="urn:microsoft.com/office/officeart/2005/8/layout/pyramid3"/>
    <dgm:cxn modelId="{CC79B0B5-450A-4D9E-8BC9-F0F8A0696836}" srcId="{049FA676-F65A-4091-B1CF-E4B21C84377F}" destId="{B8A09979-CE3A-4CE7-9F5D-AEFCEFA48124}" srcOrd="5" destOrd="0" parTransId="{411EF70C-07AC-4624-A29D-D6BBAB2416D7}" sibTransId="{E3B0DC41-77D4-43D2-8FBB-B0B2A296FF5F}"/>
    <dgm:cxn modelId="{51551D2B-2E4F-41D1-B293-E5BE91BCF293}" srcId="{049FA676-F65A-4091-B1CF-E4B21C84377F}" destId="{AFA4B149-5830-4610-8A21-313288439399}" srcOrd="1" destOrd="0" parTransId="{0CF3698E-F2DB-4EE8-A7AB-287F597B5631}" sibTransId="{CAD95DE1-F7F2-4AD6-B015-EF69F0CDFA77}"/>
    <dgm:cxn modelId="{344B42ED-766B-43E7-A3B1-4622D23B508B}" type="presOf" srcId="{049FA676-F65A-4091-B1CF-E4B21C84377F}" destId="{34902AC9-7D18-455B-BA7E-BEBCDE137CBC}" srcOrd="0" destOrd="0" presId="urn:microsoft.com/office/officeart/2005/8/layout/pyramid3"/>
    <dgm:cxn modelId="{76E829A6-C2E7-4BBF-B21D-28E7D0753AA6}" type="presParOf" srcId="{34902AC9-7D18-455B-BA7E-BEBCDE137CBC}" destId="{FE254F99-C576-4564-9758-B2DF882A278C}" srcOrd="0" destOrd="0" presId="urn:microsoft.com/office/officeart/2005/8/layout/pyramid3"/>
    <dgm:cxn modelId="{62F6D298-3876-4C1D-ACE6-4218D2DC691B}" type="presParOf" srcId="{FE254F99-C576-4564-9758-B2DF882A278C}" destId="{FBCFBC98-A96E-4EB7-969B-416F229941FF}" srcOrd="0" destOrd="0" presId="urn:microsoft.com/office/officeart/2005/8/layout/pyramid3"/>
    <dgm:cxn modelId="{117D67BA-26ED-48BB-AA34-0D89627227BA}" type="presParOf" srcId="{FE254F99-C576-4564-9758-B2DF882A278C}" destId="{D02EE0D3-A1F1-4FCA-A8E3-C963F39AAF7C}" srcOrd="1" destOrd="0" presId="urn:microsoft.com/office/officeart/2005/8/layout/pyramid3"/>
    <dgm:cxn modelId="{0773C3B1-E1D9-4161-AC0A-EC68AE7E200D}" type="presParOf" srcId="{34902AC9-7D18-455B-BA7E-BEBCDE137CBC}" destId="{14153AE6-773D-45D2-9BD1-9C65120F0EB1}" srcOrd="1" destOrd="0" presId="urn:microsoft.com/office/officeart/2005/8/layout/pyramid3"/>
    <dgm:cxn modelId="{2A1AFDF8-2117-4190-AD0A-7D3473CFE2D7}" type="presParOf" srcId="{14153AE6-773D-45D2-9BD1-9C65120F0EB1}" destId="{C35BEE18-518B-4CC7-8F34-6EF4D7083621}" srcOrd="0" destOrd="0" presId="urn:microsoft.com/office/officeart/2005/8/layout/pyramid3"/>
    <dgm:cxn modelId="{74333199-131E-465F-81A2-E422AB636004}" type="presParOf" srcId="{14153AE6-773D-45D2-9BD1-9C65120F0EB1}" destId="{E537F6A5-0981-4ADF-9588-DA8988D17CE9}" srcOrd="1" destOrd="0" presId="urn:microsoft.com/office/officeart/2005/8/layout/pyramid3"/>
    <dgm:cxn modelId="{197DD372-F4A0-40B5-9096-B85DDB2B9BDC}" type="presParOf" srcId="{34902AC9-7D18-455B-BA7E-BEBCDE137CBC}" destId="{5FB2D2B7-5E20-4CA8-A685-7E79271FF997}" srcOrd="2" destOrd="0" presId="urn:microsoft.com/office/officeart/2005/8/layout/pyramid3"/>
    <dgm:cxn modelId="{6D6BD851-1EFF-46A5-877C-0A40B6796261}" type="presParOf" srcId="{5FB2D2B7-5E20-4CA8-A685-7E79271FF997}" destId="{B281C17F-906E-48A1-8B5D-1D1496DF6A37}" srcOrd="0" destOrd="0" presId="urn:microsoft.com/office/officeart/2005/8/layout/pyramid3"/>
    <dgm:cxn modelId="{1AEE2663-F833-4785-89BB-89B8D259C3C8}" type="presParOf" srcId="{5FB2D2B7-5E20-4CA8-A685-7E79271FF997}" destId="{3DBBBB3D-E041-40BE-94C2-697CBEA5B36B}" srcOrd="1" destOrd="0" presId="urn:microsoft.com/office/officeart/2005/8/layout/pyramid3"/>
    <dgm:cxn modelId="{0E5AA432-EF57-4C78-B893-56B4FF47B341}" type="presParOf" srcId="{34902AC9-7D18-455B-BA7E-BEBCDE137CBC}" destId="{86CD74AF-2194-44D1-8541-E843C860C91A}" srcOrd="3" destOrd="0" presId="urn:microsoft.com/office/officeart/2005/8/layout/pyramid3"/>
    <dgm:cxn modelId="{DD38BA92-6F3B-4724-88A2-F184A9AE559F}" type="presParOf" srcId="{86CD74AF-2194-44D1-8541-E843C860C91A}" destId="{D5EF1B7A-7846-4FE3-925B-0BEB7077EF79}" srcOrd="0" destOrd="0" presId="urn:microsoft.com/office/officeart/2005/8/layout/pyramid3"/>
    <dgm:cxn modelId="{2896EBAF-3671-4D80-9654-C871BEC14CCC}" type="presParOf" srcId="{86CD74AF-2194-44D1-8541-E843C860C91A}" destId="{F92B5606-F325-41C8-A1D6-5EFF38C3F8FC}" srcOrd="1" destOrd="0" presId="urn:microsoft.com/office/officeart/2005/8/layout/pyramid3"/>
    <dgm:cxn modelId="{BAD4EB3A-1380-406F-9B2C-D8AB8D258BE4}" type="presParOf" srcId="{34902AC9-7D18-455B-BA7E-BEBCDE137CBC}" destId="{4A2EAE27-9DF8-41E4-9333-942B65EADD98}" srcOrd="4" destOrd="0" presId="urn:microsoft.com/office/officeart/2005/8/layout/pyramid3"/>
    <dgm:cxn modelId="{5FC62462-C107-4CAE-96E1-3272721CC8C8}" type="presParOf" srcId="{4A2EAE27-9DF8-41E4-9333-942B65EADD98}" destId="{62FF0D7C-2A3D-4233-B565-77842EEEC5A1}" srcOrd="0" destOrd="0" presId="urn:microsoft.com/office/officeart/2005/8/layout/pyramid3"/>
    <dgm:cxn modelId="{BDAE34CF-3E6F-4AD8-95EF-E0D30E8B2B58}" type="presParOf" srcId="{4A2EAE27-9DF8-41E4-9333-942B65EADD98}" destId="{A6153E49-0586-43C2-945A-AEBB1CD0761F}" srcOrd="1" destOrd="0" presId="urn:microsoft.com/office/officeart/2005/8/layout/pyramid3"/>
    <dgm:cxn modelId="{FE72D722-2228-4E38-9206-CAA4AE6D170F}" type="presParOf" srcId="{34902AC9-7D18-455B-BA7E-BEBCDE137CBC}" destId="{CC1B7511-968E-4F34-8AD6-1B7925E31987}" srcOrd="5" destOrd="0" presId="urn:microsoft.com/office/officeart/2005/8/layout/pyramid3"/>
    <dgm:cxn modelId="{49F9BE7B-09D2-4658-B299-C6D825D42974}" type="presParOf" srcId="{CC1B7511-968E-4F34-8AD6-1B7925E31987}" destId="{0EE56840-546E-4A6F-9FB6-A9D7F55D5B75}" srcOrd="0" destOrd="0" presId="urn:microsoft.com/office/officeart/2005/8/layout/pyramid3"/>
    <dgm:cxn modelId="{12A7DEA0-2364-4AFC-A59D-4DA7635DF228}" type="presParOf" srcId="{CC1B7511-968E-4F34-8AD6-1B7925E31987}" destId="{5A5181F1-1FA2-4346-BFB7-12214D193400}" srcOrd="1" destOrd="0" presId="urn:microsoft.com/office/officeart/2005/8/layout/pyramid3"/>
    <dgm:cxn modelId="{7A71D99A-3B8C-4A67-840C-7E9E0A9E55BF}" type="presParOf" srcId="{34902AC9-7D18-455B-BA7E-BEBCDE137CBC}" destId="{C8B64779-C472-446F-99CF-D4FFA80DDB34}" srcOrd="6" destOrd="0" presId="urn:microsoft.com/office/officeart/2005/8/layout/pyramid3"/>
    <dgm:cxn modelId="{27AE2D27-85E3-489E-B040-47F7BB89FD38}" type="presParOf" srcId="{C8B64779-C472-446F-99CF-D4FFA80DDB34}" destId="{E1FE3F6E-31EA-41DF-A48D-894C82F58AE9}" srcOrd="0" destOrd="0" presId="urn:microsoft.com/office/officeart/2005/8/layout/pyramid3"/>
    <dgm:cxn modelId="{082DB3E8-B8A2-42C3-BBF0-4A4D3C3C7693}" type="presParOf" srcId="{C8B64779-C472-446F-99CF-D4FFA80DDB34}" destId="{1EC3ABBF-6D89-4285-AFD5-FA2A3B531CAC}" srcOrd="1" destOrd="0" presId="urn:microsoft.com/office/officeart/2005/8/layout/pyramid3"/>
    <dgm:cxn modelId="{E89DD535-2F78-4927-84B4-C0CA4C55E095}" type="presParOf" srcId="{34902AC9-7D18-455B-BA7E-BEBCDE137CBC}" destId="{F0F23A68-F74F-4EAE-AE42-69514D6011C4}" srcOrd="7" destOrd="0" presId="urn:microsoft.com/office/officeart/2005/8/layout/pyramid3"/>
    <dgm:cxn modelId="{E7ACECFF-AF6A-4467-B0DB-E967C849C661}" type="presParOf" srcId="{F0F23A68-F74F-4EAE-AE42-69514D6011C4}" destId="{A24C2AEE-249A-49C5-B222-65CBF4F6A9B1}" srcOrd="0" destOrd="0" presId="urn:microsoft.com/office/officeart/2005/8/layout/pyramid3"/>
    <dgm:cxn modelId="{65AE525B-132D-4808-BAF3-FD3E91C7F3AA}" type="presParOf" srcId="{F0F23A68-F74F-4EAE-AE42-69514D6011C4}" destId="{577EEAD2-F294-41BA-92CA-113D067EE554}" srcOrd="1" destOrd="0" presId="urn:microsoft.com/office/officeart/2005/8/layout/pyramid3"/>
    <dgm:cxn modelId="{33108287-58FF-4C87-A951-E794AEBB058E}" type="presParOf" srcId="{34902AC9-7D18-455B-BA7E-BEBCDE137CBC}" destId="{300FF9B0-8642-4108-A231-098D37BCF02C}" srcOrd="8" destOrd="0" presId="urn:microsoft.com/office/officeart/2005/8/layout/pyramid3"/>
    <dgm:cxn modelId="{F0DF6363-5532-4917-BBCF-9E71BE23F163}" type="presParOf" srcId="{300FF9B0-8642-4108-A231-098D37BCF02C}" destId="{F1B8EAC3-53FD-4311-B83A-0A05E3810910}" srcOrd="0" destOrd="0" presId="urn:microsoft.com/office/officeart/2005/8/layout/pyramid3"/>
    <dgm:cxn modelId="{2A51A688-DE81-4664-8A58-89EA76C65E5C}" type="presParOf" srcId="{300FF9B0-8642-4108-A231-098D37BCF02C}" destId="{BE51F4D4-BB32-4C45-922E-CBB939CC34F7}" srcOrd="1" destOrd="0" presId="urn:microsoft.com/office/officeart/2005/8/layout/pyramid3"/>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665A5D7-27E4-4F6E-972F-B613129F95DE}" type="doc">
      <dgm:prSet loTypeId="urn:microsoft.com/office/officeart/2005/8/layout/hierarchy1" loCatId="hierarchy" qsTypeId="urn:microsoft.com/office/officeart/2005/8/quickstyle/3d1" qsCatId="3D" csTypeId="urn:microsoft.com/office/officeart/2005/8/colors/accent3_1" csCatId="accent3" phldr="1"/>
      <dgm:spPr/>
      <dgm:t>
        <a:bodyPr/>
        <a:lstStyle/>
        <a:p>
          <a:endParaRPr lang="pl-PL"/>
        </a:p>
      </dgm:t>
    </dgm:pt>
    <dgm:pt modelId="{C675866D-C001-4801-9797-7266D4481C20}">
      <dgm:prSet phldrT="[Tekst]" custT="1"/>
      <dgm:spPr/>
      <dgm:t>
        <a:bodyPr/>
        <a:lstStyle/>
        <a:p>
          <a:r>
            <a:rPr lang="pl-PL" sz="1300" b="1">
              <a:latin typeface="Times New Roman" pitchFamily="18" charset="0"/>
              <a:cs typeface="Times New Roman" pitchFamily="18" charset="0"/>
            </a:rPr>
            <a:t>ROP SW</a:t>
          </a:r>
        </a:p>
        <a:p>
          <a:r>
            <a:rPr lang="pl-PL" sz="1100" b="1">
              <a:latin typeface="Times New Roman" pitchFamily="18" charset="0"/>
              <a:cs typeface="Times New Roman" pitchFamily="18" charset="0"/>
            </a:rPr>
            <a:t>3120 </a:t>
          </a:r>
          <a:r>
            <a:rPr lang="pl-PL" sz="1100" b="0">
              <a:latin typeface="Times New Roman" pitchFamily="18" charset="0"/>
              <a:cs typeface="Times New Roman" pitchFamily="18" charset="0"/>
            </a:rPr>
            <a:t>contracts </a:t>
          </a:r>
        </a:p>
        <a:p>
          <a:r>
            <a:rPr lang="pl-PL" sz="1100" b="1">
              <a:latin typeface="Times New Roman" pitchFamily="18" charset="0"/>
              <a:cs typeface="Times New Roman" pitchFamily="18" charset="0"/>
            </a:rPr>
            <a:t>EUR 1953.07 m </a:t>
          </a:r>
          <a:r>
            <a:rPr lang="pl-PL" sz="1100" b="0">
              <a:latin typeface="Times New Roman" pitchFamily="18" charset="0"/>
              <a:cs typeface="Times New Roman" pitchFamily="18" charset="0"/>
            </a:rPr>
            <a:t>value</a:t>
          </a:r>
        </a:p>
        <a:p>
          <a:r>
            <a:rPr lang="pl-PL" sz="1100" b="1">
              <a:latin typeface="Times New Roman" pitchFamily="18" charset="0"/>
              <a:cs typeface="Times New Roman" pitchFamily="18" charset="0"/>
            </a:rPr>
            <a:t>EUR 1,172.29  m </a:t>
          </a:r>
          <a:r>
            <a:rPr lang="pl-PL" sz="1100" b="0">
              <a:latin typeface="Times New Roman" pitchFamily="18" charset="0"/>
              <a:cs typeface="Times New Roman" pitchFamily="18" charset="0"/>
            </a:rPr>
            <a:t>subsidy</a:t>
          </a:r>
        </a:p>
        <a:p>
          <a:r>
            <a:rPr lang="pl-PL" sz="1100" b="1">
              <a:latin typeface="Times New Roman" pitchFamily="18" charset="0"/>
              <a:cs typeface="Times New Roman" pitchFamily="18" charset="0"/>
            </a:rPr>
            <a:t>EUR 588.58 m </a:t>
          </a:r>
          <a:r>
            <a:rPr lang="pl-PL" sz="1100" b="0">
              <a:latin typeface="Times New Roman" pitchFamily="18" charset="0"/>
              <a:cs typeface="Times New Roman" pitchFamily="18" charset="0"/>
            </a:rPr>
            <a:t>payments</a:t>
          </a:r>
        </a:p>
      </dgm:t>
    </dgm:pt>
    <dgm:pt modelId="{2811B370-C586-4969-9C52-31AEFBCDB9D8}" type="parTrans" cxnId="{3E533D97-DE8B-44F5-91E9-04668C6B60F7}">
      <dgm:prSet/>
      <dgm:spPr/>
      <dgm:t>
        <a:bodyPr/>
        <a:lstStyle/>
        <a:p>
          <a:endParaRPr lang="pl-PL"/>
        </a:p>
      </dgm:t>
    </dgm:pt>
    <dgm:pt modelId="{F3B63370-A898-44C9-9611-0D809959E70C}" type="sibTrans" cxnId="{3E533D97-DE8B-44F5-91E9-04668C6B60F7}">
      <dgm:prSet/>
      <dgm:spPr/>
      <dgm:t>
        <a:bodyPr/>
        <a:lstStyle/>
        <a:p>
          <a:endParaRPr lang="pl-PL"/>
        </a:p>
      </dgm:t>
    </dgm:pt>
    <dgm:pt modelId="{FDC0B519-CC8B-409C-90A7-36A7CB06451B}">
      <dgm:prSet phldrT="[Tekst]" custT="1"/>
      <dgm:spPr/>
      <dgm:t>
        <a:bodyPr/>
        <a:lstStyle/>
        <a:p>
          <a:r>
            <a:rPr lang="pl-PL" sz="1100" b="1">
              <a:latin typeface="Times New Roman" pitchFamily="18" charset="0"/>
              <a:cs typeface="Times New Roman" pitchFamily="18" charset="0"/>
            </a:rPr>
            <a:t>KP</a:t>
          </a:r>
        </a:p>
        <a:p>
          <a:r>
            <a:rPr lang="pl-PL" sz="1100" b="1">
              <a:latin typeface="Times New Roman" pitchFamily="18" charset="0"/>
              <a:cs typeface="Times New Roman" pitchFamily="18" charset="0"/>
            </a:rPr>
            <a:t>68 </a:t>
          </a:r>
          <a:r>
            <a:rPr lang="pl-PL" sz="1100" b="0">
              <a:latin typeface="Times New Roman" pitchFamily="18" charset="0"/>
              <a:cs typeface="Times New Roman" pitchFamily="18" charset="0"/>
            </a:rPr>
            <a:t>contracts</a:t>
          </a:r>
        </a:p>
        <a:p>
          <a:r>
            <a:rPr lang="pl-PL" sz="1100" b="1">
              <a:latin typeface="Times New Roman" pitchFamily="18" charset="0"/>
              <a:cs typeface="Times New Roman" pitchFamily="18" charset="0"/>
            </a:rPr>
            <a:t>EUR 562.99 m </a:t>
          </a:r>
          <a:r>
            <a:rPr lang="pl-PL" sz="1100" b="0">
              <a:latin typeface="Times New Roman" pitchFamily="18" charset="0"/>
              <a:cs typeface="Times New Roman" pitchFamily="18" charset="0"/>
            </a:rPr>
            <a:t>value</a:t>
          </a:r>
        </a:p>
        <a:p>
          <a:r>
            <a:rPr lang="pl-PL" sz="1100" b="1">
              <a:latin typeface="Times New Roman" pitchFamily="18" charset="0"/>
              <a:cs typeface="Times New Roman" pitchFamily="18" charset="0"/>
            </a:rPr>
            <a:t>EUR 347.37 m </a:t>
          </a:r>
          <a:r>
            <a:rPr lang="pl-PL" sz="1100" b="0">
              <a:latin typeface="Times New Roman" pitchFamily="18" charset="0"/>
              <a:cs typeface="Times New Roman" pitchFamily="18" charset="0"/>
            </a:rPr>
            <a:t>subsidy</a:t>
          </a:r>
        </a:p>
        <a:p>
          <a:r>
            <a:rPr lang="pl-PL" sz="1100" b="1">
              <a:latin typeface="Times New Roman" pitchFamily="18" charset="0"/>
              <a:cs typeface="Times New Roman" pitchFamily="18" charset="0"/>
            </a:rPr>
            <a:t>EUR 129.32 m </a:t>
          </a:r>
          <a:r>
            <a:rPr lang="pl-PL" sz="1100" b="0">
              <a:latin typeface="Times New Roman" pitchFamily="18" charset="0"/>
              <a:cs typeface="Times New Roman" pitchFamily="18" charset="0"/>
            </a:rPr>
            <a:t>payments</a:t>
          </a:r>
        </a:p>
      </dgm:t>
    </dgm:pt>
    <dgm:pt modelId="{FC8648F2-33D1-496F-8E9B-30A86843E7C3}" type="parTrans" cxnId="{4DCCF364-11E3-40ED-ACDA-98906DD605ED}">
      <dgm:prSet/>
      <dgm:spPr/>
      <dgm:t>
        <a:bodyPr/>
        <a:lstStyle/>
        <a:p>
          <a:endParaRPr lang="pl-PL"/>
        </a:p>
      </dgm:t>
    </dgm:pt>
    <dgm:pt modelId="{F53F1BC0-A913-433D-8450-2451E7B5A9C5}" type="sibTrans" cxnId="{4DCCF364-11E3-40ED-ACDA-98906DD605ED}">
      <dgm:prSet/>
      <dgm:spPr/>
      <dgm:t>
        <a:bodyPr/>
        <a:lstStyle/>
        <a:p>
          <a:endParaRPr lang="pl-PL"/>
        </a:p>
      </dgm:t>
    </dgm:pt>
    <dgm:pt modelId="{40DDF528-1F45-48D5-B9D1-F8BD2237B669}">
      <dgm:prSet custT="1"/>
      <dgm:spPr/>
      <dgm:t>
        <a:bodyPr/>
        <a:lstStyle/>
        <a:p>
          <a:r>
            <a:rPr lang="pl-PL" sz="1100" b="1">
              <a:latin typeface="Times New Roman" pitchFamily="18" charset="0"/>
              <a:cs typeface="Times New Roman" pitchFamily="18" charset="0"/>
            </a:rPr>
            <a:t>SDP</a:t>
          </a:r>
        </a:p>
        <a:p>
          <a:r>
            <a:rPr lang="pl-PL" sz="1100" b="1">
              <a:latin typeface="Times New Roman" pitchFamily="18" charset="0"/>
              <a:cs typeface="Times New Roman" pitchFamily="18" charset="0"/>
            </a:rPr>
            <a:t>215 </a:t>
          </a:r>
          <a:r>
            <a:rPr lang="pl-PL" sz="1100" b="0">
              <a:latin typeface="Times New Roman" pitchFamily="18" charset="0"/>
              <a:cs typeface="Times New Roman" pitchFamily="18" charset="0"/>
            </a:rPr>
            <a:t>contracts</a:t>
          </a:r>
        </a:p>
        <a:p>
          <a:r>
            <a:rPr lang="pl-PL" sz="1100" b="1">
              <a:latin typeface="Times New Roman" pitchFamily="18" charset="0"/>
              <a:cs typeface="Times New Roman" pitchFamily="18" charset="0"/>
            </a:rPr>
            <a:t>EUR 273.99 m </a:t>
          </a:r>
          <a:r>
            <a:rPr lang="pl-PL" sz="1100" b="0">
              <a:latin typeface="Times New Roman" pitchFamily="18" charset="0"/>
              <a:cs typeface="Times New Roman" pitchFamily="18" charset="0"/>
            </a:rPr>
            <a:t>value</a:t>
          </a:r>
        </a:p>
        <a:p>
          <a:r>
            <a:rPr lang="pl-PL" sz="1100" b="0">
              <a:latin typeface="Times New Roman" pitchFamily="18" charset="0"/>
              <a:cs typeface="Times New Roman" pitchFamily="18" charset="0"/>
            </a:rPr>
            <a:t> </a:t>
          </a:r>
          <a:r>
            <a:rPr lang="pl-PL" sz="1100" b="1">
              <a:latin typeface="Times New Roman" pitchFamily="18" charset="0"/>
              <a:cs typeface="Times New Roman" pitchFamily="18" charset="0"/>
            </a:rPr>
            <a:t>EUR 224.55 m </a:t>
          </a:r>
          <a:r>
            <a:rPr lang="pl-PL" sz="1100" b="0">
              <a:latin typeface="Times New Roman" pitchFamily="18" charset="0"/>
              <a:cs typeface="Times New Roman" pitchFamily="18" charset="0"/>
            </a:rPr>
            <a:t>subsidy</a:t>
          </a:r>
        </a:p>
        <a:p>
          <a:r>
            <a:rPr lang="pl-PL" sz="1100" b="1">
              <a:latin typeface="Times New Roman" pitchFamily="18" charset="0"/>
              <a:cs typeface="Times New Roman" pitchFamily="18" charset="0"/>
            </a:rPr>
            <a:t>EUR 95.18 m </a:t>
          </a:r>
          <a:r>
            <a:rPr lang="pl-PL" sz="1100" b="0">
              <a:latin typeface="Times New Roman" pitchFamily="18" charset="0"/>
              <a:cs typeface="Times New Roman" pitchFamily="18" charset="0"/>
            </a:rPr>
            <a:t>payments</a:t>
          </a:r>
        </a:p>
      </dgm:t>
    </dgm:pt>
    <dgm:pt modelId="{D74B42E5-544B-489E-8C04-643DB105792E}" type="parTrans" cxnId="{0765F1AE-A4A6-44CB-A4A2-E663A36BB37A}">
      <dgm:prSet/>
      <dgm:spPr/>
      <dgm:t>
        <a:bodyPr/>
        <a:lstStyle/>
        <a:p>
          <a:endParaRPr lang="pl-PL"/>
        </a:p>
      </dgm:t>
    </dgm:pt>
    <dgm:pt modelId="{5D0D28A4-5A0A-47E9-BEAF-FC3A5960C302}" type="sibTrans" cxnId="{0765F1AE-A4A6-44CB-A4A2-E663A36BB37A}">
      <dgm:prSet/>
      <dgm:spPr/>
      <dgm:t>
        <a:bodyPr/>
        <a:lstStyle/>
        <a:p>
          <a:endParaRPr lang="pl-PL"/>
        </a:p>
      </dgm:t>
    </dgm:pt>
    <dgm:pt modelId="{0CC3DA67-50C2-4705-9E30-7D04EC04C4D6}">
      <dgm:prSet custT="1"/>
      <dgm:spPr/>
      <dgm:t>
        <a:bodyPr/>
        <a:lstStyle/>
        <a:p>
          <a:r>
            <a:rPr lang="pl-PL" sz="1100" b="1">
              <a:latin typeface="Times New Roman" pitchFamily="18" charset="0"/>
              <a:cs typeface="Times New Roman" pitchFamily="18" charset="0"/>
            </a:rPr>
            <a:t>COMPETITIONS</a:t>
          </a:r>
        </a:p>
        <a:p>
          <a:r>
            <a:rPr lang="pl-PL" sz="1100" b="1">
              <a:latin typeface="Times New Roman" pitchFamily="18" charset="0"/>
              <a:cs typeface="Times New Roman" pitchFamily="18" charset="0"/>
            </a:rPr>
            <a:t>2836 </a:t>
          </a:r>
          <a:r>
            <a:rPr lang="pl-PL" sz="1100" b="0">
              <a:latin typeface="Times New Roman" pitchFamily="18" charset="0"/>
              <a:cs typeface="Times New Roman" pitchFamily="18" charset="0"/>
            </a:rPr>
            <a:t>contracts </a:t>
          </a:r>
        </a:p>
        <a:p>
          <a:r>
            <a:rPr lang="pl-PL" sz="1100" b="1">
              <a:latin typeface="Times New Roman" pitchFamily="18" charset="0"/>
              <a:cs typeface="Times New Roman" pitchFamily="18" charset="0"/>
            </a:rPr>
            <a:t>EUR 1056.09 m </a:t>
          </a:r>
          <a:r>
            <a:rPr lang="pl-PL" sz="1100" b="0">
              <a:latin typeface="Times New Roman" pitchFamily="18" charset="0"/>
              <a:cs typeface="Times New Roman" pitchFamily="18" charset="0"/>
            </a:rPr>
            <a:t>value </a:t>
          </a:r>
        </a:p>
        <a:p>
          <a:r>
            <a:rPr lang="pl-PL" sz="1100" b="1">
              <a:latin typeface="Times New Roman" pitchFamily="18" charset="0"/>
              <a:cs typeface="Times New Roman" pitchFamily="18" charset="0"/>
            </a:rPr>
            <a:t>EUR 545.23 m </a:t>
          </a:r>
          <a:r>
            <a:rPr lang="pl-PL" sz="1100" b="0">
              <a:latin typeface="Times New Roman" pitchFamily="18" charset="0"/>
              <a:cs typeface="Times New Roman" pitchFamily="18" charset="0"/>
            </a:rPr>
            <a:t>subsidy</a:t>
          </a:r>
        </a:p>
        <a:p>
          <a:r>
            <a:rPr lang="pl-PL" sz="1100" b="1">
              <a:latin typeface="Times New Roman" pitchFamily="18" charset="0"/>
              <a:cs typeface="Times New Roman" pitchFamily="18" charset="0"/>
            </a:rPr>
            <a:t>EUR 304.08 m </a:t>
          </a:r>
          <a:r>
            <a:rPr lang="pl-PL" sz="1100" b="0">
              <a:latin typeface="Times New Roman" pitchFamily="18" charset="0"/>
              <a:cs typeface="Times New Roman" pitchFamily="18" charset="0"/>
            </a:rPr>
            <a:t>payments</a:t>
          </a:r>
        </a:p>
        <a:p>
          <a:endParaRPr lang="pl-PL" sz="1100" b="1">
            <a:latin typeface="Times New Roman" pitchFamily="18" charset="0"/>
            <a:cs typeface="Times New Roman" pitchFamily="18" charset="0"/>
          </a:endParaRPr>
        </a:p>
      </dgm:t>
    </dgm:pt>
    <dgm:pt modelId="{B8C072D8-1D65-4780-A9EC-9C14BE65B959}" type="parTrans" cxnId="{746B97E7-67D9-4D7B-B396-9AFC48ACA179}">
      <dgm:prSet/>
      <dgm:spPr/>
      <dgm:t>
        <a:bodyPr/>
        <a:lstStyle/>
        <a:p>
          <a:endParaRPr lang="pl-PL"/>
        </a:p>
      </dgm:t>
    </dgm:pt>
    <dgm:pt modelId="{CC85EB71-B7C2-451A-8320-9B23DF741CD5}" type="sibTrans" cxnId="{746B97E7-67D9-4D7B-B396-9AFC48ACA179}">
      <dgm:prSet/>
      <dgm:spPr/>
      <dgm:t>
        <a:bodyPr/>
        <a:lstStyle/>
        <a:p>
          <a:endParaRPr lang="pl-PL"/>
        </a:p>
      </dgm:t>
    </dgm:pt>
    <dgm:pt modelId="{970F7203-96B6-4570-82A2-2EE7673D82E9}">
      <dgm:prSet phldrT="[Tekst]" custT="1"/>
      <dgm:spPr/>
      <dgm:t>
        <a:bodyPr/>
        <a:lstStyle/>
        <a:p>
          <a:r>
            <a:rPr lang="pl-PL" sz="1100" b="1">
              <a:latin typeface="Times New Roman" pitchFamily="18" charset="0"/>
              <a:cs typeface="Times New Roman" pitchFamily="18" charset="0"/>
            </a:rPr>
            <a:t>JESSICA</a:t>
          </a:r>
        </a:p>
        <a:p>
          <a:r>
            <a:rPr lang="pl-PL" sz="1100" b="1">
              <a:latin typeface="Times New Roman" pitchFamily="18" charset="0"/>
              <a:cs typeface="Times New Roman" pitchFamily="18" charset="0"/>
            </a:rPr>
            <a:t>1 </a:t>
          </a:r>
          <a:r>
            <a:rPr lang="pl-PL" sz="1100" b="0">
              <a:latin typeface="Times New Roman" pitchFamily="18" charset="0"/>
              <a:cs typeface="Times New Roman" pitchFamily="18" charset="0"/>
            </a:rPr>
            <a:t>contract for the sum of</a:t>
          </a:r>
          <a:r>
            <a:rPr lang="pl-PL" sz="1100" b="1">
              <a:latin typeface="Times New Roman" pitchFamily="18" charset="0"/>
              <a:cs typeface="Times New Roman" pitchFamily="18" charset="0"/>
            </a:rPr>
            <a:t> EUR 55.14 m</a:t>
          </a:r>
        </a:p>
        <a:p>
          <a:r>
            <a:rPr lang="pl-PL" sz="1100" b="1">
              <a:latin typeface="Times New Roman" pitchFamily="18" charset="0"/>
              <a:cs typeface="Times New Roman" pitchFamily="18" charset="0"/>
            </a:rPr>
            <a:t>EUR 55.14 m </a:t>
          </a:r>
          <a:r>
            <a:rPr lang="pl-PL" sz="1100" b="0">
              <a:latin typeface="Times New Roman" pitchFamily="18" charset="0"/>
              <a:cs typeface="Times New Roman" pitchFamily="18" charset="0"/>
            </a:rPr>
            <a:t>payments</a:t>
          </a:r>
        </a:p>
      </dgm:t>
    </dgm:pt>
    <dgm:pt modelId="{27EE33B6-6AF5-4539-9A77-21D99AFED6FB}" type="sibTrans" cxnId="{B85D0716-60DA-45E2-AC16-91A3D5A76289}">
      <dgm:prSet/>
      <dgm:spPr/>
      <dgm:t>
        <a:bodyPr/>
        <a:lstStyle/>
        <a:p>
          <a:endParaRPr lang="pl-PL"/>
        </a:p>
      </dgm:t>
    </dgm:pt>
    <dgm:pt modelId="{DF0014E8-3AAB-4878-9BB5-7D41CAD92190}" type="parTrans" cxnId="{B85D0716-60DA-45E2-AC16-91A3D5A76289}">
      <dgm:prSet/>
      <dgm:spPr/>
      <dgm:t>
        <a:bodyPr/>
        <a:lstStyle/>
        <a:p>
          <a:endParaRPr lang="pl-PL"/>
        </a:p>
      </dgm:t>
    </dgm:pt>
    <dgm:pt modelId="{D483BC76-92C1-4E06-8D25-0651B7356205}" type="pres">
      <dgm:prSet presAssocID="{3665A5D7-27E4-4F6E-972F-B613129F95DE}" presName="hierChild1" presStyleCnt="0">
        <dgm:presLayoutVars>
          <dgm:chPref val="1"/>
          <dgm:dir/>
          <dgm:animOne val="branch"/>
          <dgm:animLvl val="lvl"/>
          <dgm:resizeHandles/>
        </dgm:presLayoutVars>
      </dgm:prSet>
      <dgm:spPr/>
      <dgm:t>
        <a:bodyPr/>
        <a:lstStyle/>
        <a:p>
          <a:endParaRPr lang="pl-PL"/>
        </a:p>
      </dgm:t>
    </dgm:pt>
    <dgm:pt modelId="{4000021D-0637-445E-8D79-4826D3A6689A}" type="pres">
      <dgm:prSet presAssocID="{C675866D-C001-4801-9797-7266D4481C20}" presName="hierRoot1" presStyleCnt="0"/>
      <dgm:spPr/>
      <dgm:t>
        <a:bodyPr/>
        <a:lstStyle/>
        <a:p>
          <a:endParaRPr lang="pl-PL"/>
        </a:p>
      </dgm:t>
    </dgm:pt>
    <dgm:pt modelId="{B9FA2158-ED43-43BB-9545-60F863294706}" type="pres">
      <dgm:prSet presAssocID="{C675866D-C001-4801-9797-7266D4481C20}" presName="composite" presStyleCnt="0"/>
      <dgm:spPr/>
      <dgm:t>
        <a:bodyPr/>
        <a:lstStyle/>
        <a:p>
          <a:endParaRPr lang="pl-PL"/>
        </a:p>
      </dgm:t>
    </dgm:pt>
    <dgm:pt modelId="{67F50A69-018D-46C3-AE9C-AC68943FAF3A}" type="pres">
      <dgm:prSet presAssocID="{C675866D-C001-4801-9797-7266D4481C20}" presName="background" presStyleLbl="node0" presStyleIdx="0" presStyleCnt="1"/>
      <dgm:spPr/>
      <dgm:t>
        <a:bodyPr/>
        <a:lstStyle/>
        <a:p>
          <a:endParaRPr lang="pl-PL"/>
        </a:p>
      </dgm:t>
    </dgm:pt>
    <dgm:pt modelId="{A279A664-0485-467D-ACA4-6F38EC03A809}" type="pres">
      <dgm:prSet presAssocID="{C675866D-C001-4801-9797-7266D4481C20}" presName="text" presStyleLbl="fgAcc0" presStyleIdx="0" presStyleCnt="1" custScaleX="263265" custScaleY="120236" custLinFactNeighborX="-641" custLinFactNeighborY="-39374">
        <dgm:presLayoutVars>
          <dgm:chPref val="3"/>
        </dgm:presLayoutVars>
      </dgm:prSet>
      <dgm:spPr/>
      <dgm:t>
        <a:bodyPr/>
        <a:lstStyle/>
        <a:p>
          <a:endParaRPr lang="pl-PL"/>
        </a:p>
      </dgm:t>
    </dgm:pt>
    <dgm:pt modelId="{D5EF776B-4FCC-4A6F-B68C-685F3F10A76D}" type="pres">
      <dgm:prSet presAssocID="{C675866D-C001-4801-9797-7266D4481C20}" presName="hierChild2" presStyleCnt="0"/>
      <dgm:spPr/>
      <dgm:t>
        <a:bodyPr/>
        <a:lstStyle/>
        <a:p>
          <a:endParaRPr lang="pl-PL"/>
        </a:p>
      </dgm:t>
    </dgm:pt>
    <dgm:pt modelId="{2FE744FF-7BF8-4594-8EEE-101F666CC27E}" type="pres">
      <dgm:prSet presAssocID="{DF0014E8-3AAB-4878-9BB5-7D41CAD92190}" presName="Name10" presStyleLbl="parChTrans1D2" presStyleIdx="0" presStyleCnt="4"/>
      <dgm:spPr/>
      <dgm:t>
        <a:bodyPr/>
        <a:lstStyle/>
        <a:p>
          <a:endParaRPr lang="pl-PL"/>
        </a:p>
      </dgm:t>
    </dgm:pt>
    <dgm:pt modelId="{2CC79F90-CC19-46D1-BF7C-C65D361265C6}" type="pres">
      <dgm:prSet presAssocID="{970F7203-96B6-4570-82A2-2EE7673D82E9}" presName="hierRoot2" presStyleCnt="0"/>
      <dgm:spPr/>
      <dgm:t>
        <a:bodyPr/>
        <a:lstStyle/>
        <a:p>
          <a:endParaRPr lang="pl-PL"/>
        </a:p>
      </dgm:t>
    </dgm:pt>
    <dgm:pt modelId="{02C06B3A-587A-427E-BE0B-9679D2923509}" type="pres">
      <dgm:prSet presAssocID="{970F7203-96B6-4570-82A2-2EE7673D82E9}" presName="composite2" presStyleCnt="0"/>
      <dgm:spPr/>
      <dgm:t>
        <a:bodyPr/>
        <a:lstStyle/>
        <a:p>
          <a:endParaRPr lang="pl-PL"/>
        </a:p>
      </dgm:t>
    </dgm:pt>
    <dgm:pt modelId="{308675C2-C4AA-463D-BCF5-6361AD763858}" type="pres">
      <dgm:prSet presAssocID="{970F7203-96B6-4570-82A2-2EE7673D82E9}" presName="background2" presStyleLbl="node2" presStyleIdx="0" presStyleCnt="4"/>
      <dgm:spPr/>
      <dgm:t>
        <a:bodyPr/>
        <a:lstStyle/>
        <a:p>
          <a:endParaRPr lang="pl-PL"/>
        </a:p>
      </dgm:t>
    </dgm:pt>
    <dgm:pt modelId="{49E9D205-5D8A-46A6-A798-DD97FD7E3290}" type="pres">
      <dgm:prSet presAssocID="{970F7203-96B6-4570-82A2-2EE7673D82E9}" presName="text2" presStyleLbl="fgAcc2" presStyleIdx="0" presStyleCnt="4" custScaleY="112009">
        <dgm:presLayoutVars>
          <dgm:chPref val="3"/>
        </dgm:presLayoutVars>
      </dgm:prSet>
      <dgm:spPr/>
      <dgm:t>
        <a:bodyPr/>
        <a:lstStyle/>
        <a:p>
          <a:endParaRPr lang="pl-PL"/>
        </a:p>
      </dgm:t>
    </dgm:pt>
    <dgm:pt modelId="{5E2310B3-BE84-4C7B-9954-8D751E3E865B}" type="pres">
      <dgm:prSet presAssocID="{970F7203-96B6-4570-82A2-2EE7673D82E9}" presName="hierChild3" presStyleCnt="0"/>
      <dgm:spPr/>
      <dgm:t>
        <a:bodyPr/>
        <a:lstStyle/>
        <a:p>
          <a:endParaRPr lang="pl-PL"/>
        </a:p>
      </dgm:t>
    </dgm:pt>
    <dgm:pt modelId="{E9283C57-586A-4B4F-A41B-88E8E5F53462}" type="pres">
      <dgm:prSet presAssocID="{B8C072D8-1D65-4780-A9EC-9C14BE65B959}" presName="Name10" presStyleLbl="parChTrans1D2" presStyleIdx="1" presStyleCnt="4"/>
      <dgm:spPr/>
      <dgm:t>
        <a:bodyPr/>
        <a:lstStyle/>
        <a:p>
          <a:endParaRPr lang="pl-PL"/>
        </a:p>
      </dgm:t>
    </dgm:pt>
    <dgm:pt modelId="{B369D53F-B377-48DC-A63B-00B8A9264180}" type="pres">
      <dgm:prSet presAssocID="{0CC3DA67-50C2-4705-9E30-7D04EC04C4D6}" presName="hierRoot2" presStyleCnt="0"/>
      <dgm:spPr/>
      <dgm:t>
        <a:bodyPr/>
        <a:lstStyle/>
        <a:p>
          <a:endParaRPr lang="pl-PL"/>
        </a:p>
      </dgm:t>
    </dgm:pt>
    <dgm:pt modelId="{CAAC4A0E-27AF-4EF3-9538-CAB398BE7912}" type="pres">
      <dgm:prSet presAssocID="{0CC3DA67-50C2-4705-9E30-7D04EC04C4D6}" presName="composite2" presStyleCnt="0"/>
      <dgm:spPr/>
      <dgm:t>
        <a:bodyPr/>
        <a:lstStyle/>
        <a:p>
          <a:endParaRPr lang="pl-PL"/>
        </a:p>
      </dgm:t>
    </dgm:pt>
    <dgm:pt modelId="{95A42560-94C2-49BF-AF1C-FC794A69EC15}" type="pres">
      <dgm:prSet presAssocID="{0CC3DA67-50C2-4705-9E30-7D04EC04C4D6}" presName="background2" presStyleLbl="node2" presStyleIdx="1" presStyleCnt="4"/>
      <dgm:spPr/>
      <dgm:t>
        <a:bodyPr/>
        <a:lstStyle/>
        <a:p>
          <a:endParaRPr lang="pl-PL"/>
        </a:p>
      </dgm:t>
    </dgm:pt>
    <dgm:pt modelId="{B6E19100-C668-4BD9-A3CD-975BA100B88F}" type="pres">
      <dgm:prSet presAssocID="{0CC3DA67-50C2-4705-9E30-7D04EC04C4D6}" presName="text2" presStyleLbl="fgAcc2" presStyleIdx="1" presStyleCnt="4" custScaleX="120713" custScaleY="122180">
        <dgm:presLayoutVars>
          <dgm:chPref val="3"/>
        </dgm:presLayoutVars>
      </dgm:prSet>
      <dgm:spPr/>
      <dgm:t>
        <a:bodyPr/>
        <a:lstStyle/>
        <a:p>
          <a:endParaRPr lang="pl-PL"/>
        </a:p>
      </dgm:t>
    </dgm:pt>
    <dgm:pt modelId="{9DB870C9-FAF9-4F88-AD09-8235C816BA16}" type="pres">
      <dgm:prSet presAssocID="{0CC3DA67-50C2-4705-9E30-7D04EC04C4D6}" presName="hierChild3" presStyleCnt="0"/>
      <dgm:spPr/>
      <dgm:t>
        <a:bodyPr/>
        <a:lstStyle/>
        <a:p>
          <a:endParaRPr lang="pl-PL"/>
        </a:p>
      </dgm:t>
    </dgm:pt>
    <dgm:pt modelId="{EED2D65C-5BA4-41B7-8263-A0346E3190A5}" type="pres">
      <dgm:prSet presAssocID="{D74B42E5-544B-489E-8C04-643DB105792E}" presName="Name10" presStyleLbl="parChTrans1D2" presStyleIdx="2" presStyleCnt="4"/>
      <dgm:spPr/>
      <dgm:t>
        <a:bodyPr/>
        <a:lstStyle/>
        <a:p>
          <a:endParaRPr lang="pl-PL"/>
        </a:p>
      </dgm:t>
    </dgm:pt>
    <dgm:pt modelId="{9927562B-1E01-4F53-962A-E4BD82D0A282}" type="pres">
      <dgm:prSet presAssocID="{40DDF528-1F45-48D5-B9D1-F8BD2237B669}" presName="hierRoot2" presStyleCnt="0"/>
      <dgm:spPr/>
      <dgm:t>
        <a:bodyPr/>
        <a:lstStyle/>
        <a:p>
          <a:endParaRPr lang="pl-PL"/>
        </a:p>
      </dgm:t>
    </dgm:pt>
    <dgm:pt modelId="{42C9C556-478B-46A9-A4F6-79AE9B46074D}" type="pres">
      <dgm:prSet presAssocID="{40DDF528-1F45-48D5-B9D1-F8BD2237B669}" presName="composite2" presStyleCnt="0"/>
      <dgm:spPr/>
      <dgm:t>
        <a:bodyPr/>
        <a:lstStyle/>
        <a:p>
          <a:endParaRPr lang="pl-PL"/>
        </a:p>
      </dgm:t>
    </dgm:pt>
    <dgm:pt modelId="{C5A16536-3AC6-4E75-B31C-0D347DCC77FE}" type="pres">
      <dgm:prSet presAssocID="{40DDF528-1F45-48D5-B9D1-F8BD2237B669}" presName="background2" presStyleLbl="node2" presStyleIdx="2" presStyleCnt="4"/>
      <dgm:spPr/>
      <dgm:t>
        <a:bodyPr/>
        <a:lstStyle/>
        <a:p>
          <a:endParaRPr lang="pl-PL"/>
        </a:p>
      </dgm:t>
    </dgm:pt>
    <dgm:pt modelId="{E1720316-F9D4-4D14-BB70-2EA78EB62115}" type="pres">
      <dgm:prSet presAssocID="{40DDF528-1F45-48D5-B9D1-F8BD2237B669}" presName="text2" presStyleLbl="fgAcc2" presStyleIdx="2" presStyleCnt="4" custScaleX="116206" custScaleY="119656">
        <dgm:presLayoutVars>
          <dgm:chPref val="3"/>
        </dgm:presLayoutVars>
      </dgm:prSet>
      <dgm:spPr/>
      <dgm:t>
        <a:bodyPr/>
        <a:lstStyle/>
        <a:p>
          <a:endParaRPr lang="pl-PL"/>
        </a:p>
      </dgm:t>
    </dgm:pt>
    <dgm:pt modelId="{ACC07641-67FA-47DF-9496-C500D952FB60}" type="pres">
      <dgm:prSet presAssocID="{40DDF528-1F45-48D5-B9D1-F8BD2237B669}" presName="hierChild3" presStyleCnt="0"/>
      <dgm:spPr/>
      <dgm:t>
        <a:bodyPr/>
        <a:lstStyle/>
        <a:p>
          <a:endParaRPr lang="pl-PL"/>
        </a:p>
      </dgm:t>
    </dgm:pt>
    <dgm:pt modelId="{680CD916-12A7-479E-BEB4-53D4C704D89E}" type="pres">
      <dgm:prSet presAssocID="{FC8648F2-33D1-496F-8E9B-30A86843E7C3}" presName="Name10" presStyleLbl="parChTrans1D2" presStyleIdx="3" presStyleCnt="4"/>
      <dgm:spPr/>
      <dgm:t>
        <a:bodyPr/>
        <a:lstStyle/>
        <a:p>
          <a:endParaRPr lang="pl-PL"/>
        </a:p>
      </dgm:t>
    </dgm:pt>
    <dgm:pt modelId="{0AB7ADC7-A03D-4E71-9DEA-BC84B62311CD}" type="pres">
      <dgm:prSet presAssocID="{FDC0B519-CC8B-409C-90A7-36A7CB06451B}" presName="hierRoot2" presStyleCnt="0"/>
      <dgm:spPr/>
      <dgm:t>
        <a:bodyPr/>
        <a:lstStyle/>
        <a:p>
          <a:endParaRPr lang="pl-PL"/>
        </a:p>
      </dgm:t>
    </dgm:pt>
    <dgm:pt modelId="{45F99E89-D4A4-4FCA-9FCD-0D1E5AB1DFE8}" type="pres">
      <dgm:prSet presAssocID="{FDC0B519-CC8B-409C-90A7-36A7CB06451B}" presName="composite2" presStyleCnt="0"/>
      <dgm:spPr/>
      <dgm:t>
        <a:bodyPr/>
        <a:lstStyle/>
        <a:p>
          <a:endParaRPr lang="pl-PL"/>
        </a:p>
      </dgm:t>
    </dgm:pt>
    <dgm:pt modelId="{289ED444-2079-46DF-A3E6-ECF06A110263}" type="pres">
      <dgm:prSet presAssocID="{FDC0B519-CC8B-409C-90A7-36A7CB06451B}" presName="background2" presStyleLbl="node2" presStyleIdx="3" presStyleCnt="4"/>
      <dgm:spPr/>
      <dgm:t>
        <a:bodyPr/>
        <a:lstStyle/>
        <a:p>
          <a:endParaRPr lang="pl-PL"/>
        </a:p>
      </dgm:t>
    </dgm:pt>
    <dgm:pt modelId="{F3596107-DC59-4F16-82A4-265B86B44BDE}" type="pres">
      <dgm:prSet presAssocID="{FDC0B519-CC8B-409C-90A7-36A7CB06451B}" presName="text2" presStyleLbl="fgAcc2" presStyleIdx="3" presStyleCnt="4" custScaleY="116738">
        <dgm:presLayoutVars>
          <dgm:chPref val="3"/>
        </dgm:presLayoutVars>
      </dgm:prSet>
      <dgm:spPr/>
      <dgm:t>
        <a:bodyPr/>
        <a:lstStyle/>
        <a:p>
          <a:endParaRPr lang="pl-PL"/>
        </a:p>
      </dgm:t>
    </dgm:pt>
    <dgm:pt modelId="{FAAFF926-2570-42F3-8F95-CEAD2402872B}" type="pres">
      <dgm:prSet presAssocID="{FDC0B519-CC8B-409C-90A7-36A7CB06451B}" presName="hierChild3" presStyleCnt="0"/>
      <dgm:spPr/>
      <dgm:t>
        <a:bodyPr/>
        <a:lstStyle/>
        <a:p>
          <a:endParaRPr lang="pl-PL"/>
        </a:p>
      </dgm:t>
    </dgm:pt>
  </dgm:ptLst>
  <dgm:cxnLst>
    <dgm:cxn modelId="{4DCCF364-11E3-40ED-ACDA-98906DD605ED}" srcId="{C675866D-C001-4801-9797-7266D4481C20}" destId="{FDC0B519-CC8B-409C-90A7-36A7CB06451B}" srcOrd="3" destOrd="0" parTransId="{FC8648F2-33D1-496F-8E9B-30A86843E7C3}" sibTransId="{F53F1BC0-A913-433D-8450-2451E7B5A9C5}"/>
    <dgm:cxn modelId="{D3DF41D2-6386-4DA4-9F18-8E655213F5D8}" type="presOf" srcId="{40DDF528-1F45-48D5-B9D1-F8BD2237B669}" destId="{E1720316-F9D4-4D14-BB70-2EA78EB62115}" srcOrd="0" destOrd="0" presId="urn:microsoft.com/office/officeart/2005/8/layout/hierarchy1"/>
    <dgm:cxn modelId="{7205AC2C-60E5-4CD6-868D-B7C6F51EF1E6}" type="presOf" srcId="{0CC3DA67-50C2-4705-9E30-7D04EC04C4D6}" destId="{B6E19100-C668-4BD9-A3CD-975BA100B88F}" srcOrd="0" destOrd="0" presId="urn:microsoft.com/office/officeart/2005/8/layout/hierarchy1"/>
    <dgm:cxn modelId="{0E2866EA-FC49-4AF4-AD59-D438A817E3AF}" type="presOf" srcId="{FDC0B519-CC8B-409C-90A7-36A7CB06451B}" destId="{F3596107-DC59-4F16-82A4-265B86B44BDE}" srcOrd="0" destOrd="0" presId="urn:microsoft.com/office/officeart/2005/8/layout/hierarchy1"/>
    <dgm:cxn modelId="{3E533D97-DE8B-44F5-91E9-04668C6B60F7}" srcId="{3665A5D7-27E4-4F6E-972F-B613129F95DE}" destId="{C675866D-C001-4801-9797-7266D4481C20}" srcOrd="0" destOrd="0" parTransId="{2811B370-C586-4969-9C52-31AEFBCDB9D8}" sibTransId="{F3B63370-A898-44C9-9611-0D809959E70C}"/>
    <dgm:cxn modelId="{0765F1AE-A4A6-44CB-A4A2-E663A36BB37A}" srcId="{C675866D-C001-4801-9797-7266D4481C20}" destId="{40DDF528-1F45-48D5-B9D1-F8BD2237B669}" srcOrd="2" destOrd="0" parTransId="{D74B42E5-544B-489E-8C04-643DB105792E}" sibTransId="{5D0D28A4-5A0A-47E9-BEAF-FC3A5960C302}"/>
    <dgm:cxn modelId="{3939A9EA-3FFE-4AA8-97D0-F05B1475AA7E}" type="presOf" srcId="{C675866D-C001-4801-9797-7266D4481C20}" destId="{A279A664-0485-467D-ACA4-6F38EC03A809}" srcOrd="0" destOrd="0" presId="urn:microsoft.com/office/officeart/2005/8/layout/hierarchy1"/>
    <dgm:cxn modelId="{ACADCF21-20BE-4827-B7E4-3929F6B3D699}" type="presOf" srcId="{B8C072D8-1D65-4780-A9EC-9C14BE65B959}" destId="{E9283C57-586A-4B4F-A41B-88E8E5F53462}" srcOrd="0" destOrd="0" presId="urn:microsoft.com/office/officeart/2005/8/layout/hierarchy1"/>
    <dgm:cxn modelId="{B85D0716-60DA-45E2-AC16-91A3D5A76289}" srcId="{C675866D-C001-4801-9797-7266D4481C20}" destId="{970F7203-96B6-4570-82A2-2EE7673D82E9}" srcOrd="0" destOrd="0" parTransId="{DF0014E8-3AAB-4878-9BB5-7D41CAD92190}" sibTransId="{27EE33B6-6AF5-4539-9A77-21D99AFED6FB}"/>
    <dgm:cxn modelId="{5F23FDB1-F109-4FEB-A1AD-ADC7946D26B0}" type="presOf" srcId="{FC8648F2-33D1-496F-8E9B-30A86843E7C3}" destId="{680CD916-12A7-479E-BEB4-53D4C704D89E}" srcOrd="0" destOrd="0" presId="urn:microsoft.com/office/officeart/2005/8/layout/hierarchy1"/>
    <dgm:cxn modelId="{B803F39E-3189-4725-9F93-65C8FED3FD4F}" type="presOf" srcId="{970F7203-96B6-4570-82A2-2EE7673D82E9}" destId="{49E9D205-5D8A-46A6-A798-DD97FD7E3290}" srcOrd="0" destOrd="0" presId="urn:microsoft.com/office/officeart/2005/8/layout/hierarchy1"/>
    <dgm:cxn modelId="{A21307B6-CE8E-4BD7-B819-57AA64F37931}" type="presOf" srcId="{D74B42E5-544B-489E-8C04-643DB105792E}" destId="{EED2D65C-5BA4-41B7-8263-A0346E3190A5}" srcOrd="0" destOrd="0" presId="urn:microsoft.com/office/officeart/2005/8/layout/hierarchy1"/>
    <dgm:cxn modelId="{F784115C-2B8A-49B0-8140-D2234337FF27}" type="presOf" srcId="{3665A5D7-27E4-4F6E-972F-B613129F95DE}" destId="{D483BC76-92C1-4E06-8D25-0651B7356205}" srcOrd="0" destOrd="0" presId="urn:microsoft.com/office/officeart/2005/8/layout/hierarchy1"/>
    <dgm:cxn modelId="{8333E1B4-FAD6-421F-814D-6C8568270164}" type="presOf" srcId="{DF0014E8-3AAB-4878-9BB5-7D41CAD92190}" destId="{2FE744FF-7BF8-4594-8EEE-101F666CC27E}" srcOrd="0" destOrd="0" presId="urn:microsoft.com/office/officeart/2005/8/layout/hierarchy1"/>
    <dgm:cxn modelId="{746B97E7-67D9-4D7B-B396-9AFC48ACA179}" srcId="{C675866D-C001-4801-9797-7266D4481C20}" destId="{0CC3DA67-50C2-4705-9E30-7D04EC04C4D6}" srcOrd="1" destOrd="0" parTransId="{B8C072D8-1D65-4780-A9EC-9C14BE65B959}" sibTransId="{CC85EB71-B7C2-451A-8320-9B23DF741CD5}"/>
    <dgm:cxn modelId="{77FE1AD9-DBCF-4550-86C6-E93E79FCD7CF}" type="presParOf" srcId="{D483BC76-92C1-4E06-8D25-0651B7356205}" destId="{4000021D-0637-445E-8D79-4826D3A6689A}" srcOrd="0" destOrd="0" presId="urn:microsoft.com/office/officeart/2005/8/layout/hierarchy1"/>
    <dgm:cxn modelId="{67B723C5-C0E1-45B4-9612-049715EBF5AD}" type="presParOf" srcId="{4000021D-0637-445E-8D79-4826D3A6689A}" destId="{B9FA2158-ED43-43BB-9545-60F863294706}" srcOrd="0" destOrd="0" presId="urn:microsoft.com/office/officeart/2005/8/layout/hierarchy1"/>
    <dgm:cxn modelId="{A42E7593-33AB-4DB7-9E23-37D28557B974}" type="presParOf" srcId="{B9FA2158-ED43-43BB-9545-60F863294706}" destId="{67F50A69-018D-46C3-AE9C-AC68943FAF3A}" srcOrd="0" destOrd="0" presId="urn:microsoft.com/office/officeart/2005/8/layout/hierarchy1"/>
    <dgm:cxn modelId="{34AEF988-D94D-4B82-B5F6-CE5B9DA212C5}" type="presParOf" srcId="{B9FA2158-ED43-43BB-9545-60F863294706}" destId="{A279A664-0485-467D-ACA4-6F38EC03A809}" srcOrd="1" destOrd="0" presId="urn:microsoft.com/office/officeart/2005/8/layout/hierarchy1"/>
    <dgm:cxn modelId="{AA4FD59C-6D58-492F-A76F-0BD51FF5C4AA}" type="presParOf" srcId="{4000021D-0637-445E-8D79-4826D3A6689A}" destId="{D5EF776B-4FCC-4A6F-B68C-685F3F10A76D}" srcOrd="1" destOrd="0" presId="urn:microsoft.com/office/officeart/2005/8/layout/hierarchy1"/>
    <dgm:cxn modelId="{4719ED85-CC7E-4F97-AF6C-E423844EDE86}" type="presParOf" srcId="{D5EF776B-4FCC-4A6F-B68C-685F3F10A76D}" destId="{2FE744FF-7BF8-4594-8EEE-101F666CC27E}" srcOrd="0" destOrd="0" presId="urn:microsoft.com/office/officeart/2005/8/layout/hierarchy1"/>
    <dgm:cxn modelId="{70F46914-6D41-4165-838F-FEAFE43E8B53}" type="presParOf" srcId="{D5EF776B-4FCC-4A6F-B68C-685F3F10A76D}" destId="{2CC79F90-CC19-46D1-BF7C-C65D361265C6}" srcOrd="1" destOrd="0" presId="urn:microsoft.com/office/officeart/2005/8/layout/hierarchy1"/>
    <dgm:cxn modelId="{6C90A048-C867-44EC-A72E-4F5060221A31}" type="presParOf" srcId="{2CC79F90-CC19-46D1-BF7C-C65D361265C6}" destId="{02C06B3A-587A-427E-BE0B-9679D2923509}" srcOrd="0" destOrd="0" presId="urn:microsoft.com/office/officeart/2005/8/layout/hierarchy1"/>
    <dgm:cxn modelId="{37598728-3602-4D9E-911A-272EF560C06E}" type="presParOf" srcId="{02C06B3A-587A-427E-BE0B-9679D2923509}" destId="{308675C2-C4AA-463D-BCF5-6361AD763858}" srcOrd="0" destOrd="0" presId="urn:microsoft.com/office/officeart/2005/8/layout/hierarchy1"/>
    <dgm:cxn modelId="{462C69CF-2D4A-4E99-BFA4-673BBBBFF74C}" type="presParOf" srcId="{02C06B3A-587A-427E-BE0B-9679D2923509}" destId="{49E9D205-5D8A-46A6-A798-DD97FD7E3290}" srcOrd="1" destOrd="0" presId="urn:microsoft.com/office/officeart/2005/8/layout/hierarchy1"/>
    <dgm:cxn modelId="{181B7B93-E0DF-4A42-A98A-45B1C60F6FEF}" type="presParOf" srcId="{2CC79F90-CC19-46D1-BF7C-C65D361265C6}" destId="{5E2310B3-BE84-4C7B-9954-8D751E3E865B}" srcOrd="1" destOrd="0" presId="urn:microsoft.com/office/officeart/2005/8/layout/hierarchy1"/>
    <dgm:cxn modelId="{30E1DE9A-CD57-4619-A359-B7E9AAE8634C}" type="presParOf" srcId="{D5EF776B-4FCC-4A6F-B68C-685F3F10A76D}" destId="{E9283C57-586A-4B4F-A41B-88E8E5F53462}" srcOrd="2" destOrd="0" presId="urn:microsoft.com/office/officeart/2005/8/layout/hierarchy1"/>
    <dgm:cxn modelId="{67647119-CD58-41F5-B698-D6BC9F6CA744}" type="presParOf" srcId="{D5EF776B-4FCC-4A6F-B68C-685F3F10A76D}" destId="{B369D53F-B377-48DC-A63B-00B8A9264180}" srcOrd="3" destOrd="0" presId="urn:microsoft.com/office/officeart/2005/8/layout/hierarchy1"/>
    <dgm:cxn modelId="{9FDF3E59-FE59-4F0D-A1A8-DC31958AFCEF}" type="presParOf" srcId="{B369D53F-B377-48DC-A63B-00B8A9264180}" destId="{CAAC4A0E-27AF-4EF3-9538-CAB398BE7912}" srcOrd="0" destOrd="0" presId="urn:microsoft.com/office/officeart/2005/8/layout/hierarchy1"/>
    <dgm:cxn modelId="{9D645EA8-0173-4035-82C5-495974E34571}" type="presParOf" srcId="{CAAC4A0E-27AF-4EF3-9538-CAB398BE7912}" destId="{95A42560-94C2-49BF-AF1C-FC794A69EC15}" srcOrd="0" destOrd="0" presId="urn:microsoft.com/office/officeart/2005/8/layout/hierarchy1"/>
    <dgm:cxn modelId="{F983A699-6247-469E-A03A-4FA837B890B0}" type="presParOf" srcId="{CAAC4A0E-27AF-4EF3-9538-CAB398BE7912}" destId="{B6E19100-C668-4BD9-A3CD-975BA100B88F}" srcOrd="1" destOrd="0" presId="urn:microsoft.com/office/officeart/2005/8/layout/hierarchy1"/>
    <dgm:cxn modelId="{9E4838DA-07F9-42EB-B0FA-443E68F08B12}" type="presParOf" srcId="{B369D53F-B377-48DC-A63B-00B8A9264180}" destId="{9DB870C9-FAF9-4F88-AD09-8235C816BA16}" srcOrd="1" destOrd="0" presId="urn:microsoft.com/office/officeart/2005/8/layout/hierarchy1"/>
    <dgm:cxn modelId="{580B3428-BEBA-4683-B43D-37CF3E708D83}" type="presParOf" srcId="{D5EF776B-4FCC-4A6F-B68C-685F3F10A76D}" destId="{EED2D65C-5BA4-41B7-8263-A0346E3190A5}" srcOrd="4" destOrd="0" presId="urn:microsoft.com/office/officeart/2005/8/layout/hierarchy1"/>
    <dgm:cxn modelId="{9C0FED6B-FB91-4C0A-A2BA-270E48FBB698}" type="presParOf" srcId="{D5EF776B-4FCC-4A6F-B68C-685F3F10A76D}" destId="{9927562B-1E01-4F53-962A-E4BD82D0A282}" srcOrd="5" destOrd="0" presId="urn:microsoft.com/office/officeart/2005/8/layout/hierarchy1"/>
    <dgm:cxn modelId="{28DB55DF-EE24-41FE-B587-3009D6F38A6E}" type="presParOf" srcId="{9927562B-1E01-4F53-962A-E4BD82D0A282}" destId="{42C9C556-478B-46A9-A4F6-79AE9B46074D}" srcOrd="0" destOrd="0" presId="urn:microsoft.com/office/officeart/2005/8/layout/hierarchy1"/>
    <dgm:cxn modelId="{83A2A3AD-9783-42F5-91DF-2AC7147BB315}" type="presParOf" srcId="{42C9C556-478B-46A9-A4F6-79AE9B46074D}" destId="{C5A16536-3AC6-4E75-B31C-0D347DCC77FE}" srcOrd="0" destOrd="0" presId="urn:microsoft.com/office/officeart/2005/8/layout/hierarchy1"/>
    <dgm:cxn modelId="{FA12FBCE-9FBE-4860-8F96-EE32704B4690}" type="presParOf" srcId="{42C9C556-478B-46A9-A4F6-79AE9B46074D}" destId="{E1720316-F9D4-4D14-BB70-2EA78EB62115}" srcOrd="1" destOrd="0" presId="urn:microsoft.com/office/officeart/2005/8/layout/hierarchy1"/>
    <dgm:cxn modelId="{D6B41472-08EB-44A8-85C6-48A0B21D1C31}" type="presParOf" srcId="{9927562B-1E01-4F53-962A-E4BD82D0A282}" destId="{ACC07641-67FA-47DF-9496-C500D952FB60}" srcOrd="1" destOrd="0" presId="urn:microsoft.com/office/officeart/2005/8/layout/hierarchy1"/>
    <dgm:cxn modelId="{33252D6B-917F-4A88-8F20-D8F35DA4497A}" type="presParOf" srcId="{D5EF776B-4FCC-4A6F-B68C-685F3F10A76D}" destId="{680CD916-12A7-479E-BEB4-53D4C704D89E}" srcOrd="6" destOrd="0" presId="urn:microsoft.com/office/officeart/2005/8/layout/hierarchy1"/>
    <dgm:cxn modelId="{6504BDCC-2647-4FE9-B8AF-DC8CF5FAA37E}" type="presParOf" srcId="{D5EF776B-4FCC-4A6F-B68C-685F3F10A76D}" destId="{0AB7ADC7-A03D-4E71-9DEA-BC84B62311CD}" srcOrd="7" destOrd="0" presId="urn:microsoft.com/office/officeart/2005/8/layout/hierarchy1"/>
    <dgm:cxn modelId="{2414EFDA-E632-430B-A2B2-810F3D2954C5}" type="presParOf" srcId="{0AB7ADC7-A03D-4E71-9DEA-BC84B62311CD}" destId="{45F99E89-D4A4-4FCA-9FCD-0D1E5AB1DFE8}" srcOrd="0" destOrd="0" presId="urn:microsoft.com/office/officeart/2005/8/layout/hierarchy1"/>
    <dgm:cxn modelId="{E34713C6-CA59-4647-AEB3-B693586AEAA3}" type="presParOf" srcId="{45F99E89-D4A4-4FCA-9FCD-0D1E5AB1DFE8}" destId="{289ED444-2079-46DF-A3E6-ECF06A110263}" srcOrd="0" destOrd="0" presId="urn:microsoft.com/office/officeart/2005/8/layout/hierarchy1"/>
    <dgm:cxn modelId="{34302165-C867-4B45-B541-199F2DB75871}" type="presParOf" srcId="{45F99E89-D4A4-4FCA-9FCD-0D1E5AB1DFE8}" destId="{F3596107-DC59-4F16-82A4-265B86B44BDE}" srcOrd="1" destOrd="0" presId="urn:microsoft.com/office/officeart/2005/8/layout/hierarchy1"/>
    <dgm:cxn modelId="{E27B4ABC-2050-4E4C-8D85-07EEA99BFEA0}" type="presParOf" srcId="{0AB7ADC7-A03D-4E71-9DEA-BC84B62311CD}" destId="{FAAFF926-2570-42F3-8F95-CEAD2402872B}" srcOrd="1" destOrd="0" presId="urn:microsoft.com/office/officeart/2005/8/layout/hierarchy1"/>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CA5E0A-231E-440C-AB94-0D749DD99903}" type="doc">
      <dgm:prSet loTypeId="urn:microsoft.com/office/officeart/2005/8/layout/hierarchy4" loCatId="list" qsTypeId="urn:microsoft.com/office/officeart/2005/8/quickstyle/simple1" qsCatId="simple" csTypeId="urn:microsoft.com/office/officeart/2005/8/colors/accent5_4" csCatId="accent5" phldr="1"/>
      <dgm:spPr/>
      <dgm:t>
        <a:bodyPr/>
        <a:lstStyle/>
        <a:p>
          <a:endParaRPr lang="pl-PL"/>
        </a:p>
      </dgm:t>
    </dgm:pt>
    <dgm:pt modelId="{11C8A10A-E498-49AA-A948-3EC0EC964FC7}">
      <dgm:prSet phldrT="[Tekst]" custT="1">
        <dgm:style>
          <a:lnRef idx="2">
            <a:schemeClr val="accent1">
              <a:shade val="50000"/>
            </a:schemeClr>
          </a:lnRef>
          <a:fillRef idx="1">
            <a:schemeClr val="accent1"/>
          </a:fillRef>
          <a:effectRef idx="0">
            <a:schemeClr val="accent1"/>
          </a:effectRef>
          <a:fontRef idx="minor">
            <a:schemeClr val="lt1"/>
          </a:fontRef>
        </dgm:style>
      </dgm:prSet>
      <dgm:spPr>
        <a:solidFill>
          <a:schemeClr val="accent1">
            <a:lumMod val="40000"/>
            <a:lumOff val="60000"/>
          </a:schemeClr>
        </a:solidFill>
      </dgm:spPr>
      <dgm:t>
        <a:bodyPr/>
        <a:lstStyle/>
        <a:p>
          <a:r>
            <a:rPr lang="pl-PL" sz="1800" b="1">
              <a:solidFill>
                <a:sysClr val="windowText" lastClr="000000"/>
              </a:solidFill>
              <a:latin typeface="Times New Roman" pitchFamily="18" charset="0"/>
              <a:cs typeface="Times New Roman" pitchFamily="18" charset="0"/>
            </a:rPr>
            <a:t>DOKUMENTY</a:t>
          </a:r>
        </a:p>
      </dgm:t>
    </dgm:pt>
    <dgm:pt modelId="{DD1F6368-5826-4891-91A6-BB9E776294A4}" type="parTrans" cxnId="{367B265F-CA4A-4F0A-9A29-D7764264365D}">
      <dgm:prSet/>
      <dgm:spPr/>
      <dgm:t>
        <a:bodyPr/>
        <a:lstStyle/>
        <a:p>
          <a:endParaRPr lang="pl-PL" sz="1200" b="1">
            <a:latin typeface="Times New Roman" pitchFamily="18" charset="0"/>
            <a:cs typeface="Times New Roman" pitchFamily="18" charset="0"/>
          </a:endParaRPr>
        </a:p>
      </dgm:t>
    </dgm:pt>
    <dgm:pt modelId="{95433E04-0957-43EE-BA68-3DB43C2953BA}" type="sibTrans" cxnId="{367B265F-CA4A-4F0A-9A29-D7764264365D}">
      <dgm:prSet/>
      <dgm:spPr/>
      <dgm:t>
        <a:bodyPr/>
        <a:lstStyle/>
        <a:p>
          <a:endParaRPr lang="pl-PL" sz="1200" b="1">
            <a:latin typeface="Times New Roman" pitchFamily="18" charset="0"/>
            <a:cs typeface="Times New Roman" pitchFamily="18" charset="0"/>
          </a:endParaRPr>
        </a:p>
      </dgm:t>
    </dgm:pt>
    <dgm:pt modelId="{F456C490-6EDD-42DF-9EB8-2A74D02B15A3}">
      <dgm:prSet phldrT="[Tekst]" custT="1"/>
      <dgm:spPr/>
      <dgm:t>
        <a:bodyPr/>
        <a:lstStyle/>
        <a:p>
          <a:r>
            <a:rPr lang="pl-PL" sz="1200" b="1">
              <a:latin typeface="Times New Roman" pitchFamily="18" charset="0"/>
              <a:cs typeface="Times New Roman" pitchFamily="18" charset="0"/>
            </a:rPr>
            <a:t>PROGRAMOWANIE</a:t>
          </a:r>
        </a:p>
      </dgm:t>
    </dgm:pt>
    <dgm:pt modelId="{FA037C5A-023D-4517-AD1A-AA6418D0F660}" type="parTrans" cxnId="{B3286FD9-C5D2-4F6C-89CB-1655100ADC95}">
      <dgm:prSet/>
      <dgm:spPr/>
      <dgm:t>
        <a:bodyPr/>
        <a:lstStyle/>
        <a:p>
          <a:endParaRPr lang="pl-PL" sz="1200" b="1">
            <a:latin typeface="Times New Roman" pitchFamily="18" charset="0"/>
            <a:cs typeface="Times New Roman" pitchFamily="18" charset="0"/>
          </a:endParaRPr>
        </a:p>
      </dgm:t>
    </dgm:pt>
    <dgm:pt modelId="{89265B72-68EA-4A95-8AD5-5F1178F19169}" type="sibTrans" cxnId="{B3286FD9-C5D2-4F6C-89CB-1655100ADC95}">
      <dgm:prSet/>
      <dgm:spPr/>
      <dgm:t>
        <a:bodyPr/>
        <a:lstStyle/>
        <a:p>
          <a:endParaRPr lang="pl-PL" sz="1200" b="1">
            <a:latin typeface="Times New Roman" pitchFamily="18" charset="0"/>
            <a:cs typeface="Times New Roman" pitchFamily="18" charset="0"/>
          </a:endParaRPr>
        </a:p>
      </dgm:t>
    </dgm:pt>
    <dgm:pt modelId="{491DA094-2CE2-4E8A-AE32-CC75FC78F65D}">
      <dgm:prSet phldrT="[Tekst]" custT="1"/>
      <dgm:spPr/>
      <dgm:t>
        <a:bodyPr/>
        <a:lstStyle/>
        <a:p>
          <a:r>
            <a:rPr lang="pl-PL" sz="1200" b="1">
              <a:latin typeface="Times New Roman" pitchFamily="18" charset="0"/>
              <a:cs typeface="Times New Roman" pitchFamily="18" charset="0"/>
            </a:rPr>
            <a:t>WDRAŻANIE</a:t>
          </a:r>
        </a:p>
      </dgm:t>
    </dgm:pt>
    <dgm:pt modelId="{40F9CCD8-11DE-46B0-B66A-253488A5E253}" type="parTrans" cxnId="{741D6119-882F-4DE6-8AB5-B010F779E557}">
      <dgm:prSet/>
      <dgm:spPr/>
      <dgm:t>
        <a:bodyPr/>
        <a:lstStyle/>
        <a:p>
          <a:endParaRPr lang="pl-PL" sz="1200" b="1">
            <a:latin typeface="Times New Roman" pitchFamily="18" charset="0"/>
            <a:cs typeface="Times New Roman" pitchFamily="18" charset="0"/>
          </a:endParaRPr>
        </a:p>
      </dgm:t>
    </dgm:pt>
    <dgm:pt modelId="{26168749-E59A-42C6-AFFE-70847FAA088D}" type="sibTrans" cxnId="{741D6119-882F-4DE6-8AB5-B010F779E557}">
      <dgm:prSet/>
      <dgm:spPr/>
      <dgm:t>
        <a:bodyPr/>
        <a:lstStyle/>
        <a:p>
          <a:endParaRPr lang="pl-PL" sz="1200" b="1">
            <a:latin typeface="Times New Roman" pitchFamily="18" charset="0"/>
            <a:cs typeface="Times New Roman" pitchFamily="18" charset="0"/>
          </a:endParaRPr>
        </a:p>
      </dgm:t>
    </dgm:pt>
    <dgm:pt modelId="{9FCFA48B-3920-4695-B08D-76E230101342}">
      <dgm:prSet phldrT="[Tekst]" custT="1"/>
      <dgm:spPr/>
      <dgm:t>
        <a:bodyPr/>
        <a:lstStyle/>
        <a:p>
          <a:r>
            <a:rPr lang="pl-PL" sz="1050" b="1">
              <a:latin typeface="Times New Roman" pitchFamily="18" charset="0"/>
              <a:cs typeface="Times New Roman" pitchFamily="18" charset="0"/>
            </a:rPr>
            <a:t>PODRĘCZNIK PROCEDUR IZ RPO WSL</a:t>
          </a:r>
        </a:p>
      </dgm:t>
    </dgm:pt>
    <dgm:pt modelId="{4139A315-4E02-4703-9A78-651293470E44}" type="parTrans" cxnId="{681D1915-052D-45DF-87BD-AEA565587F8E}">
      <dgm:prSet/>
      <dgm:spPr/>
      <dgm:t>
        <a:bodyPr/>
        <a:lstStyle/>
        <a:p>
          <a:endParaRPr lang="pl-PL" sz="1200" b="1">
            <a:latin typeface="Times New Roman" pitchFamily="18" charset="0"/>
            <a:cs typeface="Times New Roman" pitchFamily="18" charset="0"/>
          </a:endParaRPr>
        </a:p>
      </dgm:t>
    </dgm:pt>
    <dgm:pt modelId="{E63073C7-2B86-42FD-B8ED-39A8B18C4B4D}" type="sibTrans" cxnId="{681D1915-052D-45DF-87BD-AEA565587F8E}">
      <dgm:prSet/>
      <dgm:spPr/>
      <dgm:t>
        <a:bodyPr/>
        <a:lstStyle/>
        <a:p>
          <a:endParaRPr lang="pl-PL" sz="1200" b="1">
            <a:latin typeface="Times New Roman" pitchFamily="18" charset="0"/>
            <a:cs typeface="Times New Roman" pitchFamily="18" charset="0"/>
          </a:endParaRPr>
        </a:p>
      </dgm:t>
    </dgm:pt>
    <dgm:pt modelId="{1618E7CA-E934-4055-9561-21791D2E27EC}">
      <dgm:prSet custT="1"/>
      <dgm:spPr/>
      <dgm:t>
        <a:bodyPr/>
        <a:lstStyle/>
        <a:p>
          <a:r>
            <a:rPr lang="pl-PL" sz="1200" b="1">
              <a:latin typeface="Times New Roman" pitchFamily="18" charset="0"/>
              <a:cs typeface="Times New Roman" pitchFamily="18" charset="0"/>
            </a:rPr>
            <a:t>ZARZĄDZANIE</a:t>
          </a:r>
        </a:p>
      </dgm:t>
    </dgm:pt>
    <dgm:pt modelId="{70FA0A2D-5404-49D9-8AF7-4DA65B4C438D}" type="parTrans" cxnId="{F9AE9170-7BD4-405E-AA87-A681A70BF2CE}">
      <dgm:prSet/>
      <dgm:spPr/>
      <dgm:t>
        <a:bodyPr/>
        <a:lstStyle/>
        <a:p>
          <a:endParaRPr lang="pl-PL" sz="1200" b="1">
            <a:latin typeface="Times New Roman" pitchFamily="18" charset="0"/>
            <a:cs typeface="Times New Roman" pitchFamily="18" charset="0"/>
          </a:endParaRPr>
        </a:p>
      </dgm:t>
    </dgm:pt>
    <dgm:pt modelId="{391337B0-ABA6-424C-B089-848919D97777}" type="sibTrans" cxnId="{F9AE9170-7BD4-405E-AA87-A681A70BF2CE}">
      <dgm:prSet/>
      <dgm:spPr/>
      <dgm:t>
        <a:bodyPr/>
        <a:lstStyle/>
        <a:p>
          <a:endParaRPr lang="pl-PL" sz="1200" b="1">
            <a:latin typeface="Times New Roman" pitchFamily="18" charset="0"/>
            <a:cs typeface="Times New Roman" pitchFamily="18" charset="0"/>
          </a:endParaRPr>
        </a:p>
      </dgm:t>
    </dgm:pt>
    <dgm:pt modelId="{B72E25D3-6843-4AAF-B71D-4695A96D597F}">
      <dgm:prSet custT="1"/>
      <dgm:spPr/>
      <dgm:t>
        <a:bodyPr/>
        <a:lstStyle/>
        <a:p>
          <a:r>
            <a:rPr lang="pl-PL" sz="1000" b="1">
              <a:latin typeface="Times New Roman" pitchFamily="18" charset="0"/>
              <a:cs typeface="Times New Roman" pitchFamily="18" charset="0"/>
            </a:rPr>
            <a:t>OSZiK</a:t>
          </a:r>
        </a:p>
      </dgm:t>
    </dgm:pt>
    <dgm:pt modelId="{20CD7E40-3AE4-41ED-A26A-CDB2703F864C}" type="parTrans" cxnId="{6E842C2D-BCC0-4518-B260-27B0F10243C4}">
      <dgm:prSet/>
      <dgm:spPr/>
      <dgm:t>
        <a:bodyPr/>
        <a:lstStyle/>
        <a:p>
          <a:endParaRPr lang="pl-PL" sz="1200" b="1">
            <a:latin typeface="Times New Roman" pitchFamily="18" charset="0"/>
            <a:cs typeface="Times New Roman" pitchFamily="18" charset="0"/>
          </a:endParaRPr>
        </a:p>
      </dgm:t>
    </dgm:pt>
    <dgm:pt modelId="{F7037C76-815C-4AF3-B6D5-2ABD87AFB562}" type="sibTrans" cxnId="{6E842C2D-BCC0-4518-B260-27B0F10243C4}">
      <dgm:prSet/>
      <dgm:spPr/>
      <dgm:t>
        <a:bodyPr/>
        <a:lstStyle/>
        <a:p>
          <a:endParaRPr lang="pl-PL" sz="1200" b="1">
            <a:latin typeface="Times New Roman" pitchFamily="18" charset="0"/>
            <a:cs typeface="Times New Roman" pitchFamily="18" charset="0"/>
          </a:endParaRPr>
        </a:p>
      </dgm:t>
    </dgm:pt>
    <dgm:pt modelId="{128F9F56-D3BB-4FFE-93CB-B0DE072EA973}">
      <dgm:prSet custT="1"/>
      <dgm:spPr/>
      <dgm:t>
        <a:bodyPr/>
        <a:lstStyle/>
        <a:p>
          <a:r>
            <a:rPr lang="pl-PL" sz="1000" b="1">
              <a:latin typeface="Times New Roman" pitchFamily="18" charset="0"/>
              <a:cs typeface="Times New Roman" pitchFamily="18" charset="0"/>
            </a:rPr>
            <a:t>KONTRAKT WOJEWÓDZKI</a:t>
          </a:r>
        </a:p>
      </dgm:t>
    </dgm:pt>
    <dgm:pt modelId="{E4AB0C75-9C83-4964-9158-99D6D06E95FA}" type="parTrans" cxnId="{47649C25-75B5-438B-B23F-9BB7295434F7}">
      <dgm:prSet/>
      <dgm:spPr/>
      <dgm:t>
        <a:bodyPr/>
        <a:lstStyle/>
        <a:p>
          <a:endParaRPr lang="pl-PL" sz="1200" b="1">
            <a:latin typeface="Times New Roman" pitchFamily="18" charset="0"/>
            <a:cs typeface="Times New Roman" pitchFamily="18" charset="0"/>
          </a:endParaRPr>
        </a:p>
      </dgm:t>
    </dgm:pt>
    <dgm:pt modelId="{A1F59B99-8131-406E-9395-FD56A03281D0}" type="sibTrans" cxnId="{47649C25-75B5-438B-B23F-9BB7295434F7}">
      <dgm:prSet/>
      <dgm:spPr/>
      <dgm:t>
        <a:bodyPr/>
        <a:lstStyle/>
        <a:p>
          <a:endParaRPr lang="pl-PL" sz="1200" b="1">
            <a:latin typeface="Times New Roman" pitchFamily="18" charset="0"/>
            <a:cs typeface="Times New Roman" pitchFamily="18" charset="0"/>
          </a:endParaRPr>
        </a:p>
      </dgm:t>
    </dgm:pt>
    <dgm:pt modelId="{6ECEDBD1-EEF0-4CEE-B9A2-E0DEF0ACC1A6}">
      <dgm:prSet custT="1"/>
      <dgm:spPr/>
      <dgm:t>
        <a:bodyPr/>
        <a:lstStyle/>
        <a:p>
          <a:r>
            <a:rPr lang="pl-PL" sz="1050" b="1">
              <a:latin typeface="Times New Roman" pitchFamily="18" charset="0"/>
              <a:cs typeface="Times New Roman" pitchFamily="18" charset="0"/>
            </a:rPr>
            <a:t>PODRĘCZNIK PROCEDUR IP2 RPO WSL</a:t>
          </a:r>
        </a:p>
      </dgm:t>
    </dgm:pt>
    <dgm:pt modelId="{51B8E69D-465C-42FD-BD90-CEBD7720E662}" type="parTrans" cxnId="{7C2387A8-9676-40FE-B15A-C8FD5002C9B6}">
      <dgm:prSet/>
      <dgm:spPr/>
      <dgm:t>
        <a:bodyPr/>
        <a:lstStyle/>
        <a:p>
          <a:endParaRPr lang="pl-PL" sz="1200" b="1">
            <a:latin typeface="Times New Roman" pitchFamily="18" charset="0"/>
            <a:cs typeface="Times New Roman" pitchFamily="18" charset="0"/>
          </a:endParaRPr>
        </a:p>
      </dgm:t>
    </dgm:pt>
    <dgm:pt modelId="{56C7F933-607D-4B99-9262-2666A50D7665}" type="sibTrans" cxnId="{7C2387A8-9676-40FE-B15A-C8FD5002C9B6}">
      <dgm:prSet/>
      <dgm:spPr/>
      <dgm:t>
        <a:bodyPr/>
        <a:lstStyle/>
        <a:p>
          <a:endParaRPr lang="pl-PL" sz="1200" b="1">
            <a:latin typeface="Times New Roman" pitchFamily="18" charset="0"/>
            <a:cs typeface="Times New Roman" pitchFamily="18" charset="0"/>
          </a:endParaRPr>
        </a:p>
      </dgm:t>
    </dgm:pt>
    <dgm:pt modelId="{468190A6-0BD9-4248-B6B9-FB9D3DF2F593}">
      <dgm:prSet custT="1"/>
      <dgm:spPr/>
      <dgm:t>
        <a:bodyPr/>
        <a:lstStyle/>
        <a:p>
          <a:r>
            <a:rPr lang="pl-PL" sz="1200" b="1">
              <a:latin typeface="Times New Roman" pitchFamily="18" charset="0"/>
              <a:cs typeface="Times New Roman" pitchFamily="18" charset="0"/>
            </a:rPr>
            <a:t>WYTYCZNE IZ </a:t>
          </a:r>
          <a:r>
            <a:rPr lang="pl-PL" sz="1000" b="1">
              <a:latin typeface="Times New Roman" pitchFamily="18" charset="0"/>
              <a:cs typeface="Times New Roman" pitchFamily="18" charset="0"/>
            </a:rPr>
            <a:t>RPO</a:t>
          </a:r>
          <a:r>
            <a:rPr lang="pl-PL" sz="1200" b="1">
              <a:latin typeface="Times New Roman" pitchFamily="18" charset="0"/>
              <a:cs typeface="Times New Roman" pitchFamily="18" charset="0"/>
            </a:rPr>
            <a:t> WSL</a:t>
          </a:r>
        </a:p>
      </dgm:t>
    </dgm:pt>
    <dgm:pt modelId="{502A2F83-D898-4FF3-89AD-97AD47B27D3A}" type="parTrans" cxnId="{D74B66DF-C844-4AB1-A2E1-C2F2FC029FB8}">
      <dgm:prSet/>
      <dgm:spPr/>
      <dgm:t>
        <a:bodyPr/>
        <a:lstStyle/>
        <a:p>
          <a:endParaRPr lang="pl-PL" sz="1200" b="1">
            <a:latin typeface="Times New Roman" pitchFamily="18" charset="0"/>
            <a:cs typeface="Times New Roman" pitchFamily="18" charset="0"/>
          </a:endParaRPr>
        </a:p>
      </dgm:t>
    </dgm:pt>
    <dgm:pt modelId="{7EF51755-76A8-4934-8E8C-BB5EB74E8FB9}" type="sibTrans" cxnId="{D74B66DF-C844-4AB1-A2E1-C2F2FC029FB8}">
      <dgm:prSet/>
      <dgm:spPr/>
      <dgm:t>
        <a:bodyPr/>
        <a:lstStyle/>
        <a:p>
          <a:endParaRPr lang="pl-PL" sz="1200" b="1">
            <a:latin typeface="Times New Roman" pitchFamily="18" charset="0"/>
            <a:cs typeface="Times New Roman" pitchFamily="18" charset="0"/>
          </a:endParaRPr>
        </a:p>
      </dgm:t>
    </dgm:pt>
    <dgm:pt modelId="{CAF2B11D-6DF7-4DBA-97E7-779E830B655E}">
      <dgm:prSet custT="1"/>
      <dgm:spPr/>
      <dgm:t>
        <a:bodyPr/>
        <a:lstStyle/>
        <a:p>
          <a:r>
            <a:rPr lang="pl-PL" sz="1000" b="1">
              <a:latin typeface="Times New Roman" pitchFamily="18" charset="0"/>
              <a:cs typeface="Times New Roman" pitchFamily="18" charset="0"/>
            </a:rPr>
            <a:t>URPO WSL</a:t>
          </a:r>
        </a:p>
      </dgm:t>
    </dgm:pt>
    <dgm:pt modelId="{FE0664DE-1A84-44DD-BE93-F0973778DD44}" type="parTrans" cxnId="{601CD6B1-5E02-43CD-A239-C621A2B4FFF1}">
      <dgm:prSet/>
      <dgm:spPr/>
      <dgm:t>
        <a:bodyPr/>
        <a:lstStyle/>
        <a:p>
          <a:endParaRPr lang="pl-PL" sz="1200" b="1">
            <a:latin typeface="Times New Roman" pitchFamily="18" charset="0"/>
            <a:cs typeface="Times New Roman" pitchFamily="18" charset="0"/>
          </a:endParaRPr>
        </a:p>
      </dgm:t>
    </dgm:pt>
    <dgm:pt modelId="{DF526BD9-B58B-423C-9291-CDD4CF71124E}" type="sibTrans" cxnId="{601CD6B1-5E02-43CD-A239-C621A2B4FFF1}">
      <dgm:prSet/>
      <dgm:spPr/>
      <dgm:t>
        <a:bodyPr/>
        <a:lstStyle/>
        <a:p>
          <a:endParaRPr lang="pl-PL" sz="1200" b="1">
            <a:latin typeface="Times New Roman" pitchFamily="18" charset="0"/>
            <a:cs typeface="Times New Roman" pitchFamily="18" charset="0"/>
          </a:endParaRPr>
        </a:p>
      </dgm:t>
    </dgm:pt>
    <dgm:pt modelId="{85B17B8F-EE4C-4D6D-9722-63F3149BA178}">
      <dgm:prSet custT="1"/>
      <dgm:spPr/>
      <dgm:t>
        <a:bodyPr/>
        <a:lstStyle/>
        <a:p>
          <a:r>
            <a:rPr lang="pl-PL" sz="1000" b="1">
              <a:latin typeface="Times New Roman" pitchFamily="18" charset="0"/>
              <a:cs typeface="Times New Roman" pitchFamily="18" charset="0"/>
            </a:rPr>
            <a:t>RPO WSL</a:t>
          </a:r>
        </a:p>
      </dgm:t>
    </dgm:pt>
    <dgm:pt modelId="{C48ED31D-881C-405B-8617-1C08FE03FCAA}" type="parTrans" cxnId="{B225F2CA-41B6-4559-A430-09E00263389B}">
      <dgm:prSet/>
      <dgm:spPr/>
      <dgm:t>
        <a:bodyPr/>
        <a:lstStyle/>
        <a:p>
          <a:endParaRPr lang="pl-PL" sz="1200" b="1">
            <a:latin typeface="Times New Roman" pitchFamily="18" charset="0"/>
            <a:cs typeface="Times New Roman" pitchFamily="18" charset="0"/>
          </a:endParaRPr>
        </a:p>
      </dgm:t>
    </dgm:pt>
    <dgm:pt modelId="{4B45FB2E-93A2-4F9A-89B0-32CF54F67D6D}" type="sibTrans" cxnId="{B225F2CA-41B6-4559-A430-09E00263389B}">
      <dgm:prSet/>
      <dgm:spPr/>
      <dgm:t>
        <a:bodyPr/>
        <a:lstStyle/>
        <a:p>
          <a:endParaRPr lang="pl-PL" sz="1200" b="1">
            <a:latin typeface="Times New Roman" pitchFamily="18" charset="0"/>
            <a:cs typeface="Times New Roman" pitchFamily="18" charset="0"/>
          </a:endParaRPr>
        </a:p>
      </dgm:t>
    </dgm:pt>
    <dgm:pt modelId="{5C2381C7-C01D-4C0C-9CC6-BD19BB4295DD}">
      <dgm:prSet custT="1"/>
      <dgm:spPr/>
      <dgm:t>
        <a:bodyPr/>
        <a:lstStyle/>
        <a:p>
          <a:r>
            <a:rPr lang="pl-PL" sz="900" b="1">
              <a:latin typeface="Times New Roman" pitchFamily="18" charset="0"/>
              <a:cs typeface="Times New Roman" pitchFamily="18" charset="0"/>
            </a:rPr>
            <a:t>POROZUMIENIE Z IP2 RPO WSL</a:t>
          </a:r>
        </a:p>
      </dgm:t>
    </dgm:pt>
    <dgm:pt modelId="{88376AE3-2F57-431D-B989-BEA1C07E40F4}" type="parTrans" cxnId="{EEBF064B-F415-48AC-8A7D-2527D4794A74}">
      <dgm:prSet/>
      <dgm:spPr/>
      <dgm:t>
        <a:bodyPr/>
        <a:lstStyle/>
        <a:p>
          <a:endParaRPr lang="pl-PL" sz="1200" b="1">
            <a:latin typeface="Times New Roman" pitchFamily="18" charset="0"/>
            <a:cs typeface="Times New Roman" pitchFamily="18" charset="0"/>
          </a:endParaRPr>
        </a:p>
      </dgm:t>
    </dgm:pt>
    <dgm:pt modelId="{24FBD1C4-6151-4E3B-9DF1-2ADD5EF19981}" type="sibTrans" cxnId="{EEBF064B-F415-48AC-8A7D-2527D4794A74}">
      <dgm:prSet/>
      <dgm:spPr/>
      <dgm:t>
        <a:bodyPr/>
        <a:lstStyle/>
        <a:p>
          <a:endParaRPr lang="pl-PL" sz="1200" b="1">
            <a:latin typeface="Times New Roman" pitchFamily="18" charset="0"/>
            <a:cs typeface="Times New Roman" pitchFamily="18" charset="0"/>
          </a:endParaRPr>
        </a:p>
      </dgm:t>
    </dgm:pt>
    <dgm:pt modelId="{90D7C3DB-CA20-439C-B61D-168AF979EE7A}" type="pres">
      <dgm:prSet presAssocID="{4DCA5E0A-231E-440C-AB94-0D749DD99903}" presName="Name0" presStyleCnt="0">
        <dgm:presLayoutVars>
          <dgm:chPref val="1"/>
          <dgm:dir/>
          <dgm:animOne val="branch"/>
          <dgm:animLvl val="lvl"/>
          <dgm:resizeHandles/>
        </dgm:presLayoutVars>
      </dgm:prSet>
      <dgm:spPr/>
      <dgm:t>
        <a:bodyPr/>
        <a:lstStyle/>
        <a:p>
          <a:endParaRPr lang="pl-PL"/>
        </a:p>
      </dgm:t>
    </dgm:pt>
    <dgm:pt modelId="{A982A3E0-6B9B-445C-8A48-215BA6FBA14B}" type="pres">
      <dgm:prSet presAssocID="{11C8A10A-E498-49AA-A948-3EC0EC964FC7}" presName="vertOne" presStyleCnt="0"/>
      <dgm:spPr/>
    </dgm:pt>
    <dgm:pt modelId="{CD026840-7B39-483B-9F38-2C15C2CB4864}" type="pres">
      <dgm:prSet presAssocID="{11C8A10A-E498-49AA-A948-3EC0EC964FC7}" presName="txOne" presStyleLbl="node0" presStyleIdx="0" presStyleCnt="1" custScaleY="41341" custLinFactNeighborX="57" custLinFactNeighborY="-246">
        <dgm:presLayoutVars>
          <dgm:chPref val="3"/>
        </dgm:presLayoutVars>
      </dgm:prSet>
      <dgm:spPr>
        <a:prstGeom prst="round2SameRect">
          <a:avLst/>
        </a:prstGeom>
      </dgm:spPr>
      <dgm:t>
        <a:bodyPr/>
        <a:lstStyle/>
        <a:p>
          <a:endParaRPr lang="pl-PL"/>
        </a:p>
      </dgm:t>
    </dgm:pt>
    <dgm:pt modelId="{B02381B5-05A5-42D5-A9EE-30D14AB3BF29}" type="pres">
      <dgm:prSet presAssocID="{11C8A10A-E498-49AA-A948-3EC0EC964FC7}" presName="parTransOne" presStyleCnt="0"/>
      <dgm:spPr/>
    </dgm:pt>
    <dgm:pt modelId="{6B0617CE-4755-4F0F-9D97-C5D69286AC1D}" type="pres">
      <dgm:prSet presAssocID="{11C8A10A-E498-49AA-A948-3EC0EC964FC7}" presName="horzOne" presStyleCnt="0"/>
      <dgm:spPr/>
    </dgm:pt>
    <dgm:pt modelId="{445089F4-0A9C-4DF7-ACA3-AD239EEAAEDC}" type="pres">
      <dgm:prSet presAssocID="{F456C490-6EDD-42DF-9EB8-2A74D02B15A3}" presName="vertTwo" presStyleCnt="0"/>
      <dgm:spPr/>
    </dgm:pt>
    <dgm:pt modelId="{4B27C010-AECA-4D85-B365-29AF38CA3C0E}" type="pres">
      <dgm:prSet presAssocID="{F456C490-6EDD-42DF-9EB8-2A74D02B15A3}" presName="txTwo" presStyleLbl="node2" presStyleIdx="0" presStyleCnt="3">
        <dgm:presLayoutVars>
          <dgm:chPref val="3"/>
        </dgm:presLayoutVars>
      </dgm:prSet>
      <dgm:spPr/>
      <dgm:t>
        <a:bodyPr/>
        <a:lstStyle/>
        <a:p>
          <a:endParaRPr lang="pl-PL"/>
        </a:p>
      </dgm:t>
    </dgm:pt>
    <dgm:pt modelId="{4D8FB90D-7D91-4BAD-98F7-56934042E14E}" type="pres">
      <dgm:prSet presAssocID="{F456C490-6EDD-42DF-9EB8-2A74D02B15A3}" presName="parTransTwo" presStyleCnt="0"/>
      <dgm:spPr/>
    </dgm:pt>
    <dgm:pt modelId="{260016AB-FEBB-4190-BF3A-18E79005978A}" type="pres">
      <dgm:prSet presAssocID="{F456C490-6EDD-42DF-9EB8-2A74D02B15A3}" presName="horzTwo" presStyleCnt="0"/>
      <dgm:spPr/>
    </dgm:pt>
    <dgm:pt modelId="{84072295-241B-41CD-B83A-82032D8D66F1}" type="pres">
      <dgm:prSet presAssocID="{85B17B8F-EE4C-4D6D-9722-63F3149BA178}" presName="vertThree" presStyleCnt="0"/>
      <dgm:spPr/>
    </dgm:pt>
    <dgm:pt modelId="{569BD355-4C5E-4A99-9326-8310C89402F8}" type="pres">
      <dgm:prSet presAssocID="{85B17B8F-EE4C-4D6D-9722-63F3149BA178}" presName="txThree" presStyleLbl="node3" presStyleIdx="0" presStyleCnt="8">
        <dgm:presLayoutVars>
          <dgm:chPref val="3"/>
        </dgm:presLayoutVars>
      </dgm:prSet>
      <dgm:spPr/>
      <dgm:t>
        <a:bodyPr/>
        <a:lstStyle/>
        <a:p>
          <a:endParaRPr lang="pl-PL"/>
        </a:p>
      </dgm:t>
    </dgm:pt>
    <dgm:pt modelId="{62BC1F03-9705-4A88-8C19-45F198A8621C}" type="pres">
      <dgm:prSet presAssocID="{85B17B8F-EE4C-4D6D-9722-63F3149BA178}" presName="horzThree" presStyleCnt="0"/>
      <dgm:spPr/>
    </dgm:pt>
    <dgm:pt modelId="{00B35E4B-7EFB-4E6A-B301-CA27FBAEC4F1}" type="pres">
      <dgm:prSet presAssocID="{4B45FB2E-93A2-4F9A-89B0-32CF54F67D6D}" presName="sibSpaceThree" presStyleCnt="0"/>
      <dgm:spPr/>
    </dgm:pt>
    <dgm:pt modelId="{749AC431-01C8-4662-8BE0-E41FEB2E8923}" type="pres">
      <dgm:prSet presAssocID="{CAF2B11D-6DF7-4DBA-97E7-779E830B655E}" presName="vertThree" presStyleCnt="0"/>
      <dgm:spPr/>
    </dgm:pt>
    <dgm:pt modelId="{4D85E698-CA5D-4D80-82C5-47D159FB7013}" type="pres">
      <dgm:prSet presAssocID="{CAF2B11D-6DF7-4DBA-97E7-779E830B655E}" presName="txThree" presStyleLbl="node3" presStyleIdx="1" presStyleCnt="8">
        <dgm:presLayoutVars>
          <dgm:chPref val="3"/>
        </dgm:presLayoutVars>
      </dgm:prSet>
      <dgm:spPr/>
      <dgm:t>
        <a:bodyPr/>
        <a:lstStyle/>
        <a:p>
          <a:endParaRPr lang="pl-PL"/>
        </a:p>
      </dgm:t>
    </dgm:pt>
    <dgm:pt modelId="{1EB0DA27-273F-4847-A17F-27D5856497F1}" type="pres">
      <dgm:prSet presAssocID="{CAF2B11D-6DF7-4DBA-97E7-779E830B655E}" presName="horzThree" presStyleCnt="0"/>
      <dgm:spPr/>
    </dgm:pt>
    <dgm:pt modelId="{D558263D-D1C9-4998-AF7A-AA183D05719A}" type="pres">
      <dgm:prSet presAssocID="{89265B72-68EA-4A95-8AD5-5F1178F19169}" presName="sibSpaceTwo" presStyleCnt="0"/>
      <dgm:spPr/>
    </dgm:pt>
    <dgm:pt modelId="{F7B6F2B8-82F2-4249-81C2-B01ACCC07610}" type="pres">
      <dgm:prSet presAssocID="{1618E7CA-E934-4055-9561-21791D2E27EC}" presName="vertTwo" presStyleCnt="0"/>
      <dgm:spPr/>
    </dgm:pt>
    <dgm:pt modelId="{8D06874B-0820-4A3C-B709-F61AF17A70BF}" type="pres">
      <dgm:prSet presAssocID="{1618E7CA-E934-4055-9561-21791D2E27EC}" presName="txTwo" presStyleLbl="node2" presStyleIdx="1" presStyleCnt="3">
        <dgm:presLayoutVars>
          <dgm:chPref val="3"/>
        </dgm:presLayoutVars>
      </dgm:prSet>
      <dgm:spPr/>
      <dgm:t>
        <a:bodyPr/>
        <a:lstStyle/>
        <a:p>
          <a:endParaRPr lang="pl-PL"/>
        </a:p>
      </dgm:t>
    </dgm:pt>
    <dgm:pt modelId="{533899AD-82FF-4F28-BF3A-DC052D753C69}" type="pres">
      <dgm:prSet presAssocID="{1618E7CA-E934-4055-9561-21791D2E27EC}" presName="parTransTwo" presStyleCnt="0"/>
      <dgm:spPr/>
    </dgm:pt>
    <dgm:pt modelId="{46384EE2-7C58-4FCE-828D-AFA64122E80F}" type="pres">
      <dgm:prSet presAssocID="{1618E7CA-E934-4055-9561-21791D2E27EC}" presName="horzTwo" presStyleCnt="0"/>
      <dgm:spPr/>
    </dgm:pt>
    <dgm:pt modelId="{351CC0D1-3110-4A44-B0F6-CCCB9623A449}" type="pres">
      <dgm:prSet presAssocID="{B72E25D3-6843-4AAF-B71D-4695A96D597F}" presName="vertThree" presStyleCnt="0"/>
      <dgm:spPr/>
    </dgm:pt>
    <dgm:pt modelId="{950A61BF-7F26-4FB5-9F44-6C19AEA6E56A}" type="pres">
      <dgm:prSet presAssocID="{B72E25D3-6843-4AAF-B71D-4695A96D597F}" presName="txThree" presStyleLbl="node3" presStyleIdx="2" presStyleCnt="8">
        <dgm:presLayoutVars>
          <dgm:chPref val="3"/>
        </dgm:presLayoutVars>
      </dgm:prSet>
      <dgm:spPr/>
      <dgm:t>
        <a:bodyPr/>
        <a:lstStyle/>
        <a:p>
          <a:endParaRPr lang="pl-PL"/>
        </a:p>
      </dgm:t>
    </dgm:pt>
    <dgm:pt modelId="{D3C3C8F8-682C-464A-BD15-811471D74E69}" type="pres">
      <dgm:prSet presAssocID="{B72E25D3-6843-4AAF-B71D-4695A96D597F}" presName="horzThree" presStyleCnt="0"/>
      <dgm:spPr/>
    </dgm:pt>
    <dgm:pt modelId="{E647B255-9282-4920-AB36-142AF5284CEF}" type="pres">
      <dgm:prSet presAssocID="{F7037C76-815C-4AF3-B6D5-2ABD87AFB562}" presName="sibSpaceThree" presStyleCnt="0"/>
      <dgm:spPr/>
    </dgm:pt>
    <dgm:pt modelId="{33FC8870-8FDE-4FA5-824A-DB304FC797EF}" type="pres">
      <dgm:prSet presAssocID="{5C2381C7-C01D-4C0C-9CC6-BD19BB4295DD}" presName="vertThree" presStyleCnt="0"/>
      <dgm:spPr/>
    </dgm:pt>
    <dgm:pt modelId="{8944A22B-BF51-41DB-95B1-51C431D4DF09}" type="pres">
      <dgm:prSet presAssocID="{5C2381C7-C01D-4C0C-9CC6-BD19BB4295DD}" presName="txThree" presStyleLbl="node3" presStyleIdx="3" presStyleCnt="8">
        <dgm:presLayoutVars>
          <dgm:chPref val="3"/>
        </dgm:presLayoutVars>
      </dgm:prSet>
      <dgm:spPr/>
      <dgm:t>
        <a:bodyPr/>
        <a:lstStyle/>
        <a:p>
          <a:endParaRPr lang="pl-PL"/>
        </a:p>
      </dgm:t>
    </dgm:pt>
    <dgm:pt modelId="{28092B09-1AD0-4DA7-97AF-C3AD75401AC2}" type="pres">
      <dgm:prSet presAssocID="{5C2381C7-C01D-4C0C-9CC6-BD19BB4295DD}" presName="horzThree" presStyleCnt="0"/>
      <dgm:spPr/>
    </dgm:pt>
    <dgm:pt modelId="{BFAE660B-41C3-4B38-B6B5-B3B064A53414}" type="pres">
      <dgm:prSet presAssocID="{24FBD1C4-6151-4E3B-9DF1-2ADD5EF19981}" presName="sibSpaceThree" presStyleCnt="0"/>
      <dgm:spPr/>
    </dgm:pt>
    <dgm:pt modelId="{A8C36F0C-6577-4CB6-BCD0-55E3D2A5D8E6}" type="pres">
      <dgm:prSet presAssocID="{128F9F56-D3BB-4FFE-93CB-B0DE072EA973}" presName="vertThree" presStyleCnt="0"/>
      <dgm:spPr/>
    </dgm:pt>
    <dgm:pt modelId="{E649F64C-1EAF-4B4F-87BD-E9BEAD401063}" type="pres">
      <dgm:prSet presAssocID="{128F9F56-D3BB-4FFE-93CB-B0DE072EA973}" presName="txThree" presStyleLbl="node3" presStyleIdx="4" presStyleCnt="8">
        <dgm:presLayoutVars>
          <dgm:chPref val="3"/>
        </dgm:presLayoutVars>
      </dgm:prSet>
      <dgm:spPr/>
      <dgm:t>
        <a:bodyPr/>
        <a:lstStyle/>
        <a:p>
          <a:endParaRPr lang="pl-PL"/>
        </a:p>
      </dgm:t>
    </dgm:pt>
    <dgm:pt modelId="{79C53EBC-00A0-4AC0-BD40-569F8CD94CCA}" type="pres">
      <dgm:prSet presAssocID="{128F9F56-D3BB-4FFE-93CB-B0DE072EA973}" presName="horzThree" presStyleCnt="0"/>
      <dgm:spPr/>
    </dgm:pt>
    <dgm:pt modelId="{EEB4C3E2-4648-4FA2-AE36-17715857C0EF}" type="pres">
      <dgm:prSet presAssocID="{391337B0-ABA6-424C-B089-848919D97777}" presName="sibSpaceTwo" presStyleCnt="0"/>
      <dgm:spPr/>
    </dgm:pt>
    <dgm:pt modelId="{83B230B2-9D2F-4CE4-A97B-85A5D8ECF6C5}" type="pres">
      <dgm:prSet presAssocID="{491DA094-2CE2-4E8A-AE32-CC75FC78F65D}" presName="vertTwo" presStyleCnt="0"/>
      <dgm:spPr/>
    </dgm:pt>
    <dgm:pt modelId="{B7324BE1-7F0E-4032-B7CB-F5BFEDC26143}" type="pres">
      <dgm:prSet presAssocID="{491DA094-2CE2-4E8A-AE32-CC75FC78F65D}" presName="txTwo" presStyleLbl="node2" presStyleIdx="2" presStyleCnt="3">
        <dgm:presLayoutVars>
          <dgm:chPref val="3"/>
        </dgm:presLayoutVars>
      </dgm:prSet>
      <dgm:spPr/>
      <dgm:t>
        <a:bodyPr/>
        <a:lstStyle/>
        <a:p>
          <a:endParaRPr lang="pl-PL"/>
        </a:p>
      </dgm:t>
    </dgm:pt>
    <dgm:pt modelId="{C301DFB6-2E7B-4B9B-B982-D7813B6A7C09}" type="pres">
      <dgm:prSet presAssocID="{491DA094-2CE2-4E8A-AE32-CC75FC78F65D}" presName="parTransTwo" presStyleCnt="0"/>
      <dgm:spPr/>
    </dgm:pt>
    <dgm:pt modelId="{DCB57D51-044E-4F0F-AEF1-E0C6AFF7A29D}" type="pres">
      <dgm:prSet presAssocID="{491DA094-2CE2-4E8A-AE32-CC75FC78F65D}" presName="horzTwo" presStyleCnt="0"/>
      <dgm:spPr/>
    </dgm:pt>
    <dgm:pt modelId="{0E76772C-65F3-494C-AECA-545C1B86DA86}" type="pres">
      <dgm:prSet presAssocID="{9FCFA48B-3920-4695-B08D-76E230101342}" presName="vertThree" presStyleCnt="0"/>
      <dgm:spPr/>
    </dgm:pt>
    <dgm:pt modelId="{99394EE1-5764-4C79-8749-11855583F7E0}" type="pres">
      <dgm:prSet presAssocID="{9FCFA48B-3920-4695-B08D-76E230101342}" presName="txThree" presStyleLbl="node3" presStyleIdx="5" presStyleCnt="8">
        <dgm:presLayoutVars>
          <dgm:chPref val="3"/>
        </dgm:presLayoutVars>
      </dgm:prSet>
      <dgm:spPr/>
      <dgm:t>
        <a:bodyPr/>
        <a:lstStyle/>
        <a:p>
          <a:endParaRPr lang="pl-PL"/>
        </a:p>
      </dgm:t>
    </dgm:pt>
    <dgm:pt modelId="{28B86F9B-152A-403F-831C-E0F6D76CA2C4}" type="pres">
      <dgm:prSet presAssocID="{9FCFA48B-3920-4695-B08D-76E230101342}" presName="horzThree" presStyleCnt="0"/>
      <dgm:spPr/>
    </dgm:pt>
    <dgm:pt modelId="{188D9525-619A-4211-815B-9E755130CCCE}" type="pres">
      <dgm:prSet presAssocID="{E63073C7-2B86-42FD-B8ED-39A8B18C4B4D}" presName="sibSpaceThree" presStyleCnt="0"/>
      <dgm:spPr/>
    </dgm:pt>
    <dgm:pt modelId="{55B61F4A-C35F-4F29-932B-74DBFFD03602}" type="pres">
      <dgm:prSet presAssocID="{6ECEDBD1-EEF0-4CEE-B9A2-E0DEF0ACC1A6}" presName="vertThree" presStyleCnt="0"/>
      <dgm:spPr/>
    </dgm:pt>
    <dgm:pt modelId="{1484D3D2-7F05-4228-9A14-A5890AB669E6}" type="pres">
      <dgm:prSet presAssocID="{6ECEDBD1-EEF0-4CEE-B9A2-E0DEF0ACC1A6}" presName="txThree" presStyleLbl="node3" presStyleIdx="6" presStyleCnt="8">
        <dgm:presLayoutVars>
          <dgm:chPref val="3"/>
        </dgm:presLayoutVars>
      </dgm:prSet>
      <dgm:spPr/>
      <dgm:t>
        <a:bodyPr/>
        <a:lstStyle/>
        <a:p>
          <a:endParaRPr lang="pl-PL"/>
        </a:p>
      </dgm:t>
    </dgm:pt>
    <dgm:pt modelId="{F5CFDD4A-AA2F-49FF-BCC7-9092BA24AAFD}" type="pres">
      <dgm:prSet presAssocID="{6ECEDBD1-EEF0-4CEE-B9A2-E0DEF0ACC1A6}" presName="horzThree" presStyleCnt="0"/>
      <dgm:spPr/>
    </dgm:pt>
    <dgm:pt modelId="{7DDE1873-D9DF-44FB-BC7E-28422E12F76D}" type="pres">
      <dgm:prSet presAssocID="{56C7F933-607D-4B99-9262-2666A50D7665}" presName="sibSpaceThree" presStyleCnt="0"/>
      <dgm:spPr/>
    </dgm:pt>
    <dgm:pt modelId="{81F4E43E-A1BF-4524-B4C9-CA0D00746D6C}" type="pres">
      <dgm:prSet presAssocID="{468190A6-0BD9-4248-B6B9-FB9D3DF2F593}" presName="vertThree" presStyleCnt="0"/>
      <dgm:spPr/>
    </dgm:pt>
    <dgm:pt modelId="{4AA103ED-4A6B-417A-AB81-D447A11990D7}" type="pres">
      <dgm:prSet presAssocID="{468190A6-0BD9-4248-B6B9-FB9D3DF2F593}" presName="txThree" presStyleLbl="node3" presStyleIdx="7" presStyleCnt="8">
        <dgm:presLayoutVars>
          <dgm:chPref val="3"/>
        </dgm:presLayoutVars>
      </dgm:prSet>
      <dgm:spPr/>
      <dgm:t>
        <a:bodyPr/>
        <a:lstStyle/>
        <a:p>
          <a:endParaRPr lang="pl-PL"/>
        </a:p>
      </dgm:t>
    </dgm:pt>
    <dgm:pt modelId="{CB70FB51-7359-47C3-A2B0-13E29E100F93}" type="pres">
      <dgm:prSet presAssocID="{468190A6-0BD9-4248-B6B9-FB9D3DF2F593}" presName="horzThree" presStyleCnt="0"/>
      <dgm:spPr/>
    </dgm:pt>
  </dgm:ptLst>
  <dgm:cxnLst>
    <dgm:cxn modelId="{B225F2CA-41B6-4559-A430-09E00263389B}" srcId="{F456C490-6EDD-42DF-9EB8-2A74D02B15A3}" destId="{85B17B8F-EE4C-4D6D-9722-63F3149BA178}" srcOrd="0" destOrd="0" parTransId="{C48ED31D-881C-405B-8617-1C08FE03FCAA}" sibTransId="{4B45FB2E-93A2-4F9A-89B0-32CF54F67D6D}"/>
    <dgm:cxn modelId="{6E842C2D-BCC0-4518-B260-27B0F10243C4}" srcId="{1618E7CA-E934-4055-9561-21791D2E27EC}" destId="{B72E25D3-6843-4AAF-B71D-4695A96D597F}" srcOrd="0" destOrd="0" parTransId="{20CD7E40-3AE4-41ED-A26A-CDB2703F864C}" sibTransId="{F7037C76-815C-4AF3-B6D5-2ABD87AFB562}"/>
    <dgm:cxn modelId="{741D6119-882F-4DE6-8AB5-B010F779E557}" srcId="{11C8A10A-E498-49AA-A948-3EC0EC964FC7}" destId="{491DA094-2CE2-4E8A-AE32-CC75FC78F65D}" srcOrd="2" destOrd="0" parTransId="{40F9CCD8-11DE-46B0-B66A-253488A5E253}" sibTransId="{26168749-E59A-42C6-AFFE-70847FAA088D}"/>
    <dgm:cxn modelId="{B087B942-3B8B-4F4F-9666-72E1B0F5FCCB}" type="presOf" srcId="{1618E7CA-E934-4055-9561-21791D2E27EC}" destId="{8D06874B-0820-4A3C-B709-F61AF17A70BF}" srcOrd="0" destOrd="0" presId="urn:microsoft.com/office/officeart/2005/8/layout/hierarchy4"/>
    <dgm:cxn modelId="{FA36FF76-880E-4CB8-90DE-D6C29AF0373C}" type="presOf" srcId="{9FCFA48B-3920-4695-B08D-76E230101342}" destId="{99394EE1-5764-4C79-8749-11855583F7E0}" srcOrd="0" destOrd="0" presId="urn:microsoft.com/office/officeart/2005/8/layout/hierarchy4"/>
    <dgm:cxn modelId="{F1F30288-48D3-4413-9B7D-85389A17920C}" type="presOf" srcId="{468190A6-0BD9-4248-B6B9-FB9D3DF2F593}" destId="{4AA103ED-4A6B-417A-AB81-D447A11990D7}" srcOrd="0" destOrd="0" presId="urn:microsoft.com/office/officeart/2005/8/layout/hierarchy4"/>
    <dgm:cxn modelId="{EB7310A6-CFDD-4369-809C-A069C32FBDDE}" type="presOf" srcId="{491DA094-2CE2-4E8A-AE32-CC75FC78F65D}" destId="{B7324BE1-7F0E-4032-B7CB-F5BFEDC26143}" srcOrd="0" destOrd="0" presId="urn:microsoft.com/office/officeart/2005/8/layout/hierarchy4"/>
    <dgm:cxn modelId="{47649C25-75B5-438B-B23F-9BB7295434F7}" srcId="{1618E7CA-E934-4055-9561-21791D2E27EC}" destId="{128F9F56-D3BB-4FFE-93CB-B0DE072EA973}" srcOrd="2" destOrd="0" parTransId="{E4AB0C75-9C83-4964-9158-99D6D06E95FA}" sibTransId="{A1F59B99-8131-406E-9395-FD56A03281D0}"/>
    <dgm:cxn modelId="{5F1DB1BA-8211-4AC0-AD0C-917CB98DF84E}" type="presOf" srcId="{85B17B8F-EE4C-4D6D-9722-63F3149BA178}" destId="{569BD355-4C5E-4A99-9326-8310C89402F8}" srcOrd="0" destOrd="0" presId="urn:microsoft.com/office/officeart/2005/8/layout/hierarchy4"/>
    <dgm:cxn modelId="{B2EB386F-7FFD-4FAB-B3CC-7D6CF2B2C76C}" type="presOf" srcId="{CAF2B11D-6DF7-4DBA-97E7-779E830B655E}" destId="{4D85E698-CA5D-4D80-82C5-47D159FB7013}" srcOrd="0" destOrd="0" presId="urn:microsoft.com/office/officeart/2005/8/layout/hierarchy4"/>
    <dgm:cxn modelId="{FB6A5B00-7630-49CD-B056-9934CA6968BD}" type="presOf" srcId="{11C8A10A-E498-49AA-A948-3EC0EC964FC7}" destId="{CD026840-7B39-483B-9F38-2C15C2CB4864}" srcOrd="0" destOrd="0" presId="urn:microsoft.com/office/officeart/2005/8/layout/hierarchy4"/>
    <dgm:cxn modelId="{92DDA6D1-C2B2-4990-BF31-64E773DC0ED8}" type="presOf" srcId="{6ECEDBD1-EEF0-4CEE-B9A2-E0DEF0ACC1A6}" destId="{1484D3D2-7F05-4228-9A14-A5890AB669E6}" srcOrd="0" destOrd="0" presId="urn:microsoft.com/office/officeart/2005/8/layout/hierarchy4"/>
    <dgm:cxn modelId="{932D6F48-D4E0-46EA-9CF5-AEFD72776C43}" type="presOf" srcId="{4DCA5E0A-231E-440C-AB94-0D749DD99903}" destId="{90D7C3DB-CA20-439C-B61D-168AF979EE7A}" srcOrd="0" destOrd="0" presId="urn:microsoft.com/office/officeart/2005/8/layout/hierarchy4"/>
    <dgm:cxn modelId="{7C2387A8-9676-40FE-B15A-C8FD5002C9B6}" srcId="{491DA094-2CE2-4E8A-AE32-CC75FC78F65D}" destId="{6ECEDBD1-EEF0-4CEE-B9A2-E0DEF0ACC1A6}" srcOrd="1" destOrd="0" parTransId="{51B8E69D-465C-42FD-BD90-CEBD7720E662}" sibTransId="{56C7F933-607D-4B99-9262-2666A50D7665}"/>
    <dgm:cxn modelId="{985189D0-36E6-4272-93A7-B9B9685D4586}" type="presOf" srcId="{128F9F56-D3BB-4FFE-93CB-B0DE072EA973}" destId="{E649F64C-1EAF-4B4F-87BD-E9BEAD401063}" srcOrd="0" destOrd="0" presId="urn:microsoft.com/office/officeart/2005/8/layout/hierarchy4"/>
    <dgm:cxn modelId="{B3286FD9-C5D2-4F6C-89CB-1655100ADC95}" srcId="{11C8A10A-E498-49AA-A948-3EC0EC964FC7}" destId="{F456C490-6EDD-42DF-9EB8-2A74D02B15A3}" srcOrd="0" destOrd="0" parTransId="{FA037C5A-023D-4517-AD1A-AA6418D0F660}" sibTransId="{89265B72-68EA-4A95-8AD5-5F1178F19169}"/>
    <dgm:cxn modelId="{ED6F11B1-D68F-469C-A8CB-BCCF5133D28F}" type="presOf" srcId="{5C2381C7-C01D-4C0C-9CC6-BD19BB4295DD}" destId="{8944A22B-BF51-41DB-95B1-51C431D4DF09}" srcOrd="0" destOrd="0" presId="urn:microsoft.com/office/officeart/2005/8/layout/hierarchy4"/>
    <dgm:cxn modelId="{B509B131-3F37-43C8-9BE9-48B335504F72}" type="presOf" srcId="{F456C490-6EDD-42DF-9EB8-2A74D02B15A3}" destId="{4B27C010-AECA-4D85-B365-29AF38CA3C0E}" srcOrd="0" destOrd="0" presId="urn:microsoft.com/office/officeart/2005/8/layout/hierarchy4"/>
    <dgm:cxn modelId="{601CD6B1-5E02-43CD-A239-C621A2B4FFF1}" srcId="{F456C490-6EDD-42DF-9EB8-2A74D02B15A3}" destId="{CAF2B11D-6DF7-4DBA-97E7-779E830B655E}" srcOrd="1" destOrd="0" parTransId="{FE0664DE-1A84-44DD-BE93-F0973778DD44}" sibTransId="{DF526BD9-B58B-423C-9291-CDD4CF71124E}"/>
    <dgm:cxn modelId="{EEBF064B-F415-48AC-8A7D-2527D4794A74}" srcId="{1618E7CA-E934-4055-9561-21791D2E27EC}" destId="{5C2381C7-C01D-4C0C-9CC6-BD19BB4295DD}" srcOrd="1" destOrd="0" parTransId="{88376AE3-2F57-431D-B989-BEA1C07E40F4}" sibTransId="{24FBD1C4-6151-4E3B-9DF1-2ADD5EF19981}"/>
    <dgm:cxn modelId="{367B265F-CA4A-4F0A-9A29-D7764264365D}" srcId="{4DCA5E0A-231E-440C-AB94-0D749DD99903}" destId="{11C8A10A-E498-49AA-A948-3EC0EC964FC7}" srcOrd="0" destOrd="0" parTransId="{DD1F6368-5826-4891-91A6-BB9E776294A4}" sibTransId="{95433E04-0957-43EE-BA68-3DB43C2953BA}"/>
    <dgm:cxn modelId="{681D1915-052D-45DF-87BD-AEA565587F8E}" srcId="{491DA094-2CE2-4E8A-AE32-CC75FC78F65D}" destId="{9FCFA48B-3920-4695-B08D-76E230101342}" srcOrd="0" destOrd="0" parTransId="{4139A315-4E02-4703-9A78-651293470E44}" sibTransId="{E63073C7-2B86-42FD-B8ED-39A8B18C4B4D}"/>
    <dgm:cxn modelId="{F9AE9170-7BD4-405E-AA87-A681A70BF2CE}" srcId="{11C8A10A-E498-49AA-A948-3EC0EC964FC7}" destId="{1618E7CA-E934-4055-9561-21791D2E27EC}" srcOrd="1" destOrd="0" parTransId="{70FA0A2D-5404-49D9-8AF7-4DA65B4C438D}" sibTransId="{391337B0-ABA6-424C-B089-848919D97777}"/>
    <dgm:cxn modelId="{729C15D5-F30B-4C42-A609-AC87C8D44EA2}" type="presOf" srcId="{B72E25D3-6843-4AAF-B71D-4695A96D597F}" destId="{950A61BF-7F26-4FB5-9F44-6C19AEA6E56A}" srcOrd="0" destOrd="0" presId="urn:microsoft.com/office/officeart/2005/8/layout/hierarchy4"/>
    <dgm:cxn modelId="{D74B66DF-C844-4AB1-A2E1-C2F2FC029FB8}" srcId="{491DA094-2CE2-4E8A-AE32-CC75FC78F65D}" destId="{468190A6-0BD9-4248-B6B9-FB9D3DF2F593}" srcOrd="2" destOrd="0" parTransId="{502A2F83-D898-4FF3-89AD-97AD47B27D3A}" sibTransId="{7EF51755-76A8-4934-8E8C-BB5EB74E8FB9}"/>
    <dgm:cxn modelId="{F1D4C3CE-09D4-400E-A7E4-E56D81A81FF4}" type="presParOf" srcId="{90D7C3DB-CA20-439C-B61D-168AF979EE7A}" destId="{A982A3E0-6B9B-445C-8A48-215BA6FBA14B}" srcOrd="0" destOrd="0" presId="urn:microsoft.com/office/officeart/2005/8/layout/hierarchy4"/>
    <dgm:cxn modelId="{18A3F779-3DCB-4DBD-A6E3-E7A4479DF7C5}" type="presParOf" srcId="{A982A3E0-6B9B-445C-8A48-215BA6FBA14B}" destId="{CD026840-7B39-483B-9F38-2C15C2CB4864}" srcOrd="0" destOrd="0" presId="urn:microsoft.com/office/officeart/2005/8/layout/hierarchy4"/>
    <dgm:cxn modelId="{2F76875A-C09C-4896-AEF4-F0A5CAFED419}" type="presParOf" srcId="{A982A3E0-6B9B-445C-8A48-215BA6FBA14B}" destId="{B02381B5-05A5-42D5-A9EE-30D14AB3BF29}" srcOrd="1" destOrd="0" presId="urn:microsoft.com/office/officeart/2005/8/layout/hierarchy4"/>
    <dgm:cxn modelId="{8AA2A7B9-A651-4171-B5F5-636999795A29}" type="presParOf" srcId="{A982A3E0-6B9B-445C-8A48-215BA6FBA14B}" destId="{6B0617CE-4755-4F0F-9D97-C5D69286AC1D}" srcOrd="2" destOrd="0" presId="urn:microsoft.com/office/officeart/2005/8/layout/hierarchy4"/>
    <dgm:cxn modelId="{DFE8C574-65C3-48E3-BABC-CF95B2337674}" type="presParOf" srcId="{6B0617CE-4755-4F0F-9D97-C5D69286AC1D}" destId="{445089F4-0A9C-4DF7-ACA3-AD239EEAAEDC}" srcOrd="0" destOrd="0" presId="urn:microsoft.com/office/officeart/2005/8/layout/hierarchy4"/>
    <dgm:cxn modelId="{EDAE088A-DE42-4884-B1F3-2C42BCEE923A}" type="presParOf" srcId="{445089F4-0A9C-4DF7-ACA3-AD239EEAAEDC}" destId="{4B27C010-AECA-4D85-B365-29AF38CA3C0E}" srcOrd="0" destOrd="0" presId="urn:microsoft.com/office/officeart/2005/8/layout/hierarchy4"/>
    <dgm:cxn modelId="{DD1028EF-E422-4DC8-A22C-2545221B976C}" type="presParOf" srcId="{445089F4-0A9C-4DF7-ACA3-AD239EEAAEDC}" destId="{4D8FB90D-7D91-4BAD-98F7-56934042E14E}" srcOrd="1" destOrd="0" presId="urn:microsoft.com/office/officeart/2005/8/layout/hierarchy4"/>
    <dgm:cxn modelId="{C5811F1D-1FF9-4660-A789-F56A71DB926F}" type="presParOf" srcId="{445089F4-0A9C-4DF7-ACA3-AD239EEAAEDC}" destId="{260016AB-FEBB-4190-BF3A-18E79005978A}" srcOrd="2" destOrd="0" presId="urn:microsoft.com/office/officeart/2005/8/layout/hierarchy4"/>
    <dgm:cxn modelId="{D8F2BB18-172B-4E07-8697-D5695BD3DF25}" type="presParOf" srcId="{260016AB-FEBB-4190-BF3A-18E79005978A}" destId="{84072295-241B-41CD-B83A-82032D8D66F1}" srcOrd="0" destOrd="0" presId="urn:microsoft.com/office/officeart/2005/8/layout/hierarchy4"/>
    <dgm:cxn modelId="{F9C38E46-9010-433C-9004-D13EBFF8223C}" type="presParOf" srcId="{84072295-241B-41CD-B83A-82032D8D66F1}" destId="{569BD355-4C5E-4A99-9326-8310C89402F8}" srcOrd="0" destOrd="0" presId="urn:microsoft.com/office/officeart/2005/8/layout/hierarchy4"/>
    <dgm:cxn modelId="{66E63A73-9412-42BB-A9AA-5B7012622E4E}" type="presParOf" srcId="{84072295-241B-41CD-B83A-82032D8D66F1}" destId="{62BC1F03-9705-4A88-8C19-45F198A8621C}" srcOrd="1" destOrd="0" presId="urn:microsoft.com/office/officeart/2005/8/layout/hierarchy4"/>
    <dgm:cxn modelId="{0AFEBF10-05D3-4107-ACB9-3AF616D39916}" type="presParOf" srcId="{260016AB-FEBB-4190-BF3A-18E79005978A}" destId="{00B35E4B-7EFB-4E6A-B301-CA27FBAEC4F1}" srcOrd="1" destOrd="0" presId="urn:microsoft.com/office/officeart/2005/8/layout/hierarchy4"/>
    <dgm:cxn modelId="{C0492E9F-0063-4A91-8EBA-9C62F4F4B8BF}" type="presParOf" srcId="{260016AB-FEBB-4190-BF3A-18E79005978A}" destId="{749AC431-01C8-4662-8BE0-E41FEB2E8923}" srcOrd="2" destOrd="0" presId="urn:microsoft.com/office/officeart/2005/8/layout/hierarchy4"/>
    <dgm:cxn modelId="{94AAAEB6-AF1B-4FA2-AD44-B8269287925E}" type="presParOf" srcId="{749AC431-01C8-4662-8BE0-E41FEB2E8923}" destId="{4D85E698-CA5D-4D80-82C5-47D159FB7013}" srcOrd="0" destOrd="0" presId="urn:microsoft.com/office/officeart/2005/8/layout/hierarchy4"/>
    <dgm:cxn modelId="{763E3AEB-CE15-4E9E-9A6D-6B916F61AE19}" type="presParOf" srcId="{749AC431-01C8-4662-8BE0-E41FEB2E8923}" destId="{1EB0DA27-273F-4847-A17F-27D5856497F1}" srcOrd="1" destOrd="0" presId="urn:microsoft.com/office/officeart/2005/8/layout/hierarchy4"/>
    <dgm:cxn modelId="{CF6ADE32-7116-4BB8-986B-80FA79E66E03}" type="presParOf" srcId="{6B0617CE-4755-4F0F-9D97-C5D69286AC1D}" destId="{D558263D-D1C9-4998-AF7A-AA183D05719A}" srcOrd="1" destOrd="0" presId="urn:microsoft.com/office/officeart/2005/8/layout/hierarchy4"/>
    <dgm:cxn modelId="{E6F72D97-075A-4DB5-992B-9DFCF3B7F843}" type="presParOf" srcId="{6B0617CE-4755-4F0F-9D97-C5D69286AC1D}" destId="{F7B6F2B8-82F2-4249-81C2-B01ACCC07610}" srcOrd="2" destOrd="0" presId="urn:microsoft.com/office/officeart/2005/8/layout/hierarchy4"/>
    <dgm:cxn modelId="{D7A94163-D567-4941-B55B-2ACCE8F98C3C}" type="presParOf" srcId="{F7B6F2B8-82F2-4249-81C2-B01ACCC07610}" destId="{8D06874B-0820-4A3C-B709-F61AF17A70BF}" srcOrd="0" destOrd="0" presId="urn:microsoft.com/office/officeart/2005/8/layout/hierarchy4"/>
    <dgm:cxn modelId="{027A7700-6551-4C97-8DC0-1FCEB09DE843}" type="presParOf" srcId="{F7B6F2B8-82F2-4249-81C2-B01ACCC07610}" destId="{533899AD-82FF-4F28-BF3A-DC052D753C69}" srcOrd="1" destOrd="0" presId="urn:microsoft.com/office/officeart/2005/8/layout/hierarchy4"/>
    <dgm:cxn modelId="{E49DCCC6-8FC8-4CB4-92EC-DD50E769E609}" type="presParOf" srcId="{F7B6F2B8-82F2-4249-81C2-B01ACCC07610}" destId="{46384EE2-7C58-4FCE-828D-AFA64122E80F}" srcOrd="2" destOrd="0" presId="urn:microsoft.com/office/officeart/2005/8/layout/hierarchy4"/>
    <dgm:cxn modelId="{41C607B6-04F0-4BF7-96DB-38FA252C674B}" type="presParOf" srcId="{46384EE2-7C58-4FCE-828D-AFA64122E80F}" destId="{351CC0D1-3110-4A44-B0F6-CCCB9623A449}" srcOrd="0" destOrd="0" presId="urn:microsoft.com/office/officeart/2005/8/layout/hierarchy4"/>
    <dgm:cxn modelId="{365C3DC5-D3A4-47B7-9AA8-A8EAFB917156}" type="presParOf" srcId="{351CC0D1-3110-4A44-B0F6-CCCB9623A449}" destId="{950A61BF-7F26-4FB5-9F44-6C19AEA6E56A}" srcOrd="0" destOrd="0" presId="urn:microsoft.com/office/officeart/2005/8/layout/hierarchy4"/>
    <dgm:cxn modelId="{822CAC28-D8C7-49CB-9743-04A5BB99C028}" type="presParOf" srcId="{351CC0D1-3110-4A44-B0F6-CCCB9623A449}" destId="{D3C3C8F8-682C-464A-BD15-811471D74E69}" srcOrd="1" destOrd="0" presId="urn:microsoft.com/office/officeart/2005/8/layout/hierarchy4"/>
    <dgm:cxn modelId="{FBBAE39C-C30D-4ABA-BDE1-C93F314F3AC6}" type="presParOf" srcId="{46384EE2-7C58-4FCE-828D-AFA64122E80F}" destId="{E647B255-9282-4920-AB36-142AF5284CEF}" srcOrd="1" destOrd="0" presId="urn:microsoft.com/office/officeart/2005/8/layout/hierarchy4"/>
    <dgm:cxn modelId="{5DC92D52-C29C-4C91-A22C-217149731896}" type="presParOf" srcId="{46384EE2-7C58-4FCE-828D-AFA64122E80F}" destId="{33FC8870-8FDE-4FA5-824A-DB304FC797EF}" srcOrd="2" destOrd="0" presId="urn:microsoft.com/office/officeart/2005/8/layout/hierarchy4"/>
    <dgm:cxn modelId="{2F27EDFC-D900-458B-BED9-3AA149A4FF16}" type="presParOf" srcId="{33FC8870-8FDE-4FA5-824A-DB304FC797EF}" destId="{8944A22B-BF51-41DB-95B1-51C431D4DF09}" srcOrd="0" destOrd="0" presId="urn:microsoft.com/office/officeart/2005/8/layout/hierarchy4"/>
    <dgm:cxn modelId="{D10ACAA8-80BF-4212-98F3-17C51346DE4A}" type="presParOf" srcId="{33FC8870-8FDE-4FA5-824A-DB304FC797EF}" destId="{28092B09-1AD0-4DA7-97AF-C3AD75401AC2}" srcOrd="1" destOrd="0" presId="urn:microsoft.com/office/officeart/2005/8/layout/hierarchy4"/>
    <dgm:cxn modelId="{7A160EED-898C-493D-A7FA-8B652395A5AB}" type="presParOf" srcId="{46384EE2-7C58-4FCE-828D-AFA64122E80F}" destId="{BFAE660B-41C3-4B38-B6B5-B3B064A53414}" srcOrd="3" destOrd="0" presId="urn:microsoft.com/office/officeart/2005/8/layout/hierarchy4"/>
    <dgm:cxn modelId="{04DBAF7F-0668-41F5-A455-3B387C579A39}" type="presParOf" srcId="{46384EE2-7C58-4FCE-828D-AFA64122E80F}" destId="{A8C36F0C-6577-4CB6-BCD0-55E3D2A5D8E6}" srcOrd="4" destOrd="0" presId="urn:microsoft.com/office/officeart/2005/8/layout/hierarchy4"/>
    <dgm:cxn modelId="{63F4D052-F58C-4A7A-B365-D4954ADCB3D3}" type="presParOf" srcId="{A8C36F0C-6577-4CB6-BCD0-55E3D2A5D8E6}" destId="{E649F64C-1EAF-4B4F-87BD-E9BEAD401063}" srcOrd="0" destOrd="0" presId="urn:microsoft.com/office/officeart/2005/8/layout/hierarchy4"/>
    <dgm:cxn modelId="{8669F2DD-71B6-4392-B55E-4B53E15D1085}" type="presParOf" srcId="{A8C36F0C-6577-4CB6-BCD0-55E3D2A5D8E6}" destId="{79C53EBC-00A0-4AC0-BD40-569F8CD94CCA}" srcOrd="1" destOrd="0" presId="urn:microsoft.com/office/officeart/2005/8/layout/hierarchy4"/>
    <dgm:cxn modelId="{E9B94B8A-CD88-49F9-873F-705108BF378E}" type="presParOf" srcId="{6B0617CE-4755-4F0F-9D97-C5D69286AC1D}" destId="{EEB4C3E2-4648-4FA2-AE36-17715857C0EF}" srcOrd="3" destOrd="0" presId="urn:microsoft.com/office/officeart/2005/8/layout/hierarchy4"/>
    <dgm:cxn modelId="{FA019851-4FA3-423E-8BA3-1295E3E3270E}" type="presParOf" srcId="{6B0617CE-4755-4F0F-9D97-C5D69286AC1D}" destId="{83B230B2-9D2F-4CE4-A97B-85A5D8ECF6C5}" srcOrd="4" destOrd="0" presId="urn:microsoft.com/office/officeart/2005/8/layout/hierarchy4"/>
    <dgm:cxn modelId="{CAA5CDBA-1D41-42D9-8814-E416A63E0129}" type="presParOf" srcId="{83B230B2-9D2F-4CE4-A97B-85A5D8ECF6C5}" destId="{B7324BE1-7F0E-4032-B7CB-F5BFEDC26143}" srcOrd="0" destOrd="0" presId="urn:microsoft.com/office/officeart/2005/8/layout/hierarchy4"/>
    <dgm:cxn modelId="{87B309C9-D289-4EBD-ADB4-687E5A383801}" type="presParOf" srcId="{83B230B2-9D2F-4CE4-A97B-85A5D8ECF6C5}" destId="{C301DFB6-2E7B-4B9B-B982-D7813B6A7C09}" srcOrd="1" destOrd="0" presId="urn:microsoft.com/office/officeart/2005/8/layout/hierarchy4"/>
    <dgm:cxn modelId="{B40A61E9-687F-4636-98B4-5416A550D1CF}" type="presParOf" srcId="{83B230B2-9D2F-4CE4-A97B-85A5D8ECF6C5}" destId="{DCB57D51-044E-4F0F-AEF1-E0C6AFF7A29D}" srcOrd="2" destOrd="0" presId="urn:microsoft.com/office/officeart/2005/8/layout/hierarchy4"/>
    <dgm:cxn modelId="{50D65570-B685-4E36-9935-729A53C4D45D}" type="presParOf" srcId="{DCB57D51-044E-4F0F-AEF1-E0C6AFF7A29D}" destId="{0E76772C-65F3-494C-AECA-545C1B86DA86}" srcOrd="0" destOrd="0" presId="urn:microsoft.com/office/officeart/2005/8/layout/hierarchy4"/>
    <dgm:cxn modelId="{E85EFD16-262D-4FCA-87F6-E1B2E89C99E9}" type="presParOf" srcId="{0E76772C-65F3-494C-AECA-545C1B86DA86}" destId="{99394EE1-5764-4C79-8749-11855583F7E0}" srcOrd="0" destOrd="0" presId="urn:microsoft.com/office/officeart/2005/8/layout/hierarchy4"/>
    <dgm:cxn modelId="{09122909-2474-43EE-87B6-2D61018620D1}" type="presParOf" srcId="{0E76772C-65F3-494C-AECA-545C1B86DA86}" destId="{28B86F9B-152A-403F-831C-E0F6D76CA2C4}" srcOrd="1" destOrd="0" presId="urn:microsoft.com/office/officeart/2005/8/layout/hierarchy4"/>
    <dgm:cxn modelId="{B3D179AD-08FD-4264-9A3D-D9E66989CA73}" type="presParOf" srcId="{DCB57D51-044E-4F0F-AEF1-E0C6AFF7A29D}" destId="{188D9525-619A-4211-815B-9E755130CCCE}" srcOrd="1" destOrd="0" presId="urn:microsoft.com/office/officeart/2005/8/layout/hierarchy4"/>
    <dgm:cxn modelId="{1E1C93F0-EE61-4E96-8A17-5616AA62C99F}" type="presParOf" srcId="{DCB57D51-044E-4F0F-AEF1-E0C6AFF7A29D}" destId="{55B61F4A-C35F-4F29-932B-74DBFFD03602}" srcOrd="2" destOrd="0" presId="urn:microsoft.com/office/officeart/2005/8/layout/hierarchy4"/>
    <dgm:cxn modelId="{802A85AF-FE3C-419E-8C2F-1BFC86F4058E}" type="presParOf" srcId="{55B61F4A-C35F-4F29-932B-74DBFFD03602}" destId="{1484D3D2-7F05-4228-9A14-A5890AB669E6}" srcOrd="0" destOrd="0" presId="urn:microsoft.com/office/officeart/2005/8/layout/hierarchy4"/>
    <dgm:cxn modelId="{955B0689-CF17-4B97-A9FC-4CBC2F2DC08D}" type="presParOf" srcId="{55B61F4A-C35F-4F29-932B-74DBFFD03602}" destId="{F5CFDD4A-AA2F-49FF-BCC7-9092BA24AAFD}" srcOrd="1" destOrd="0" presId="urn:microsoft.com/office/officeart/2005/8/layout/hierarchy4"/>
    <dgm:cxn modelId="{EB047BA3-F21B-4864-B868-A3873343B2AF}" type="presParOf" srcId="{DCB57D51-044E-4F0F-AEF1-E0C6AFF7A29D}" destId="{7DDE1873-D9DF-44FB-BC7E-28422E12F76D}" srcOrd="3" destOrd="0" presId="urn:microsoft.com/office/officeart/2005/8/layout/hierarchy4"/>
    <dgm:cxn modelId="{DE37F802-7222-4504-B185-12718C9D21E0}" type="presParOf" srcId="{DCB57D51-044E-4F0F-AEF1-E0C6AFF7A29D}" destId="{81F4E43E-A1BF-4524-B4C9-CA0D00746D6C}" srcOrd="4" destOrd="0" presId="urn:microsoft.com/office/officeart/2005/8/layout/hierarchy4"/>
    <dgm:cxn modelId="{16F32B2A-EFC4-4CDD-93E0-E53282D66570}" type="presParOf" srcId="{81F4E43E-A1BF-4524-B4C9-CA0D00746D6C}" destId="{4AA103ED-4A6B-417A-AB81-D447A11990D7}" srcOrd="0" destOrd="0" presId="urn:microsoft.com/office/officeart/2005/8/layout/hierarchy4"/>
    <dgm:cxn modelId="{204CAF9E-4DF1-478A-8D47-5F4830499710}" type="presParOf" srcId="{81F4E43E-A1BF-4524-B4C9-CA0D00746D6C}" destId="{CB70FB51-7359-47C3-A2B0-13E29E100F93}" srcOrd="1" destOrd="0" presId="urn:microsoft.com/office/officeart/2005/8/layout/hierarchy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665A5D7-27E4-4F6E-972F-B613129F95DE}"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endParaRPr lang="pl-PL"/>
        </a:p>
      </dgm:t>
    </dgm:pt>
    <dgm:pt modelId="{C675866D-C001-4801-9797-7266D4481C20}">
      <dgm:prSet phldrT="[Tekst]" custT="1"/>
      <dgm:spPr/>
      <dgm:t>
        <a:bodyPr/>
        <a:lstStyle/>
        <a:p>
          <a:r>
            <a:rPr lang="pl-PL" sz="1300" b="1">
              <a:latin typeface="Times New Roman" pitchFamily="18" charset="0"/>
              <a:cs typeface="Times New Roman" pitchFamily="18" charset="0"/>
            </a:rPr>
            <a:t>RPO WSL</a:t>
          </a:r>
        </a:p>
        <a:p>
          <a:r>
            <a:rPr lang="pl-PL" sz="1100" b="1">
              <a:latin typeface="Times New Roman" pitchFamily="18" charset="0"/>
              <a:cs typeface="Times New Roman" pitchFamily="18" charset="0"/>
            </a:rPr>
            <a:t>3120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1953,07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1 172,29  mln EUR </a:t>
          </a:r>
          <a:r>
            <a:rPr lang="pl-PL" sz="1100" b="0">
              <a:latin typeface="Times New Roman" pitchFamily="18" charset="0"/>
              <a:cs typeface="Times New Roman" pitchFamily="18" charset="0"/>
            </a:rPr>
            <a:t>dofinansowanie</a:t>
          </a:r>
        </a:p>
        <a:p>
          <a:r>
            <a:rPr lang="pl-PL" sz="1100" b="1">
              <a:solidFill>
                <a:sysClr val="windowText" lastClr="000000"/>
              </a:solidFill>
              <a:latin typeface="Times New Roman" pitchFamily="18" charset="0"/>
              <a:cs typeface="Times New Roman" pitchFamily="18" charset="0"/>
            </a:rPr>
            <a:t>588,58 mln EUR </a:t>
          </a:r>
          <a:r>
            <a:rPr lang="pl-PL" sz="1100" b="0">
              <a:solidFill>
                <a:sysClr val="windowText" lastClr="000000"/>
              </a:solidFill>
              <a:latin typeface="Times New Roman" pitchFamily="18" charset="0"/>
              <a:cs typeface="Times New Roman" pitchFamily="18" charset="0"/>
            </a:rPr>
            <a:t>płatności</a:t>
          </a:r>
        </a:p>
      </dgm:t>
    </dgm:pt>
    <dgm:pt modelId="{2811B370-C586-4969-9C52-31AEFBCDB9D8}" type="parTrans" cxnId="{3E533D97-DE8B-44F5-91E9-04668C6B60F7}">
      <dgm:prSet/>
      <dgm:spPr/>
      <dgm:t>
        <a:bodyPr/>
        <a:lstStyle/>
        <a:p>
          <a:endParaRPr lang="pl-PL"/>
        </a:p>
      </dgm:t>
    </dgm:pt>
    <dgm:pt modelId="{F3B63370-A898-44C9-9611-0D809959E70C}" type="sibTrans" cxnId="{3E533D97-DE8B-44F5-91E9-04668C6B60F7}">
      <dgm:prSet/>
      <dgm:spPr/>
      <dgm:t>
        <a:bodyPr/>
        <a:lstStyle/>
        <a:p>
          <a:endParaRPr lang="pl-PL"/>
        </a:p>
      </dgm:t>
    </dgm:pt>
    <dgm:pt modelId="{FDC0B519-CC8B-409C-90A7-36A7CB06451B}">
      <dgm:prSet phldrT="[Tekst]" custT="1"/>
      <dgm:spPr/>
      <dgm:t>
        <a:bodyPr/>
        <a:lstStyle/>
        <a:p>
          <a:r>
            <a:rPr lang="pl-PL" sz="1100" b="1">
              <a:latin typeface="Times New Roman" pitchFamily="18" charset="0"/>
              <a:cs typeface="Times New Roman" pitchFamily="18" charset="0"/>
            </a:rPr>
            <a:t>PK</a:t>
          </a:r>
        </a:p>
        <a:p>
          <a:r>
            <a:rPr lang="pl-PL" sz="1100" b="1">
              <a:latin typeface="Times New Roman" pitchFamily="18" charset="0"/>
              <a:cs typeface="Times New Roman" pitchFamily="18" charset="0"/>
            </a:rPr>
            <a:t>68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562,99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347,37 mln EUR </a:t>
          </a:r>
          <a:r>
            <a:rPr lang="pl-PL" sz="1100" b="0">
              <a:latin typeface="Times New Roman" pitchFamily="18" charset="0"/>
              <a:cs typeface="Times New Roman" pitchFamily="18" charset="0"/>
            </a:rPr>
            <a:t>dofinansowanie</a:t>
          </a:r>
        </a:p>
        <a:p>
          <a:r>
            <a:rPr lang="pl-PL" sz="1100" b="1">
              <a:solidFill>
                <a:sysClr val="windowText" lastClr="000000"/>
              </a:solidFill>
              <a:latin typeface="Times New Roman" pitchFamily="18" charset="0"/>
              <a:cs typeface="Times New Roman" pitchFamily="18" charset="0"/>
            </a:rPr>
            <a:t>129,32 mln EUR </a:t>
          </a:r>
          <a:r>
            <a:rPr lang="pl-PL" sz="1100" b="0">
              <a:solidFill>
                <a:sysClr val="windowText" lastClr="000000"/>
              </a:solidFill>
              <a:latin typeface="Times New Roman" pitchFamily="18" charset="0"/>
              <a:cs typeface="Times New Roman" pitchFamily="18" charset="0"/>
            </a:rPr>
            <a:t>płatności</a:t>
          </a:r>
        </a:p>
      </dgm:t>
    </dgm:pt>
    <dgm:pt modelId="{FC8648F2-33D1-496F-8E9B-30A86843E7C3}" type="parTrans" cxnId="{4DCCF364-11E3-40ED-ACDA-98906DD605ED}">
      <dgm:prSet/>
      <dgm:spPr/>
      <dgm:t>
        <a:bodyPr/>
        <a:lstStyle/>
        <a:p>
          <a:endParaRPr lang="pl-PL"/>
        </a:p>
      </dgm:t>
    </dgm:pt>
    <dgm:pt modelId="{F53F1BC0-A913-433D-8450-2451E7B5A9C5}" type="sibTrans" cxnId="{4DCCF364-11E3-40ED-ACDA-98906DD605ED}">
      <dgm:prSet/>
      <dgm:spPr/>
      <dgm:t>
        <a:bodyPr/>
        <a:lstStyle/>
        <a:p>
          <a:endParaRPr lang="pl-PL"/>
        </a:p>
      </dgm:t>
    </dgm:pt>
    <dgm:pt modelId="{40DDF528-1F45-48D5-B9D1-F8BD2237B669}">
      <dgm:prSet custT="1"/>
      <dgm:spPr/>
      <dgm:t>
        <a:bodyPr/>
        <a:lstStyle/>
        <a:p>
          <a:r>
            <a:rPr lang="pl-PL" sz="1100" b="1">
              <a:latin typeface="Times New Roman" pitchFamily="18" charset="0"/>
              <a:cs typeface="Times New Roman" pitchFamily="18" charset="0"/>
            </a:rPr>
            <a:t>PRS</a:t>
          </a:r>
        </a:p>
        <a:p>
          <a:r>
            <a:rPr lang="pl-PL" sz="1100" b="1">
              <a:latin typeface="Times New Roman" pitchFamily="18" charset="0"/>
              <a:cs typeface="Times New Roman" pitchFamily="18" charset="0"/>
            </a:rPr>
            <a:t>215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273,99 mln EUR </a:t>
          </a:r>
          <a:r>
            <a:rPr lang="pl-PL" sz="1100" b="0">
              <a:latin typeface="Times New Roman" pitchFamily="18" charset="0"/>
              <a:cs typeface="Times New Roman" pitchFamily="18" charset="0"/>
            </a:rPr>
            <a:t>wartość</a:t>
          </a:r>
        </a:p>
        <a:p>
          <a:r>
            <a:rPr lang="pl-PL" sz="1100" b="0">
              <a:latin typeface="Times New Roman" pitchFamily="18" charset="0"/>
              <a:cs typeface="Times New Roman" pitchFamily="18" charset="0"/>
            </a:rPr>
            <a:t> </a:t>
          </a:r>
          <a:r>
            <a:rPr lang="pl-PL" sz="1100" b="1">
              <a:latin typeface="Times New Roman" pitchFamily="18" charset="0"/>
              <a:cs typeface="Times New Roman" pitchFamily="18" charset="0"/>
            </a:rPr>
            <a:t>224,55 mln EUR </a:t>
          </a:r>
          <a:r>
            <a:rPr lang="pl-PL" sz="1100" b="0">
              <a:latin typeface="Times New Roman" pitchFamily="18" charset="0"/>
              <a:cs typeface="Times New Roman" pitchFamily="18" charset="0"/>
            </a:rPr>
            <a:t>dofinansowanie</a:t>
          </a:r>
        </a:p>
        <a:p>
          <a:r>
            <a:rPr lang="pl-PL" sz="1100" b="1">
              <a:solidFill>
                <a:sysClr val="windowText" lastClr="000000"/>
              </a:solidFill>
              <a:latin typeface="Times New Roman" pitchFamily="18" charset="0"/>
              <a:cs typeface="Times New Roman" pitchFamily="18" charset="0"/>
            </a:rPr>
            <a:t>95,18 mln EUR </a:t>
          </a:r>
          <a:r>
            <a:rPr lang="pl-PL" sz="1100" b="0">
              <a:solidFill>
                <a:sysClr val="windowText" lastClr="000000"/>
              </a:solidFill>
              <a:latin typeface="Times New Roman" pitchFamily="18" charset="0"/>
              <a:cs typeface="Times New Roman" pitchFamily="18" charset="0"/>
            </a:rPr>
            <a:t>płatności</a:t>
          </a:r>
        </a:p>
      </dgm:t>
    </dgm:pt>
    <dgm:pt modelId="{D74B42E5-544B-489E-8C04-643DB105792E}" type="parTrans" cxnId="{0765F1AE-A4A6-44CB-A4A2-E663A36BB37A}">
      <dgm:prSet/>
      <dgm:spPr/>
      <dgm:t>
        <a:bodyPr/>
        <a:lstStyle/>
        <a:p>
          <a:endParaRPr lang="pl-PL"/>
        </a:p>
      </dgm:t>
    </dgm:pt>
    <dgm:pt modelId="{5D0D28A4-5A0A-47E9-BEAF-FC3A5960C302}" type="sibTrans" cxnId="{0765F1AE-A4A6-44CB-A4A2-E663A36BB37A}">
      <dgm:prSet/>
      <dgm:spPr/>
      <dgm:t>
        <a:bodyPr/>
        <a:lstStyle/>
        <a:p>
          <a:endParaRPr lang="pl-PL"/>
        </a:p>
      </dgm:t>
    </dgm:pt>
    <dgm:pt modelId="{0CC3DA67-50C2-4705-9E30-7D04EC04C4D6}">
      <dgm:prSet custT="1"/>
      <dgm:spPr/>
      <dgm:t>
        <a:bodyPr/>
        <a:lstStyle/>
        <a:p>
          <a:r>
            <a:rPr lang="pl-PL" sz="1100" b="1">
              <a:latin typeface="Times New Roman" pitchFamily="18" charset="0"/>
              <a:cs typeface="Times New Roman" pitchFamily="18" charset="0"/>
            </a:rPr>
            <a:t>KONKURSY</a:t>
          </a:r>
        </a:p>
        <a:p>
          <a:r>
            <a:rPr lang="pl-PL" sz="1100" b="1">
              <a:latin typeface="Times New Roman" pitchFamily="18" charset="0"/>
              <a:cs typeface="Times New Roman" pitchFamily="18" charset="0"/>
            </a:rPr>
            <a:t>2836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1056,09 mln EUR </a:t>
          </a:r>
          <a:r>
            <a:rPr lang="pl-PL" sz="1100" b="0">
              <a:latin typeface="Times New Roman" pitchFamily="18" charset="0"/>
              <a:cs typeface="Times New Roman" pitchFamily="18" charset="0"/>
            </a:rPr>
            <a:t>wartość </a:t>
          </a:r>
        </a:p>
        <a:p>
          <a:r>
            <a:rPr lang="pl-PL" sz="1100" b="1">
              <a:latin typeface="Times New Roman" pitchFamily="18" charset="0"/>
              <a:cs typeface="Times New Roman" pitchFamily="18" charset="0"/>
            </a:rPr>
            <a:t>545,23 mln EUR </a:t>
          </a:r>
          <a:r>
            <a:rPr lang="pl-PL" sz="1100" b="0">
              <a:latin typeface="Times New Roman" pitchFamily="18" charset="0"/>
              <a:cs typeface="Times New Roman" pitchFamily="18" charset="0"/>
            </a:rPr>
            <a:t>dofinansowanie</a:t>
          </a:r>
        </a:p>
        <a:p>
          <a:r>
            <a:rPr lang="pl-PL" sz="1100" b="1">
              <a:solidFill>
                <a:sysClr val="windowText" lastClr="000000"/>
              </a:solidFill>
              <a:latin typeface="Times New Roman" pitchFamily="18" charset="0"/>
              <a:cs typeface="Times New Roman" pitchFamily="18" charset="0"/>
            </a:rPr>
            <a:t>304,08 mln EUR </a:t>
          </a:r>
          <a:r>
            <a:rPr lang="pl-PL" sz="1100" b="0">
              <a:solidFill>
                <a:sysClr val="windowText" lastClr="000000"/>
              </a:solidFill>
              <a:latin typeface="Times New Roman" pitchFamily="18" charset="0"/>
              <a:cs typeface="Times New Roman" pitchFamily="18" charset="0"/>
            </a:rPr>
            <a:t>płatności</a:t>
          </a:r>
        </a:p>
        <a:p>
          <a:endParaRPr lang="pl-PL" sz="1100" b="1">
            <a:latin typeface="Times New Roman" pitchFamily="18" charset="0"/>
            <a:cs typeface="Times New Roman" pitchFamily="18" charset="0"/>
          </a:endParaRPr>
        </a:p>
      </dgm:t>
    </dgm:pt>
    <dgm:pt modelId="{B8C072D8-1D65-4780-A9EC-9C14BE65B959}" type="parTrans" cxnId="{746B97E7-67D9-4D7B-B396-9AFC48ACA179}">
      <dgm:prSet/>
      <dgm:spPr/>
      <dgm:t>
        <a:bodyPr/>
        <a:lstStyle/>
        <a:p>
          <a:endParaRPr lang="pl-PL"/>
        </a:p>
      </dgm:t>
    </dgm:pt>
    <dgm:pt modelId="{CC85EB71-B7C2-451A-8320-9B23DF741CD5}" type="sibTrans" cxnId="{746B97E7-67D9-4D7B-B396-9AFC48ACA179}">
      <dgm:prSet/>
      <dgm:spPr/>
      <dgm:t>
        <a:bodyPr/>
        <a:lstStyle/>
        <a:p>
          <a:endParaRPr lang="pl-PL"/>
        </a:p>
      </dgm:t>
    </dgm:pt>
    <dgm:pt modelId="{970F7203-96B6-4570-82A2-2EE7673D82E9}">
      <dgm:prSet phldrT="[Tekst]" custT="1"/>
      <dgm:spPr/>
      <dgm:t>
        <a:bodyPr/>
        <a:lstStyle/>
        <a:p>
          <a:r>
            <a:rPr lang="pl-PL" sz="1100" b="1">
              <a:latin typeface="Times New Roman" pitchFamily="18" charset="0"/>
              <a:cs typeface="Times New Roman" pitchFamily="18" charset="0"/>
            </a:rPr>
            <a:t>JESSICA</a:t>
          </a:r>
        </a:p>
        <a:p>
          <a:r>
            <a:rPr lang="pl-PL" sz="1100" b="1">
              <a:latin typeface="Times New Roman" pitchFamily="18" charset="0"/>
              <a:cs typeface="Times New Roman" pitchFamily="18" charset="0"/>
            </a:rPr>
            <a:t>1 </a:t>
          </a:r>
          <a:r>
            <a:rPr lang="pl-PL" sz="1100" b="0">
              <a:latin typeface="Times New Roman" pitchFamily="18" charset="0"/>
              <a:cs typeface="Times New Roman" pitchFamily="18" charset="0"/>
            </a:rPr>
            <a:t>umowa na kwotę</a:t>
          </a:r>
          <a:r>
            <a:rPr lang="pl-PL" sz="1100" b="1">
              <a:latin typeface="Times New Roman" pitchFamily="18" charset="0"/>
              <a:cs typeface="Times New Roman" pitchFamily="18" charset="0"/>
            </a:rPr>
            <a:t> 55,14 mln EUR</a:t>
          </a:r>
        </a:p>
        <a:p>
          <a:r>
            <a:rPr lang="pl-PL" sz="1100" b="1">
              <a:solidFill>
                <a:sysClr val="windowText" lastClr="000000"/>
              </a:solidFill>
              <a:latin typeface="Times New Roman" pitchFamily="18" charset="0"/>
              <a:cs typeface="Times New Roman" pitchFamily="18" charset="0"/>
            </a:rPr>
            <a:t>55,14 mln EUR </a:t>
          </a:r>
          <a:r>
            <a:rPr lang="pl-PL" sz="1100" b="0">
              <a:solidFill>
                <a:sysClr val="windowText" lastClr="000000"/>
              </a:solidFill>
              <a:latin typeface="Times New Roman" pitchFamily="18" charset="0"/>
              <a:cs typeface="Times New Roman" pitchFamily="18" charset="0"/>
            </a:rPr>
            <a:t>płatności</a:t>
          </a:r>
        </a:p>
      </dgm:t>
    </dgm:pt>
    <dgm:pt modelId="{27EE33B6-6AF5-4539-9A77-21D99AFED6FB}" type="sibTrans" cxnId="{B85D0716-60DA-45E2-AC16-91A3D5A76289}">
      <dgm:prSet/>
      <dgm:spPr/>
      <dgm:t>
        <a:bodyPr/>
        <a:lstStyle/>
        <a:p>
          <a:endParaRPr lang="pl-PL"/>
        </a:p>
      </dgm:t>
    </dgm:pt>
    <dgm:pt modelId="{DF0014E8-3AAB-4878-9BB5-7D41CAD92190}" type="parTrans" cxnId="{B85D0716-60DA-45E2-AC16-91A3D5A76289}">
      <dgm:prSet/>
      <dgm:spPr/>
      <dgm:t>
        <a:bodyPr/>
        <a:lstStyle/>
        <a:p>
          <a:endParaRPr lang="pl-PL"/>
        </a:p>
      </dgm:t>
    </dgm:pt>
    <dgm:pt modelId="{D483BC76-92C1-4E06-8D25-0651B7356205}" type="pres">
      <dgm:prSet presAssocID="{3665A5D7-27E4-4F6E-972F-B613129F95DE}" presName="hierChild1" presStyleCnt="0">
        <dgm:presLayoutVars>
          <dgm:chPref val="1"/>
          <dgm:dir/>
          <dgm:animOne val="branch"/>
          <dgm:animLvl val="lvl"/>
          <dgm:resizeHandles/>
        </dgm:presLayoutVars>
      </dgm:prSet>
      <dgm:spPr/>
      <dgm:t>
        <a:bodyPr/>
        <a:lstStyle/>
        <a:p>
          <a:endParaRPr lang="pl-PL"/>
        </a:p>
      </dgm:t>
    </dgm:pt>
    <dgm:pt modelId="{4000021D-0637-445E-8D79-4826D3A6689A}" type="pres">
      <dgm:prSet presAssocID="{C675866D-C001-4801-9797-7266D4481C20}" presName="hierRoot1" presStyleCnt="0"/>
      <dgm:spPr/>
    </dgm:pt>
    <dgm:pt modelId="{B9FA2158-ED43-43BB-9545-60F863294706}" type="pres">
      <dgm:prSet presAssocID="{C675866D-C001-4801-9797-7266D4481C20}" presName="composite" presStyleCnt="0"/>
      <dgm:spPr/>
    </dgm:pt>
    <dgm:pt modelId="{67F50A69-018D-46C3-AE9C-AC68943FAF3A}" type="pres">
      <dgm:prSet presAssocID="{C675866D-C001-4801-9797-7266D4481C20}" presName="background" presStyleLbl="node0" presStyleIdx="0" presStyleCnt="1"/>
      <dgm:spPr/>
    </dgm:pt>
    <dgm:pt modelId="{A279A664-0485-467D-ACA4-6F38EC03A809}" type="pres">
      <dgm:prSet presAssocID="{C675866D-C001-4801-9797-7266D4481C20}" presName="text" presStyleLbl="fgAcc0" presStyleIdx="0" presStyleCnt="1" custScaleX="263265" custScaleY="120236" custLinFactNeighborX="-641" custLinFactNeighborY="-39374">
        <dgm:presLayoutVars>
          <dgm:chPref val="3"/>
        </dgm:presLayoutVars>
      </dgm:prSet>
      <dgm:spPr/>
      <dgm:t>
        <a:bodyPr/>
        <a:lstStyle/>
        <a:p>
          <a:endParaRPr lang="pl-PL"/>
        </a:p>
      </dgm:t>
    </dgm:pt>
    <dgm:pt modelId="{D5EF776B-4FCC-4A6F-B68C-685F3F10A76D}" type="pres">
      <dgm:prSet presAssocID="{C675866D-C001-4801-9797-7266D4481C20}" presName="hierChild2" presStyleCnt="0"/>
      <dgm:spPr/>
    </dgm:pt>
    <dgm:pt modelId="{2FE744FF-7BF8-4594-8EEE-101F666CC27E}" type="pres">
      <dgm:prSet presAssocID="{DF0014E8-3AAB-4878-9BB5-7D41CAD92190}" presName="Name10" presStyleLbl="parChTrans1D2" presStyleIdx="0" presStyleCnt="4"/>
      <dgm:spPr/>
      <dgm:t>
        <a:bodyPr/>
        <a:lstStyle/>
        <a:p>
          <a:endParaRPr lang="pl-PL"/>
        </a:p>
      </dgm:t>
    </dgm:pt>
    <dgm:pt modelId="{2CC79F90-CC19-46D1-BF7C-C65D361265C6}" type="pres">
      <dgm:prSet presAssocID="{970F7203-96B6-4570-82A2-2EE7673D82E9}" presName="hierRoot2" presStyleCnt="0"/>
      <dgm:spPr/>
    </dgm:pt>
    <dgm:pt modelId="{02C06B3A-587A-427E-BE0B-9679D2923509}" type="pres">
      <dgm:prSet presAssocID="{970F7203-96B6-4570-82A2-2EE7673D82E9}" presName="composite2" presStyleCnt="0"/>
      <dgm:spPr/>
    </dgm:pt>
    <dgm:pt modelId="{308675C2-C4AA-463D-BCF5-6361AD763858}" type="pres">
      <dgm:prSet presAssocID="{970F7203-96B6-4570-82A2-2EE7673D82E9}" presName="background2" presStyleLbl="node2" presStyleIdx="0" presStyleCnt="4"/>
      <dgm:spPr/>
    </dgm:pt>
    <dgm:pt modelId="{49E9D205-5D8A-46A6-A798-DD97FD7E3290}" type="pres">
      <dgm:prSet presAssocID="{970F7203-96B6-4570-82A2-2EE7673D82E9}" presName="text2" presStyleLbl="fgAcc2" presStyleIdx="0" presStyleCnt="4" custScaleY="112009">
        <dgm:presLayoutVars>
          <dgm:chPref val="3"/>
        </dgm:presLayoutVars>
      </dgm:prSet>
      <dgm:spPr/>
      <dgm:t>
        <a:bodyPr/>
        <a:lstStyle/>
        <a:p>
          <a:endParaRPr lang="pl-PL"/>
        </a:p>
      </dgm:t>
    </dgm:pt>
    <dgm:pt modelId="{5E2310B3-BE84-4C7B-9954-8D751E3E865B}" type="pres">
      <dgm:prSet presAssocID="{970F7203-96B6-4570-82A2-2EE7673D82E9}" presName="hierChild3" presStyleCnt="0"/>
      <dgm:spPr/>
    </dgm:pt>
    <dgm:pt modelId="{E9283C57-586A-4B4F-A41B-88E8E5F53462}" type="pres">
      <dgm:prSet presAssocID="{B8C072D8-1D65-4780-A9EC-9C14BE65B959}" presName="Name10" presStyleLbl="parChTrans1D2" presStyleIdx="1" presStyleCnt="4"/>
      <dgm:spPr/>
      <dgm:t>
        <a:bodyPr/>
        <a:lstStyle/>
        <a:p>
          <a:endParaRPr lang="pl-PL"/>
        </a:p>
      </dgm:t>
    </dgm:pt>
    <dgm:pt modelId="{B369D53F-B377-48DC-A63B-00B8A9264180}" type="pres">
      <dgm:prSet presAssocID="{0CC3DA67-50C2-4705-9E30-7D04EC04C4D6}" presName="hierRoot2" presStyleCnt="0"/>
      <dgm:spPr/>
    </dgm:pt>
    <dgm:pt modelId="{CAAC4A0E-27AF-4EF3-9538-CAB398BE7912}" type="pres">
      <dgm:prSet presAssocID="{0CC3DA67-50C2-4705-9E30-7D04EC04C4D6}" presName="composite2" presStyleCnt="0"/>
      <dgm:spPr/>
    </dgm:pt>
    <dgm:pt modelId="{95A42560-94C2-49BF-AF1C-FC794A69EC15}" type="pres">
      <dgm:prSet presAssocID="{0CC3DA67-50C2-4705-9E30-7D04EC04C4D6}" presName="background2" presStyleLbl="node2" presStyleIdx="1" presStyleCnt="4"/>
      <dgm:spPr/>
    </dgm:pt>
    <dgm:pt modelId="{B6E19100-C668-4BD9-A3CD-975BA100B88F}" type="pres">
      <dgm:prSet presAssocID="{0CC3DA67-50C2-4705-9E30-7D04EC04C4D6}" presName="text2" presStyleLbl="fgAcc2" presStyleIdx="1" presStyleCnt="4" custScaleX="120713" custScaleY="122180">
        <dgm:presLayoutVars>
          <dgm:chPref val="3"/>
        </dgm:presLayoutVars>
      </dgm:prSet>
      <dgm:spPr/>
      <dgm:t>
        <a:bodyPr/>
        <a:lstStyle/>
        <a:p>
          <a:endParaRPr lang="pl-PL"/>
        </a:p>
      </dgm:t>
    </dgm:pt>
    <dgm:pt modelId="{9DB870C9-FAF9-4F88-AD09-8235C816BA16}" type="pres">
      <dgm:prSet presAssocID="{0CC3DA67-50C2-4705-9E30-7D04EC04C4D6}" presName="hierChild3" presStyleCnt="0"/>
      <dgm:spPr/>
    </dgm:pt>
    <dgm:pt modelId="{EED2D65C-5BA4-41B7-8263-A0346E3190A5}" type="pres">
      <dgm:prSet presAssocID="{D74B42E5-544B-489E-8C04-643DB105792E}" presName="Name10" presStyleLbl="parChTrans1D2" presStyleIdx="2" presStyleCnt="4"/>
      <dgm:spPr/>
      <dgm:t>
        <a:bodyPr/>
        <a:lstStyle/>
        <a:p>
          <a:endParaRPr lang="pl-PL"/>
        </a:p>
      </dgm:t>
    </dgm:pt>
    <dgm:pt modelId="{9927562B-1E01-4F53-962A-E4BD82D0A282}" type="pres">
      <dgm:prSet presAssocID="{40DDF528-1F45-48D5-B9D1-F8BD2237B669}" presName="hierRoot2" presStyleCnt="0"/>
      <dgm:spPr/>
    </dgm:pt>
    <dgm:pt modelId="{42C9C556-478B-46A9-A4F6-79AE9B46074D}" type="pres">
      <dgm:prSet presAssocID="{40DDF528-1F45-48D5-B9D1-F8BD2237B669}" presName="composite2" presStyleCnt="0"/>
      <dgm:spPr/>
    </dgm:pt>
    <dgm:pt modelId="{C5A16536-3AC6-4E75-B31C-0D347DCC77FE}" type="pres">
      <dgm:prSet presAssocID="{40DDF528-1F45-48D5-B9D1-F8BD2237B669}" presName="background2" presStyleLbl="node2" presStyleIdx="2" presStyleCnt="4"/>
      <dgm:spPr/>
    </dgm:pt>
    <dgm:pt modelId="{E1720316-F9D4-4D14-BB70-2EA78EB62115}" type="pres">
      <dgm:prSet presAssocID="{40DDF528-1F45-48D5-B9D1-F8BD2237B669}" presName="text2" presStyleLbl="fgAcc2" presStyleIdx="2" presStyleCnt="4" custScaleX="116206" custScaleY="119656">
        <dgm:presLayoutVars>
          <dgm:chPref val="3"/>
        </dgm:presLayoutVars>
      </dgm:prSet>
      <dgm:spPr/>
      <dgm:t>
        <a:bodyPr/>
        <a:lstStyle/>
        <a:p>
          <a:endParaRPr lang="pl-PL"/>
        </a:p>
      </dgm:t>
    </dgm:pt>
    <dgm:pt modelId="{ACC07641-67FA-47DF-9496-C500D952FB60}" type="pres">
      <dgm:prSet presAssocID="{40DDF528-1F45-48D5-B9D1-F8BD2237B669}" presName="hierChild3" presStyleCnt="0"/>
      <dgm:spPr/>
    </dgm:pt>
    <dgm:pt modelId="{680CD916-12A7-479E-BEB4-53D4C704D89E}" type="pres">
      <dgm:prSet presAssocID="{FC8648F2-33D1-496F-8E9B-30A86843E7C3}" presName="Name10" presStyleLbl="parChTrans1D2" presStyleIdx="3" presStyleCnt="4"/>
      <dgm:spPr/>
      <dgm:t>
        <a:bodyPr/>
        <a:lstStyle/>
        <a:p>
          <a:endParaRPr lang="pl-PL"/>
        </a:p>
      </dgm:t>
    </dgm:pt>
    <dgm:pt modelId="{0AB7ADC7-A03D-4E71-9DEA-BC84B62311CD}" type="pres">
      <dgm:prSet presAssocID="{FDC0B519-CC8B-409C-90A7-36A7CB06451B}" presName="hierRoot2" presStyleCnt="0"/>
      <dgm:spPr/>
    </dgm:pt>
    <dgm:pt modelId="{45F99E89-D4A4-4FCA-9FCD-0D1E5AB1DFE8}" type="pres">
      <dgm:prSet presAssocID="{FDC0B519-CC8B-409C-90A7-36A7CB06451B}" presName="composite2" presStyleCnt="0"/>
      <dgm:spPr/>
    </dgm:pt>
    <dgm:pt modelId="{289ED444-2079-46DF-A3E6-ECF06A110263}" type="pres">
      <dgm:prSet presAssocID="{FDC0B519-CC8B-409C-90A7-36A7CB06451B}" presName="background2" presStyleLbl="node2" presStyleIdx="3" presStyleCnt="4"/>
      <dgm:spPr/>
    </dgm:pt>
    <dgm:pt modelId="{F3596107-DC59-4F16-82A4-265B86B44BDE}" type="pres">
      <dgm:prSet presAssocID="{FDC0B519-CC8B-409C-90A7-36A7CB06451B}" presName="text2" presStyleLbl="fgAcc2" presStyleIdx="3" presStyleCnt="4" custScaleY="116738">
        <dgm:presLayoutVars>
          <dgm:chPref val="3"/>
        </dgm:presLayoutVars>
      </dgm:prSet>
      <dgm:spPr/>
      <dgm:t>
        <a:bodyPr/>
        <a:lstStyle/>
        <a:p>
          <a:endParaRPr lang="pl-PL"/>
        </a:p>
      </dgm:t>
    </dgm:pt>
    <dgm:pt modelId="{FAAFF926-2570-42F3-8F95-CEAD2402872B}" type="pres">
      <dgm:prSet presAssocID="{FDC0B519-CC8B-409C-90A7-36A7CB06451B}" presName="hierChild3" presStyleCnt="0"/>
      <dgm:spPr/>
    </dgm:pt>
  </dgm:ptLst>
  <dgm:cxnLst>
    <dgm:cxn modelId="{94D3FBF1-30F0-4B63-85A4-0E046F215AE2}" type="presOf" srcId="{FDC0B519-CC8B-409C-90A7-36A7CB06451B}" destId="{F3596107-DC59-4F16-82A4-265B86B44BDE}" srcOrd="0" destOrd="0" presId="urn:microsoft.com/office/officeart/2005/8/layout/hierarchy1"/>
    <dgm:cxn modelId="{D4EEAE13-736A-4A76-AB5E-C6964138A813}" type="presOf" srcId="{C675866D-C001-4801-9797-7266D4481C20}" destId="{A279A664-0485-467D-ACA4-6F38EC03A809}" srcOrd="0" destOrd="0" presId="urn:microsoft.com/office/officeart/2005/8/layout/hierarchy1"/>
    <dgm:cxn modelId="{9F267849-9481-4C8F-9EE3-C017027F71E6}" type="presOf" srcId="{B8C072D8-1D65-4780-A9EC-9C14BE65B959}" destId="{E9283C57-586A-4B4F-A41B-88E8E5F53462}" srcOrd="0" destOrd="0" presId="urn:microsoft.com/office/officeart/2005/8/layout/hierarchy1"/>
    <dgm:cxn modelId="{02CFEBB4-3948-4518-A265-8638F5D9AAC7}" type="presOf" srcId="{0CC3DA67-50C2-4705-9E30-7D04EC04C4D6}" destId="{B6E19100-C668-4BD9-A3CD-975BA100B88F}" srcOrd="0" destOrd="0" presId="urn:microsoft.com/office/officeart/2005/8/layout/hierarchy1"/>
    <dgm:cxn modelId="{5EA13693-A753-43B9-BD93-AF8EAF58DDEF}" type="presOf" srcId="{3665A5D7-27E4-4F6E-972F-B613129F95DE}" destId="{D483BC76-92C1-4E06-8D25-0651B7356205}" srcOrd="0" destOrd="0" presId="urn:microsoft.com/office/officeart/2005/8/layout/hierarchy1"/>
    <dgm:cxn modelId="{9263D869-9B6B-4E83-94C8-75D4AA698BA8}" type="presOf" srcId="{D74B42E5-544B-489E-8C04-643DB105792E}" destId="{EED2D65C-5BA4-41B7-8263-A0346E3190A5}" srcOrd="0" destOrd="0" presId="urn:microsoft.com/office/officeart/2005/8/layout/hierarchy1"/>
    <dgm:cxn modelId="{F4032CC9-E0A1-4629-BA32-28287BF063F3}" type="presOf" srcId="{970F7203-96B6-4570-82A2-2EE7673D82E9}" destId="{49E9D205-5D8A-46A6-A798-DD97FD7E3290}" srcOrd="0" destOrd="0" presId="urn:microsoft.com/office/officeart/2005/8/layout/hierarchy1"/>
    <dgm:cxn modelId="{B85D0716-60DA-45E2-AC16-91A3D5A76289}" srcId="{C675866D-C001-4801-9797-7266D4481C20}" destId="{970F7203-96B6-4570-82A2-2EE7673D82E9}" srcOrd="0" destOrd="0" parTransId="{DF0014E8-3AAB-4878-9BB5-7D41CAD92190}" sibTransId="{27EE33B6-6AF5-4539-9A77-21D99AFED6FB}"/>
    <dgm:cxn modelId="{4DCCF364-11E3-40ED-ACDA-98906DD605ED}" srcId="{C675866D-C001-4801-9797-7266D4481C20}" destId="{FDC0B519-CC8B-409C-90A7-36A7CB06451B}" srcOrd="3" destOrd="0" parTransId="{FC8648F2-33D1-496F-8E9B-30A86843E7C3}" sibTransId="{F53F1BC0-A913-433D-8450-2451E7B5A9C5}"/>
    <dgm:cxn modelId="{746B97E7-67D9-4D7B-B396-9AFC48ACA179}" srcId="{C675866D-C001-4801-9797-7266D4481C20}" destId="{0CC3DA67-50C2-4705-9E30-7D04EC04C4D6}" srcOrd="1" destOrd="0" parTransId="{B8C072D8-1D65-4780-A9EC-9C14BE65B959}" sibTransId="{CC85EB71-B7C2-451A-8320-9B23DF741CD5}"/>
    <dgm:cxn modelId="{79C1301B-C449-49F2-A2BB-BE45E43F9D36}" type="presOf" srcId="{FC8648F2-33D1-496F-8E9B-30A86843E7C3}" destId="{680CD916-12A7-479E-BEB4-53D4C704D89E}" srcOrd="0" destOrd="0" presId="urn:microsoft.com/office/officeart/2005/8/layout/hierarchy1"/>
    <dgm:cxn modelId="{3E533D97-DE8B-44F5-91E9-04668C6B60F7}" srcId="{3665A5D7-27E4-4F6E-972F-B613129F95DE}" destId="{C675866D-C001-4801-9797-7266D4481C20}" srcOrd="0" destOrd="0" parTransId="{2811B370-C586-4969-9C52-31AEFBCDB9D8}" sibTransId="{F3B63370-A898-44C9-9611-0D809959E70C}"/>
    <dgm:cxn modelId="{A850BD95-7AE2-43AE-B503-4335CC331011}" type="presOf" srcId="{DF0014E8-3AAB-4878-9BB5-7D41CAD92190}" destId="{2FE744FF-7BF8-4594-8EEE-101F666CC27E}" srcOrd="0" destOrd="0" presId="urn:microsoft.com/office/officeart/2005/8/layout/hierarchy1"/>
    <dgm:cxn modelId="{0765F1AE-A4A6-44CB-A4A2-E663A36BB37A}" srcId="{C675866D-C001-4801-9797-7266D4481C20}" destId="{40DDF528-1F45-48D5-B9D1-F8BD2237B669}" srcOrd="2" destOrd="0" parTransId="{D74B42E5-544B-489E-8C04-643DB105792E}" sibTransId="{5D0D28A4-5A0A-47E9-BEAF-FC3A5960C302}"/>
    <dgm:cxn modelId="{78DDC34E-CE8C-4CE0-86AA-1A50FDC31708}" type="presOf" srcId="{40DDF528-1F45-48D5-B9D1-F8BD2237B669}" destId="{E1720316-F9D4-4D14-BB70-2EA78EB62115}" srcOrd="0" destOrd="0" presId="urn:microsoft.com/office/officeart/2005/8/layout/hierarchy1"/>
    <dgm:cxn modelId="{DA95BDC9-3D11-4799-A649-31E418D40ACD}" type="presParOf" srcId="{D483BC76-92C1-4E06-8D25-0651B7356205}" destId="{4000021D-0637-445E-8D79-4826D3A6689A}" srcOrd="0" destOrd="0" presId="urn:microsoft.com/office/officeart/2005/8/layout/hierarchy1"/>
    <dgm:cxn modelId="{F7ED0152-A7F7-4D8F-AAEF-9165A897FB2F}" type="presParOf" srcId="{4000021D-0637-445E-8D79-4826D3A6689A}" destId="{B9FA2158-ED43-43BB-9545-60F863294706}" srcOrd="0" destOrd="0" presId="urn:microsoft.com/office/officeart/2005/8/layout/hierarchy1"/>
    <dgm:cxn modelId="{FC42550B-7B29-4BCC-99A9-617E8054A309}" type="presParOf" srcId="{B9FA2158-ED43-43BB-9545-60F863294706}" destId="{67F50A69-018D-46C3-AE9C-AC68943FAF3A}" srcOrd="0" destOrd="0" presId="urn:microsoft.com/office/officeart/2005/8/layout/hierarchy1"/>
    <dgm:cxn modelId="{052940F0-7B7E-440A-A270-C1E7230B8875}" type="presParOf" srcId="{B9FA2158-ED43-43BB-9545-60F863294706}" destId="{A279A664-0485-467D-ACA4-6F38EC03A809}" srcOrd="1" destOrd="0" presId="urn:microsoft.com/office/officeart/2005/8/layout/hierarchy1"/>
    <dgm:cxn modelId="{ED313FAA-5214-4956-8A65-0D3F09D5A94E}" type="presParOf" srcId="{4000021D-0637-445E-8D79-4826D3A6689A}" destId="{D5EF776B-4FCC-4A6F-B68C-685F3F10A76D}" srcOrd="1" destOrd="0" presId="urn:microsoft.com/office/officeart/2005/8/layout/hierarchy1"/>
    <dgm:cxn modelId="{B13719BB-5843-4BE9-8AF4-C2FBEDF519D9}" type="presParOf" srcId="{D5EF776B-4FCC-4A6F-B68C-685F3F10A76D}" destId="{2FE744FF-7BF8-4594-8EEE-101F666CC27E}" srcOrd="0" destOrd="0" presId="urn:microsoft.com/office/officeart/2005/8/layout/hierarchy1"/>
    <dgm:cxn modelId="{918E4A0F-579A-4FCD-97B4-AC93ABF45E5B}" type="presParOf" srcId="{D5EF776B-4FCC-4A6F-B68C-685F3F10A76D}" destId="{2CC79F90-CC19-46D1-BF7C-C65D361265C6}" srcOrd="1" destOrd="0" presId="urn:microsoft.com/office/officeart/2005/8/layout/hierarchy1"/>
    <dgm:cxn modelId="{49A09AB9-E027-4F50-873B-38FEEEBC8FAD}" type="presParOf" srcId="{2CC79F90-CC19-46D1-BF7C-C65D361265C6}" destId="{02C06B3A-587A-427E-BE0B-9679D2923509}" srcOrd="0" destOrd="0" presId="urn:microsoft.com/office/officeart/2005/8/layout/hierarchy1"/>
    <dgm:cxn modelId="{64961DA8-824F-40AE-A451-4D36EF0282EF}" type="presParOf" srcId="{02C06B3A-587A-427E-BE0B-9679D2923509}" destId="{308675C2-C4AA-463D-BCF5-6361AD763858}" srcOrd="0" destOrd="0" presId="urn:microsoft.com/office/officeart/2005/8/layout/hierarchy1"/>
    <dgm:cxn modelId="{FF6CC044-F101-48FF-A194-4E0488D5A8A8}" type="presParOf" srcId="{02C06B3A-587A-427E-BE0B-9679D2923509}" destId="{49E9D205-5D8A-46A6-A798-DD97FD7E3290}" srcOrd="1" destOrd="0" presId="urn:microsoft.com/office/officeart/2005/8/layout/hierarchy1"/>
    <dgm:cxn modelId="{053D3533-3D28-4845-9571-BDC1EE733C70}" type="presParOf" srcId="{2CC79F90-CC19-46D1-BF7C-C65D361265C6}" destId="{5E2310B3-BE84-4C7B-9954-8D751E3E865B}" srcOrd="1" destOrd="0" presId="urn:microsoft.com/office/officeart/2005/8/layout/hierarchy1"/>
    <dgm:cxn modelId="{549365D3-DAB1-49F3-BDB6-EF6FE725F90E}" type="presParOf" srcId="{D5EF776B-4FCC-4A6F-B68C-685F3F10A76D}" destId="{E9283C57-586A-4B4F-A41B-88E8E5F53462}" srcOrd="2" destOrd="0" presId="urn:microsoft.com/office/officeart/2005/8/layout/hierarchy1"/>
    <dgm:cxn modelId="{9745E3EE-A8B7-471C-B790-4B1A4BCC6884}" type="presParOf" srcId="{D5EF776B-4FCC-4A6F-B68C-685F3F10A76D}" destId="{B369D53F-B377-48DC-A63B-00B8A9264180}" srcOrd="3" destOrd="0" presId="urn:microsoft.com/office/officeart/2005/8/layout/hierarchy1"/>
    <dgm:cxn modelId="{445FEF7F-76CD-46F2-B322-C4287A9478D8}" type="presParOf" srcId="{B369D53F-B377-48DC-A63B-00B8A9264180}" destId="{CAAC4A0E-27AF-4EF3-9538-CAB398BE7912}" srcOrd="0" destOrd="0" presId="urn:microsoft.com/office/officeart/2005/8/layout/hierarchy1"/>
    <dgm:cxn modelId="{B0443B80-6DF1-4347-99C0-3FD0FEB52031}" type="presParOf" srcId="{CAAC4A0E-27AF-4EF3-9538-CAB398BE7912}" destId="{95A42560-94C2-49BF-AF1C-FC794A69EC15}" srcOrd="0" destOrd="0" presId="urn:microsoft.com/office/officeart/2005/8/layout/hierarchy1"/>
    <dgm:cxn modelId="{2DCF51E6-00A4-4D36-81C5-4E53F970194E}" type="presParOf" srcId="{CAAC4A0E-27AF-4EF3-9538-CAB398BE7912}" destId="{B6E19100-C668-4BD9-A3CD-975BA100B88F}" srcOrd="1" destOrd="0" presId="urn:microsoft.com/office/officeart/2005/8/layout/hierarchy1"/>
    <dgm:cxn modelId="{E1AEE86D-1653-4B3D-BB55-D20C310B281E}" type="presParOf" srcId="{B369D53F-B377-48DC-A63B-00B8A9264180}" destId="{9DB870C9-FAF9-4F88-AD09-8235C816BA16}" srcOrd="1" destOrd="0" presId="urn:microsoft.com/office/officeart/2005/8/layout/hierarchy1"/>
    <dgm:cxn modelId="{6F1F281F-F372-4011-A0F2-387DA247F24A}" type="presParOf" srcId="{D5EF776B-4FCC-4A6F-B68C-685F3F10A76D}" destId="{EED2D65C-5BA4-41B7-8263-A0346E3190A5}" srcOrd="4" destOrd="0" presId="urn:microsoft.com/office/officeart/2005/8/layout/hierarchy1"/>
    <dgm:cxn modelId="{7716B507-52F6-419A-8D6A-A47B38776938}" type="presParOf" srcId="{D5EF776B-4FCC-4A6F-B68C-685F3F10A76D}" destId="{9927562B-1E01-4F53-962A-E4BD82D0A282}" srcOrd="5" destOrd="0" presId="urn:microsoft.com/office/officeart/2005/8/layout/hierarchy1"/>
    <dgm:cxn modelId="{21F01907-D357-4E57-86A1-DA9898CF728C}" type="presParOf" srcId="{9927562B-1E01-4F53-962A-E4BD82D0A282}" destId="{42C9C556-478B-46A9-A4F6-79AE9B46074D}" srcOrd="0" destOrd="0" presId="urn:microsoft.com/office/officeart/2005/8/layout/hierarchy1"/>
    <dgm:cxn modelId="{C9B21313-C943-41AE-B42C-72CFB5FB1068}" type="presParOf" srcId="{42C9C556-478B-46A9-A4F6-79AE9B46074D}" destId="{C5A16536-3AC6-4E75-B31C-0D347DCC77FE}" srcOrd="0" destOrd="0" presId="urn:microsoft.com/office/officeart/2005/8/layout/hierarchy1"/>
    <dgm:cxn modelId="{DB2C3C93-5B42-4AE6-B43D-B9C6D5C8759B}" type="presParOf" srcId="{42C9C556-478B-46A9-A4F6-79AE9B46074D}" destId="{E1720316-F9D4-4D14-BB70-2EA78EB62115}" srcOrd="1" destOrd="0" presId="urn:microsoft.com/office/officeart/2005/8/layout/hierarchy1"/>
    <dgm:cxn modelId="{49504775-E241-46C7-8C91-5A59292B4EFF}" type="presParOf" srcId="{9927562B-1E01-4F53-962A-E4BD82D0A282}" destId="{ACC07641-67FA-47DF-9496-C500D952FB60}" srcOrd="1" destOrd="0" presId="urn:microsoft.com/office/officeart/2005/8/layout/hierarchy1"/>
    <dgm:cxn modelId="{5572D1A4-9B47-4F57-9331-50506D553371}" type="presParOf" srcId="{D5EF776B-4FCC-4A6F-B68C-685F3F10A76D}" destId="{680CD916-12A7-479E-BEB4-53D4C704D89E}" srcOrd="6" destOrd="0" presId="urn:microsoft.com/office/officeart/2005/8/layout/hierarchy1"/>
    <dgm:cxn modelId="{726B0843-F7B7-417C-B410-093243CBC9A7}" type="presParOf" srcId="{D5EF776B-4FCC-4A6F-B68C-685F3F10A76D}" destId="{0AB7ADC7-A03D-4E71-9DEA-BC84B62311CD}" srcOrd="7" destOrd="0" presId="urn:microsoft.com/office/officeart/2005/8/layout/hierarchy1"/>
    <dgm:cxn modelId="{02EBA886-6CA9-4FCC-851B-A4377E869D79}" type="presParOf" srcId="{0AB7ADC7-A03D-4E71-9DEA-BC84B62311CD}" destId="{45F99E89-D4A4-4FCA-9FCD-0D1E5AB1DFE8}" srcOrd="0" destOrd="0" presId="urn:microsoft.com/office/officeart/2005/8/layout/hierarchy1"/>
    <dgm:cxn modelId="{72E82A50-69D9-4DBA-8985-FD466D2E39B8}" type="presParOf" srcId="{45F99E89-D4A4-4FCA-9FCD-0D1E5AB1DFE8}" destId="{289ED444-2079-46DF-A3E6-ECF06A110263}" srcOrd="0" destOrd="0" presId="urn:microsoft.com/office/officeart/2005/8/layout/hierarchy1"/>
    <dgm:cxn modelId="{EBC54773-B8A7-4A89-BEC5-36038DDC7D65}" type="presParOf" srcId="{45F99E89-D4A4-4FCA-9FCD-0D1E5AB1DFE8}" destId="{F3596107-DC59-4F16-82A4-265B86B44BDE}" srcOrd="1" destOrd="0" presId="urn:microsoft.com/office/officeart/2005/8/layout/hierarchy1"/>
    <dgm:cxn modelId="{FD6FFCBD-C7FF-486C-91C6-5561E5B0185B}" type="presParOf" srcId="{0AB7ADC7-A03D-4E71-9DEA-BC84B62311CD}" destId="{FAAFF926-2570-42F3-8F95-CEAD2402872B}"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CA12A6-2450-489D-8869-19EC4F0AC11F}"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pl-PL"/>
        </a:p>
      </dgm:t>
    </dgm:pt>
    <dgm:pt modelId="{7BA1ED92-6A20-4581-8CFF-AF6BBF5249C4}">
      <dgm:prSet phldrT="[Tekst]" custT="1"/>
      <dgm:spPr>
        <a:solidFill>
          <a:srgbClr val="92D050"/>
        </a:solidFill>
      </dgm:spPr>
      <dgm:t>
        <a:bodyPr/>
        <a:lstStyle/>
        <a:p>
          <a:pPr algn="ctr"/>
          <a:r>
            <a:rPr lang="pl-PL" sz="1000" b="1">
              <a:solidFill>
                <a:sysClr val="windowText" lastClr="000000"/>
              </a:solidFill>
              <a:latin typeface="Times New Roman" pitchFamily="18" charset="0"/>
              <a:cs typeface="Times New Roman" pitchFamily="18" charset="0"/>
            </a:rPr>
            <a:t>Priorytet KPR:</a:t>
          </a:r>
        </a:p>
        <a:p>
          <a:pPr algn="ctr"/>
          <a:r>
            <a:rPr lang="pl-PL" sz="1000" b="1">
              <a:solidFill>
                <a:sysClr val="windowText" lastClr="000000"/>
              </a:solidFill>
              <a:latin typeface="Times New Roman" pitchFamily="18" charset="0"/>
              <a:cs typeface="Times New Roman" pitchFamily="18" charset="0"/>
            </a:rPr>
            <a:t>Innowacyjność dla wzrostu inteligentnego</a:t>
          </a:r>
        </a:p>
      </dgm:t>
    </dgm:pt>
    <dgm:pt modelId="{5139A9D8-4038-4BC0-8B1B-DAA645918E20}" type="parTrans" cxnId="{A60D6991-6697-4526-8FCA-CA0AD0EE6673}">
      <dgm:prSet/>
      <dgm:spPr/>
      <dgm:t>
        <a:bodyPr/>
        <a:lstStyle/>
        <a:p>
          <a:pPr algn="ctr"/>
          <a:endParaRPr lang="pl-PL"/>
        </a:p>
      </dgm:t>
    </dgm:pt>
    <dgm:pt modelId="{DBEF27AB-FE73-45B2-B081-027B9A01AA21}" type="sibTrans" cxnId="{A60D6991-6697-4526-8FCA-CA0AD0EE6673}">
      <dgm:prSet/>
      <dgm:spPr/>
      <dgm:t>
        <a:bodyPr/>
        <a:lstStyle/>
        <a:p>
          <a:pPr algn="ctr"/>
          <a:endParaRPr lang="pl-PL"/>
        </a:p>
      </dgm:t>
    </dgm:pt>
    <dgm:pt modelId="{82BA8EAC-71EE-49ED-A0CD-E689496094CE}">
      <dgm:prSet phldrT="[Tekst]" custT="1"/>
      <dgm:spPr>
        <a:ln w="34925">
          <a:solidFill>
            <a:schemeClr val="accent2">
              <a:lumMod val="60000"/>
              <a:lumOff val="40000"/>
            </a:schemeClr>
          </a:solidFill>
        </a:ln>
      </dgm:spPr>
      <dgm:t>
        <a:bodyPr/>
        <a:lstStyle/>
        <a:p>
          <a:pPr algn="ctr"/>
          <a:r>
            <a:rPr lang="pl-PL" sz="1100" b="1" i="0">
              <a:latin typeface="Times New Roman" pitchFamily="18" charset="0"/>
              <a:cs typeface="Times New Roman" pitchFamily="18" charset="0"/>
            </a:rPr>
            <a:t>Oś priorytetowa I </a:t>
          </a:r>
          <a:r>
            <a:rPr lang="pl-PL" sz="1100" b="0" i="1">
              <a:latin typeface="Times New Roman" pitchFamily="18" charset="0"/>
              <a:cs typeface="Times New Roman" pitchFamily="18" charset="0"/>
            </a:rPr>
            <a:t>B+R, innowacje i przedsiebiorczość,</a:t>
          </a:r>
          <a:endParaRPr lang="pl-PL" sz="1100"/>
        </a:p>
      </dgm:t>
    </dgm:pt>
    <dgm:pt modelId="{881FD06D-4128-42E2-A5D1-7FD52453AE15}" type="parTrans" cxnId="{A10DB26C-1FCE-4C5B-BFB1-C98F4511BAB3}">
      <dgm:prSet/>
      <dgm:spPr/>
      <dgm:t>
        <a:bodyPr/>
        <a:lstStyle/>
        <a:p>
          <a:pPr algn="ctr"/>
          <a:endParaRPr lang="pl-PL"/>
        </a:p>
      </dgm:t>
    </dgm:pt>
    <dgm:pt modelId="{2B9DA4AF-514E-4D77-BC40-1F81FF244C48}" type="sibTrans" cxnId="{A10DB26C-1FCE-4C5B-BFB1-C98F4511BAB3}">
      <dgm:prSet/>
      <dgm:spPr/>
      <dgm:t>
        <a:bodyPr/>
        <a:lstStyle/>
        <a:p>
          <a:pPr algn="ctr"/>
          <a:endParaRPr lang="pl-PL"/>
        </a:p>
      </dgm:t>
    </dgm:pt>
    <dgm:pt modelId="{25EFAAC9-6ECB-483E-8B79-2D1A8799069A}">
      <dgm:prSet phldrT="[Tekst]" custT="1"/>
      <dgm:spPr/>
      <dgm:t>
        <a:bodyPr/>
        <a:lstStyle/>
        <a:p>
          <a:pPr algn="ctr"/>
          <a:r>
            <a:rPr lang="pl-PL" sz="1000" b="1">
              <a:solidFill>
                <a:sysClr val="windowText" lastClr="000000"/>
              </a:solidFill>
              <a:latin typeface="Times New Roman" pitchFamily="18" charset="0"/>
              <a:cs typeface="Times New Roman" pitchFamily="18" charset="0"/>
            </a:rPr>
            <a:t>Priorytet KPR:</a:t>
          </a:r>
        </a:p>
        <a:p>
          <a:pPr algn="ctr"/>
          <a:r>
            <a:rPr lang="pl-PL" sz="1000" b="1">
              <a:solidFill>
                <a:sysClr val="windowText" lastClr="000000"/>
              </a:solidFill>
              <a:latin typeface="Times New Roman" pitchFamily="18" charset="0"/>
              <a:cs typeface="Times New Roman" pitchFamily="18" charset="0"/>
            </a:rPr>
            <a:t>Infrastruktura dla wzrostu zrównoważonego</a:t>
          </a:r>
        </a:p>
      </dgm:t>
    </dgm:pt>
    <dgm:pt modelId="{8F91697C-AF21-4689-A8AE-10F6655D2F86}" type="parTrans" cxnId="{02929D9D-8BB8-4C5D-950E-94DBB538B520}">
      <dgm:prSet/>
      <dgm:spPr/>
      <dgm:t>
        <a:bodyPr/>
        <a:lstStyle/>
        <a:p>
          <a:pPr algn="ctr"/>
          <a:endParaRPr lang="pl-PL"/>
        </a:p>
      </dgm:t>
    </dgm:pt>
    <dgm:pt modelId="{7F8E6E2C-EB81-4D57-97C6-5269EC4C61C8}" type="sibTrans" cxnId="{02929D9D-8BB8-4C5D-950E-94DBB538B520}">
      <dgm:prSet/>
      <dgm:spPr/>
      <dgm:t>
        <a:bodyPr/>
        <a:lstStyle/>
        <a:p>
          <a:pPr algn="ctr"/>
          <a:endParaRPr lang="pl-PL"/>
        </a:p>
      </dgm:t>
    </dgm:pt>
    <dgm:pt modelId="{899CC0A6-DB43-4D63-AC67-0583A116EF0A}">
      <dgm:prSet phldrT="[Tekst]" custT="1"/>
      <dgm:spPr>
        <a:ln w="28575">
          <a:solidFill>
            <a:schemeClr val="accent2">
              <a:lumMod val="60000"/>
              <a:lumOff val="40000"/>
            </a:schemeClr>
          </a:solidFill>
        </a:ln>
      </dgm:spPr>
      <dgm:t>
        <a:bodyPr/>
        <a:lstStyle/>
        <a:p>
          <a:pPr algn="ctr"/>
          <a:r>
            <a:rPr lang="pl-PL" sz="1100" b="1" i="0">
              <a:latin typeface="Times New Roman" pitchFamily="18" charset="0"/>
              <a:cs typeface="Times New Roman" pitchFamily="18" charset="0"/>
            </a:rPr>
            <a:t>Oś priorytetowa I </a:t>
          </a:r>
          <a:r>
            <a:rPr lang="pl-PL" sz="1100" b="0" i="1">
              <a:latin typeface="Times New Roman" pitchFamily="18" charset="0"/>
              <a:cs typeface="Times New Roman" pitchFamily="18" charset="0"/>
            </a:rPr>
            <a:t>B+R, innowacje i przedsiebiorczość,</a:t>
          </a:r>
        </a:p>
      </dgm:t>
    </dgm:pt>
    <dgm:pt modelId="{81435EF9-8CEB-48B9-87C8-403D8139F90D}" type="parTrans" cxnId="{BAB2D9A6-D351-4FFB-9D34-2B77C3CD061D}">
      <dgm:prSet/>
      <dgm:spPr/>
      <dgm:t>
        <a:bodyPr/>
        <a:lstStyle/>
        <a:p>
          <a:pPr algn="ctr"/>
          <a:endParaRPr lang="pl-PL"/>
        </a:p>
      </dgm:t>
    </dgm:pt>
    <dgm:pt modelId="{D3DE0AA8-58E3-4378-A55D-F404E12E8DFA}" type="sibTrans" cxnId="{BAB2D9A6-D351-4FFB-9D34-2B77C3CD061D}">
      <dgm:prSet/>
      <dgm:spPr/>
      <dgm:t>
        <a:bodyPr/>
        <a:lstStyle/>
        <a:p>
          <a:pPr algn="ctr"/>
          <a:endParaRPr lang="pl-PL"/>
        </a:p>
      </dgm:t>
    </dgm:pt>
    <dgm:pt modelId="{6680FAD1-08F0-422A-9A7A-90667C8B9286}">
      <dgm:prSet phldrT="[Tekst]" custT="1"/>
      <dgm:spPr>
        <a:ln w="28575">
          <a:solidFill>
            <a:schemeClr val="accent2">
              <a:lumMod val="60000"/>
              <a:lumOff val="40000"/>
            </a:schemeClr>
          </a:solidFill>
        </a:ln>
      </dgm:spPr>
      <dgm:t>
        <a:bodyPr/>
        <a:lstStyle/>
        <a:p>
          <a:pPr algn="ctr"/>
          <a:r>
            <a:rPr lang="pl-PL" sz="1100" b="1" i="0">
              <a:latin typeface="Times New Roman" pitchFamily="18" charset="0"/>
              <a:cs typeface="Times New Roman" pitchFamily="18" charset="0"/>
            </a:rPr>
            <a:t>Oś priorytetowa II </a:t>
          </a:r>
          <a:r>
            <a:rPr lang="pl-PL" sz="1100" b="0" i="1">
              <a:latin typeface="Times New Roman" pitchFamily="18" charset="0"/>
              <a:cs typeface="Times New Roman" pitchFamily="18" charset="0"/>
            </a:rPr>
            <a:t>Społeczeństwo informacyjne,</a:t>
          </a:r>
        </a:p>
      </dgm:t>
    </dgm:pt>
    <dgm:pt modelId="{B85DEB70-EDF6-4B01-978B-F186A925EDBE}" type="parTrans" cxnId="{E3884CFF-A611-4315-941C-45B12356A53B}">
      <dgm:prSet/>
      <dgm:spPr/>
      <dgm:t>
        <a:bodyPr/>
        <a:lstStyle/>
        <a:p>
          <a:pPr algn="ctr"/>
          <a:endParaRPr lang="pl-PL"/>
        </a:p>
      </dgm:t>
    </dgm:pt>
    <dgm:pt modelId="{659C3225-D754-4914-966D-FF61BF1ACF2C}" type="sibTrans" cxnId="{E3884CFF-A611-4315-941C-45B12356A53B}">
      <dgm:prSet/>
      <dgm:spPr/>
      <dgm:t>
        <a:bodyPr/>
        <a:lstStyle/>
        <a:p>
          <a:pPr algn="ctr"/>
          <a:endParaRPr lang="pl-PL"/>
        </a:p>
      </dgm:t>
    </dgm:pt>
    <dgm:pt modelId="{10CA244C-968B-4AF5-91D5-9C1E2B645ABB}">
      <dgm:prSet phldrT="[Tekst]" custT="1"/>
      <dgm:spPr>
        <a:ln w="28575">
          <a:solidFill>
            <a:schemeClr val="accent2">
              <a:lumMod val="60000"/>
              <a:lumOff val="40000"/>
            </a:schemeClr>
          </a:solidFill>
        </a:ln>
      </dgm:spPr>
      <dgm:t>
        <a:bodyPr/>
        <a:lstStyle/>
        <a:p>
          <a:pPr algn="ctr"/>
          <a:r>
            <a:rPr lang="pl-PL" sz="1100" b="1">
              <a:latin typeface="Times New Roman" pitchFamily="18" charset="0"/>
              <a:cs typeface="Times New Roman" pitchFamily="18" charset="0"/>
            </a:rPr>
            <a:t>Oś priorytetowa V </a:t>
          </a:r>
          <a:r>
            <a:rPr lang="pl-PL" sz="1100" b="0" i="1">
              <a:latin typeface="Times New Roman" pitchFamily="18" charset="0"/>
              <a:cs typeface="Times New Roman" pitchFamily="18" charset="0"/>
            </a:rPr>
            <a:t>Środowisko,</a:t>
          </a:r>
        </a:p>
      </dgm:t>
    </dgm:pt>
    <dgm:pt modelId="{50A70DFC-46D9-4F9C-B945-46C10FAA9714}" type="parTrans" cxnId="{EBEEAA69-738F-41C2-BFBD-8C5E35777712}">
      <dgm:prSet/>
      <dgm:spPr/>
      <dgm:t>
        <a:bodyPr/>
        <a:lstStyle/>
        <a:p>
          <a:pPr algn="ctr"/>
          <a:endParaRPr lang="pl-PL"/>
        </a:p>
      </dgm:t>
    </dgm:pt>
    <dgm:pt modelId="{62DD06EB-F3AC-4D04-B17C-26CDDFDBF932}" type="sibTrans" cxnId="{EBEEAA69-738F-41C2-BFBD-8C5E35777712}">
      <dgm:prSet/>
      <dgm:spPr/>
      <dgm:t>
        <a:bodyPr/>
        <a:lstStyle/>
        <a:p>
          <a:pPr algn="ctr"/>
          <a:endParaRPr lang="pl-PL"/>
        </a:p>
      </dgm:t>
    </dgm:pt>
    <dgm:pt modelId="{18030B9E-DDB5-48A3-901A-242FBEC09B55}">
      <dgm:prSet custT="1"/>
      <dgm:spPr/>
      <dgm:t>
        <a:bodyPr/>
        <a:lstStyle/>
        <a:p>
          <a:pPr algn="ctr"/>
          <a:r>
            <a:rPr lang="pl-PL" sz="1100" b="1" i="0">
              <a:latin typeface="Times New Roman" pitchFamily="18" charset="0"/>
              <a:cs typeface="Times New Roman" pitchFamily="18" charset="0"/>
            </a:rPr>
            <a:t>Oś priorytetowa VII</a:t>
          </a:r>
          <a:r>
            <a:rPr lang="pl-PL" sz="1100" b="0" i="0">
              <a:latin typeface="Times New Roman" pitchFamily="18" charset="0"/>
              <a:cs typeface="Times New Roman" pitchFamily="18" charset="0"/>
            </a:rPr>
            <a:t> </a:t>
          </a:r>
          <a:r>
            <a:rPr lang="pl-PL" sz="1100" b="0" i="1">
              <a:latin typeface="Times New Roman" pitchFamily="18" charset="0"/>
              <a:cs typeface="Times New Roman" pitchFamily="18" charset="0"/>
            </a:rPr>
            <a:t>Transport,</a:t>
          </a:r>
        </a:p>
      </dgm:t>
    </dgm:pt>
    <dgm:pt modelId="{920248E5-D180-44DF-99BB-2F9774124C70}" type="parTrans" cxnId="{DAB0F904-9C89-4E67-801B-C4087EF0C07B}">
      <dgm:prSet/>
      <dgm:spPr/>
      <dgm:t>
        <a:bodyPr/>
        <a:lstStyle/>
        <a:p>
          <a:pPr algn="ctr"/>
          <a:endParaRPr lang="pl-PL"/>
        </a:p>
      </dgm:t>
    </dgm:pt>
    <dgm:pt modelId="{E8E425DE-DB0A-477A-9CE0-94C770923114}" type="sibTrans" cxnId="{DAB0F904-9C89-4E67-801B-C4087EF0C07B}">
      <dgm:prSet/>
      <dgm:spPr/>
      <dgm:t>
        <a:bodyPr/>
        <a:lstStyle/>
        <a:p>
          <a:pPr algn="ctr"/>
          <a:endParaRPr lang="pl-PL"/>
        </a:p>
      </dgm:t>
    </dgm:pt>
    <dgm:pt modelId="{CE16BFA9-B5D9-4517-94A3-ED9FF51F0C5D}">
      <dgm:prSet phldrT="[Tekst]" custT="1"/>
      <dgm:spPr>
        <a:ln w="34925">
          <a:solidFill>
            <a:schemeClr val="accent2">
              <a:lumMod val="60000"/>
              <a:lumOff val="40000"/>
            </a:schemeClr>
          </a:solidFill>
        </a:ln>
      </dgm:spPr>
      <dgm:t>
        <a:bodyPr/>
        <a:lstStyle/>
        <a:p>
          <a:pPr algn="ctr"/>
          <a:r>
            <a:rPr lang="pl-PL" sz="1100" b="1">
              <a:latin typeface="Times New Roman" pitchFamily="18" charset="0"/>
              <a:cs typeface="Times New Roman" pitchFamily="18" charset="0"/>
            </a:rPr>
            <a:t>Oś priorytetowa VIII </a:t>
          </a:r>
          <a:r>
            <a:rPr lang="pl-PL" sz="1100" i="1">
              <a:latin typeface="Times New Roman" pitchFamily="18" charset="0"/>
              <a:cs typeface="Times New Roman" pitchFamily="18" charset="0"/>
            </a:rPr>
            <a:t>Edukacja</a:t>
          </a:r>
        </a:p>
      </dgm:t>
    </dgm:pt>
    <dgm:pt modelId="{FEE66825-1782-4327-8DCD-F6901585F66D}" type="parTrans" cxnId="{B245DFCD-6AC9-41CC-91BE-34D082602327}">
      <dgm:prSet/>
      <dgm:spPr/>
      <dgm:t>
        <a:bodyPr/>
        <a:lstStyle/>
        <a:p>
          <a:pPr algn="ctr"/>
          <a:endParaRPr lang="pl-PL"/>
        </a:p>
      </dgm:t>
    </dgm:pt>
    <dgm:pt modelId="{F209FD65-5309-4647-8CA0-C3233CE17160}" type="sibTrans" cxnId="{B245DFCD-6AC9-41CC-91BE-34D082602327}">
      <dgm:prSet/>
      <dgm:spPr/>
      <dgm:t>
        <a:bodyPr/>
        <a:lstStyle/>
        <a:p>
          <a:pPr algn="ctr"/>
          <a:endParaRPr lang="pl-PL"/>
        </a:p>
      </dgm:t>
    </dgm:pt>
    <dgm:pt modelId="{740E15B2-836B-47C2-982B-5EDE0D10B2C4}" type="pres">
      <dgm:prSet presAssocID="{27CA12A6-2450-489D-8869-19EC4F0AC11F}" presName="linearFlow" presStyleCnt="0">
        <dgm:presLayoutVars>
          <dgm:dir/>
          <dgm:animLvl val="lvl"/>
          <dgm:resizeHandles val="exact"/>
        </dgm:presLayoutVars>
      </dgm:prSet>
      <dgm:spPr/>
      <dgm:t>
        <a:bodyPr/>
        <a:lstStyle/>
        <a:p>
          <a:endParaRPr lang="pl-PL"/>
        </a:p>
      </dgm:t>
    </dgm:pt>
    <dgm:pt modelId="{7614DDF1-2EA1-48AD-8DAD-849BF81E29C2}" type="pres">
      <dgm:prSet presAssocID="{7BA1ED92-6A20-4581-8CFF-AF6BBF5249C4}" presName="composite" presStyleCnt="0"/>
      <dgm:spPr/>
    </dgm:pt>
    <dgm:pt modelId="{CC54FF9F-1BEA-47B8-8DB2-667C34020993}" type="pres">
      <dgm:prSet presAssocID="{7BA1ED92-6A20-4581-8CFF-AF6BBF5249C4}" presName="parentText" presStyleLbl="alignNode1" presStyleIdx="0" presStyleCnt="2">
        <dgm:presLayoutVars>
          <dgm:chMax val="1"/>
          <dgm:bulletEnabled val="1"/>
        </dgm:presLayoutVars>
      </dgm:prSet>
      <dgm:spPr/>
      <dgm:t>
        <a:bodyPr/>
        <a:lstStyle/>
        <a:p>
          <a:endParaRPr lang="pl-PL"/>
        </a:p>
      </dgm:t>
    </dgm:pt>
    <dgm:pt modelId="{3D7CE693-B73E-4DA2-A009-CEC64B63A548}" type="pres">
      <dgm:prSet presAssocID="{7BA1ED92-6A20-4581-8CFF-AF6BBF5249C4}" presName="descendantText" presStyleLbl="alignAcc1" presStyleIdx="0" presStyleCnt="2" custScaleY="55304">
        <dgm:presLayoutVars>
          <dgm:bulletEnabled val="1"/>
        </dgm:presLayoutVars>
      </dgm:prSet>
      <dgm:spPr/>
      <dgm:t>
        <a:bodyPr/>
        <a:lstStyle/>
        <a:p>
          <a:endParaRPr lang="pl-PL"/>
        </a:p>
      </dgm:t>
    </dgm:pt>
    <dgm:pt modelId="{39327F05-7107-4337-8964-DF511328FED5}" type="pres">
      <dgm:prSet presAssocID="{DBEF27AB-FE73-45B2-B081-027B9A01AA21}" presName="sp" presStyleCnt="0"/>
      <dgm:spPr/>
    </dgm:pt>
    <dgm:pt modelId="{398455D2-0741-4C03-826D-7317E31177DF}" type="pres">
      <dgm:prSet presAssocID="{25EFAAC9-6ECB-483E-8B79-2D1A8799069A}" presName="composite" presStyleCnt="0"/>
      <dgm:spPr/>
    </dgm:pt>
    <dgm:pt modelId="{CE87AD98-EA4A-4100-8079-805D38FE36DA}" type="pres">
      <dgm:prSet presAssocID="{25EFAAC9-6ECB-483E-8B79-2D1A8799069A}" presName="parentText" presStyleLbl="alignNode1" presStyleIdx="1" presStyleCnt="2">
        <dgm:presLayoutVars>
          <dgm:chMax val="1"/>
          <dgm:bulletEnabled val="1"/>
        </dgm:presLayoutVars>
      </dgm:prSet>
      <dgm:spPr/>
      <dgm:t>
        <a:bodyPr/>
        <a:lstStyle/>
        <a:p>
          <a:endParaRPr lang="pl-PL"/>
        </a:p>
      </dgm:t>
    </dgm:pt>
    <dgm:pt modelId="{44BB47CD-3272-4353-A85D-8B8E0CE0057A}" type="pres">
      <dgm:prSet presAssocID="{25EFAAC9-6ECB-483E-8B79-2D1A8799069A}" presName="descendantText" presStyleLbl="alignAcc1" presStyleIdx="1" presStyleCnt="2" custScaleY="108967">
        <dgm:presLayoutVars>
          <dgm:bulletEnabled val="1"/>
        </dgm:presLayoutVars>
      </dgm:prSet>
      <dgm:spPr/>
      <dgm:t>
        <a:bodyPr/>
        <a:lstStyle/>
        <a:p>
          <a:endParaRPr lang="pl-PL"/>
        </a:p>
      </dgm:t>
    </dgm:pt>
  </dgm:ptLst>
  <dgm:cxnLst>
    <dgm:cxn modelId="{21845A58-C664-4ADE-BCE4-0BA92A2FCCD8}" type="presOf" srcId="{25EFAAC9-6ECB-483E-8B79-2D1A8799069A}" destId="{CE87AD98-EA4A-4100-8079-805D38FE36DA}" srcOrd="0" destOrd="0" presId="urn:microsoft.com/office/officeart/2005/8/layout/chevron2"/>
    <dgm:cxn modelId="{A78F3434-EFCD-4479-9932-4B0F87C04D9C}" type="presOf" srcId="{CE16BFA9-B5D9-4517-94A3-ED9FF51F0C5D}" destId="{3D7CE693-B73E-4DA2-A009-CEC64B63A548}" srcOrd="0" destOrd="1" presId="urn:microsoft.com/office/officeart/2005/8/layout/chevron2"/>
    <dgm:cxn modelId="{8564AA40-B784-467C-8944-F90974C183E7}" type="presOf" srcId="{6680FAD1-08F0-422A-9A7A-90667C8B9286}" destId="{44BB47CD-3272-4353-A85D-8B8E0CE0057A}" srcOrd="0" destOrd="1" presId="urn:microsoft.com/office/officeart/2005/8/layout/chevron2"/>
    <dgm:cxn modelId="{DAB0F904-9C89-4E67-801B-C4087EF0C07B}" srcId="{25EFAAC9-6ECB-483E-8B79-2D1A8799069A}" destId="{18030B9E-DDB5-48A3-901A-242FBEC09B55}" srcOrd="3" destOrd="0" parTransId="{920248E5-D180-44DF-99BB-2F9774124C70}" sibTransId="{E8E425DE-DB0A-477A-9CE0-94C770923114}"/>
    <dgm:cxn modelId="{E8B26471-CCFC-4DC4-8D35-BDF84A7C26C6}" type="presOf" srcId="{27CA12A6-2450-489D-8869-19EC4F0AC11F}" destId="{740E15B2-836B-47C2-982B-5EDE0D10B2C4}" srcOrd="0" destOrd="0" presId="urn:microsoft.com/office/officeart/2005/8/layout/chevron2"/>
    <dgm:cxn modelId="{A10DB26C-1FCE-4C5B-BFB1-C98F4511BAB3}" srcId="{7BA1ED92-6A20-4581-8CFF-AF6BBF5249C4}" destId="{82BA8EAC-71EE-49ED-A0CD-E689496094CE}" srcOrd="0" destOrd="0" parTransId="{881FD06D-4128-42E2-A5D1-7FD52453AE15}" sibTransId="{2B9DA4AF-514E-4D77-BC40-1F81FF244C48}"/>
    <dgm:cxn modelId="{02929D9D-8BB8-4C5D-950E-94DBB538B520}" srcId="{27CA12A6-2450-489D-8869-19EC4F0AC11F}" destId="{25EFAAC9-6ECB-483E-8B79-2D1A8799069A}" srcOrd="1" destOrd="0" parTransId="{8F91697C-AF21-4689-A8AE-10F6655D2F86}" sibTransId="{7F8E6E2C-EB81-4D57-97C6-5269EC4C61C8}"/>
    <dgm:cxn modelId="{BB01FEB0-D35B-444F-8CB8-8591A31451F3}" type="presOf" srcId="{18030B9E-DDB5-48A3-901A-242FBEC09B55}" destId="{44BB47CD-3272-4353-A85D-8B8E0CE0057A}" srcOrd="0" destOrd="3" presId="urn:microsoft.com/office/officeart/2005/8/layout/chevron2"/>
    <dgm:cxn modelId="{17D7F868-59E1-4A42-A27D-243DCA70E942}" type="presOf" srcId="{10CA244C-968B-4AF5-91D5-9C1E2B645ABB}" destId="{44BB47CD-3272-4353-A85D-8B8E0CE0057A}" srcOrd="0" destOrd="2" presId="urn:microsoft.com/office/officeart/2005/8/layout/chevron2"/>
    <dgm:cxn modelId="{B245DFCD-6AC9-41CC-91BE-34D082602327}" srcId="{7BA1ED92-6A20-4581-8CFF-AF6BBF5249C4}" destId="{CE16BFA9-B5D9-4517-94A3-ED9FF51F0C5D}" srcOrd="1" destOrd="0" parTransId="{FEE66825-1782-4327-8DCD-F6901585F66D}" sibTransId="{F209FD65-5309-4647-8CA0-C3233CE17160}"/>
    <dgm:cxn modelId="{BAB2D9A6-D351-4FFB-9D34-2B77C3CD061D}" srcId="{25EFAAC9-6ECB-483E-8B79-2D1A8799069A}" destId="{899CC0A6-DB43-4D63-AC67-0583A116EF0A}" srcOrd="0" destOrd="0" parTransId="{81435EF9-8CEB-48B9-87C8-403D8139F90D}" sibTransId="{D3DE0AA8-58E3-4378-A55D-F404E12E8DFA}"/>
    <dgm:cxn modelId="{1E7DF4D9-CBF9-4F6C-BE47-49916A93FA88}" type="presOf" srcId="{899CC0A6-DB43-4D63-AC67-0583A116EF0A}" destId="{44BB47CD-3272-4353-A85D-8B8E0CE0057A}" srcOrd="0" destOrd="0" presId="urn:microsoft.com/office/officeart/2005/8/layout/chevron2"/>
    <dgm:cxn modelId="{E3884CFF-A611-4315-941C-45B12356A53B}" srcId="{25EFAAC9-6ECB-483E-8B79-2D1A8799069A}" destId="{6680FAD1-08F0-422A-9A7A-90667C8B9286}" srcOrd="1" destOrd="0" parTransId="{B85DEB70-EDF6-4B01-978B-F186A925EDBE}" sibTransId="{659C3225-D754-4914-966D-FF61BF1ACF2C}"/>
    <dgm:cxn modelId="{A60D6991-6697-4526-8FCA-CA0AD0EE6673}" srcId="{27CA12A6-2450-489D-8869-19EC4F0AC11F}" destId="{7BA1ED92-6A20-4581-8CFF-AF6BBF5249C4}" srcOrd="0" destOrd="0" parTransId="{5139A9D8-4038-4BC0-8B1B-DAA645918E20}" sibTransId="{DBEF27AB-FE73-45B2-B081-027B9A01AA21}"/>
    <dgm:cxn modelId="{080EA9FE-CD69-4B3F-AC2C-4E10007849C8}" type="presOf" srcId="{7BA1ED92-6A20-4581-8CFF-AF6BBF5249C4}" destId="{CC54FF9F-1BEA-47B8-8DB2-667C34020993}" srcOrd="0" destOrd="0" presId="urn:microsoft.com/office/officeart/2005/8/layout/chevron2"/>
    <dgm:cxn modelId="{1AAF2259-C7AA-4507-BEFA-402D30AE5F23}" type="presOf" srcId="{82BA8EAC-71EE-49ED-A0CD-E689496094CE}" destId="{3D7CE693-B73E-4DA2-A009-CEC64B63A548}" srcOrd="0" destOrd="0" presId="urn:microsoft.com/office/officeart/2005/8/layout/chevron2"/>
    <dgm:cxn modelId="{EBEEAA69-738F-41C2-BFBD-8C5E35777712}" srcId="{25EFAAC9-6ECB-483E-8B79-2D1A8799069A}" destId="{10CA244C-968B-4AF5-91D5-9C1E2B645ABB}" srcOrd="2" destOrd="0" parTransId="{50A70DFC-46D9-4F9C-B945-46C10FAA9714}" sibTransId="{62DD06EB-F3AC-4D04-B17C-26CDDFDBF932}"/>
    <dgm:cxn modelId="{860E5850-B101-46EE-BA27-236CCC5C731C}" type="presParOf" srcId="{740E15B2-836B-47C2-982B-5EDE0D10B2C4}" destId="{7614DDF1-2EA1-48AD-8DAD-849BF81E29C2}" srcOrd="0" destOrd="0" presId="urn:microsoft.com/office/officeart/2005/8/layout/chevron2"/>
    <dgm:cxn modelId="{526A7592-50CE-4CBD-A407-84ACB753309F}" type="presParOf" srcId="{7614DDF1-2EA1-48AD-8DAD-849BF81E29C2}" destId="{CC54FF9F-1BEA-47B8-8DB2-667C34020993}" srcOrd="0" destOrd="0" presId="urn:microsoft.com/office/officeart/2005/8/layout/chevron2"/>
    <dgm:cxn modelId="{2E8A87BD-74C6-4420-8CBC-85F44C50B605}" type="presParOf" srcId="{7614DDF1-2EA1-48AD-8DAD-849BF81E29C2}" destId="{3D7CE693-B73E-4DA2-A009-CEC64B63A548}" srcOrd="1" destOrd="0" presId="urn:microsoft.com/office/officeart/2005/8/layout/chevron2"/>
    <dgm:cxn modelId="{B418C508-362C-4BD3-9761-EA4B05DDAC2C}" type="presParOf" srcId="{740E15B2-836B-47C2-982B-5EDE0D10B2C4}" destId="{39327F05-7107-4337-8964-DF511328FED5}" srcOrd="1" destOrd="0" presId="urn:microsoft.com/office/officeart/2005/8/layout/chevron2"/>
    <dgm:cxn modelId="{C1980294-26B9-4099-B03C-C05261CA899C}" type="presParOf" srcId="{740E15B2-836B-47C2-982B-5EDE0D10B2C4}" destId="{398455D2-0741-4C03-826D-7317E31177DF}" srcOrd="2" destOrd="0" presId="urn:microsoft.com/office/officeart/2005/8/layout/chevron2"/>
    <dgm:cxn modelId="{713C8C46-3E8F-40CD-B5B8-B8870111DC5F}" type="presParOf" srcId="{398455D2-0741-4C03-826D-7317E31177DF}" destId="{CE87AD98-EA4A-4100-8079-805D38FE36DA}" srcOrd="0" destOrd="0" presId="urn:microsoft.com/office/officeart/2005/8/layout/chevron2"/>
    <dgm:cxn modelId="{57303D4D-7595-435B-9F59-94BD1B567318}" type="presParOf" srcId="{398455D2-0741-4C03-826D-7317E31177DF}" destId="{44BB47CD-3272-4353-A85D-8B8E0CE0057A}" srcOrd="1" destOrd="0" presId="urn:microsoft.com/office/officeart/2005/8/layout/chevron2"/>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9B596A5-798B-4F41-AD2F-F848579601B4}"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endParaRPr lang="pl-PL"/>
        </a:p>
      </dgm:t>
    </dgm:pt>
    <dgm:pt modelId="{40236DF7-C2C5-415A-ACC2-CA7C3B469FFE}">
      <dgm:prSet phldrT="[Tekst]" custT="1"/>
      <dgm:spPr/>
      <dgm:t>
        <a:bodyPr/>
        <a:lstStyle/>
        <a:p>
          <a:r>
            <a:rPr lang="pl-PL" sz="1200" b="1">
              <a:latin typeface="Times New Roman" pitchFamily="18" charset="0"/>
              <a:cs typeface="Times New Roman" pitchFamily="18" charset="0"/>
            </a:rPr>
            <a:t>PRIORYTET I</a:t>
          </a:r>
        </a:p>
        <a:p>
          <a:r>
            <a:rPr lang="pl-PL" sz="1100" b="1">
              <a:latin typeface="Times New Roman" pitchFamily="18" charset="0"/>
              <a:cs typeface="Times New Roman" pitchFamily="18" charset="0"/>
            </a:rPr>
            <a:t>1936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345,63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150,63 mln EUR </a:t>
          </a:r>
          <a:r>
            <a:rPr lang="pl-PL" sz="1100" b="0">
              <a:latin typeface="Times New Roman" pitchFamily="18" charset="0"/>
              <a:cs typeface="Times New Roman" pitchFamily="18" charset="0"/>
            </a:rPr>
            <a:t>dofinansowanie </a:t>
          </a:r>
        </a:p>
        <a:p>
          <a:r>
            <a:rPr lang="pl-PL" sz="1100" b="1">
              <a:latin typeface="Times New Roman" pitchFamily="18" charset="0"/>
              <a:cs typeface="Times New Roman" pitchFamily="18" charset="0"/>
            </a:rPr>
            <a:t>79,34 mln EUR </a:t>
          </a:r>
          <a:r>
            <a:rPr lang="pl-PL" sz="1100" b="0">
              <a:latin typeface="Times New Roman" pitchFamily="18" charset="0"/>
              <a:cs typeface="Times New Roman" pitchFamily="18" charset="0"/>
            </a:rPr>
            <a:t>płatności</a:t>
          </a:r>
        </a:p>
      </dgm:t>
    </dgm:pt>
    <dgm:pt modelId="{97E651EE-6F13-4DB7-868E-72F8B0DF72A4}" type="parTrans" cxnId="{9B2F527E-EEBA-488C-ABC5-92CC589087B0}">
      <dgm:prSet/>
      <dgm:spPr/>
      <dgm:t>
        <a:bodyPr/>
        <a:lstStyle/>
        <a:p>
          <a:endParaRPr lang="pl-PL"/>
        </a:p>
      </dgm:t>
    </dgm:pt>
    <dgm:pt modelId="{05497653-ABCB-4DE4-82D1-BC26665E4CBB}" type="sibTrans" cxnId="{9B2F527E-EEBA-488C-ABC5-92CC589087B0}">
      <dgm:prSet/>
      <dgm:spPr/>
      <dgm:t>
        <a:bodyPr/>
        <a:lstStyle/>
        <a:p>
          <a:endParaRPr lang="pl-PL"/>
        </a:p>
      </dgm:t>
    </dgm:pt>
    <dgm:pt modelId="{BA8C7145-96E0-4BDD-A3CD-75A32D4E67B6}">
      <dgm:prSet phldrT="[Tekst]" custT="1"/>
      <dgm:spPr/>
      <dgm:t>
        <a:bodyPr/>
        <a:lstStyle/>
        <a:p>
          <a:r>
            <a:rPr lang="pl-PL" sz="1200" b="1">
              <a:latin typeface="Times New Roman" pitchFamily="18" charset="0"/>
              <a:cs typeface="Times New Roman" pitchFamily="18" charset="0"/>
            </a:rPr>
            <a:t>KONKURSY</a:t>
          </a:r>
        </a:p>
        <a:p>
          <a:r>
            <a:rPr lang="pl-PL" sz="1100" b="1">
              <a:latin typeface="Times New Roman" pitchFamily="18" charset="0"/>
              <a:cs typeface="Times New Roman" pitchFamily="18" charset="0"/>
            </a:rPr>
            <a:t>1928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306,21 mln EUR </a:t>
          </a:r>
          <a:r>
            <a:rPr lang="pl-PL" sz="1100" b="0">
              <a:latin typeface="Times New Roman" pitchFamily="18" charset="0"/>
              <a:cs typeface="Times New Roman" pitchFamily="18" charset="0"/>
            </a:rPr>
            <a:t>wartość</a:t>
          </a:r>
        </a:p>
        <a:p>
          <a:r>
            <a:rPr lang="pl-PL" sz="1100" b="0">
              <a:latin typeface="Times New Roman" pitchFamily="18" charset="0"/>
              <a:cs typeface="Times New Roman" pitchFamily="18" charset="0"/>
            </a:rPr>
            <a:t> </a:t>
          </a:r>
          <a:r>
            <a:rPr lang="pl-PL" sz="1100" b="1">
              <a:latin typeface="Times New Roman" pitchFamily="18" charset="0"/>
              <a:cs typeface="Times New Roman" pitchFamily="18" charset="0"/>
            </a:rPr>
            <a:t>121,20 mln EUR (47%) </a:t>
          </a:r>
          <a:r>
            <a:rPr lang="pl-PL" sz="1100" b="0">
              <a:latin typeface="Times New Roman" pitchFamily="18" charset="0"/>
              <a:cs typeface="Times New Roman" pitchFamily="18" charset="0"/>
            </a:rPr>
            <a:t>dofinansowanie </a:t>
          </a:r>
        </a:p>
        <a:p>
          <a:r>
            <a:rPr lang="pl-PL" sz="1100" b="1">
              <a:latin typeface="Times New Roman" pitchFamily="18" charset="0"/>
              <a:cs typeface="Times New Roman" pitchFamily="18" charset="0"/>
            </a:rPr>
            <a:t>70,89mln EUR </a:t>
          </a:r>
          <a:r>
            <a:rPr lang="pl-PL" sz="1100" b="0" i="0">
              <a:latin typeface="Times New Roman" pitchFamily="18" charset="0"/>
              <a:cs typeface="Times New Roman" pitchFamily="18" charset="0"/>
            </a:rPr>
            <a:t>płatności</a:t>
          </a:r>
        </a:p>
      </dgm:t>
    </dgm:pt>
    <dgm:pt modelId="{815BEDA5-3647-4D45-88B1-F0A53F963A58}" type="parTrans" cxnId="{A0B40DB7-FA63-48AD-A6FD-1391A60CB94B}">
      <dgm:prSet/>
      <dgm:spPr/>
      <dgm:t>
        <a:bodyPr/>
        <a:lstStyle/>
        <a:p>
          <a:endParaRPr lang="pl-PL"/>
        </a:p>
      </dgm:t>
    </dgm:pt>
    <dgm:pt modelId="{C4CAD21F-1F33-4439-937C-36838C98EE77}" type="sibTrans" cxnId="{A0B40DB7-FA63-48AD-A6FD-1391A60CB94B}">
      <dgm:prSet/>
      <dgm:spPr/>
      <dgm:t>
        <a:bodyPr/>
        <a:lstStyle/>
        <a:p>
          <a:endParaRPr lang="pl-PL"/>
        </a:p>
      </dgm:t>
    </dgm:pt>
    <dgm:pt modelId="{4FAD41D2-87BA-4851-8945-34A809D11451}">
      <dgm:prSet phldrT="[Tekst]" custT="1"/>
      <dgm:spPr/>
      <dgm:t>
        <a:bodyPr/>
        <a:lstStyle/>
        <a:p>
          <a:r>
            <a:rPr lang="pl-PL" sz="1200" b="1">
              <a:latin typeface="Times New Roman" pitchFamily="18" charset="0"/>
              <a:cs typeface="Times New Roman" pitchFamily="18" charset="0"/>
            </a:rPr>
            <a:t>PK</a:t>
          </a:r>
        </a:p>
        <a:p>
          <a:r>
            <a:rPr lang="pl-PL" sz="1100" b="1">
              <a:latin typeface="Times New Roman" pitchFamily="18" charset="0"/>
              <a:cs typeface="Times New Roman" pitchFamily="18" charset="0"/>
            </a:rPr>
            <a:t>8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39,42 mln EUR </a:t>
          </a:r>
          <a:r>
            <a:rPr lang="pl-PL" sz="1100" b="0">
              <a:latin typeface="Times New Roman" pitchFamily="18" charset="0"/>
              <a:cs typeface="Times New Roman" pitchFamily="18" charset="0"/>
            </a:rPr>
            <a:t>wartość </a:t>
          </a:r>
        </a:p>
        <a:p>
          <a:r>
            <a:rPr lang="pl-PL" sz="1100" b="1">
              <a:latin typeface="Times New Roman" pitchFamily="18" charset="0"/>
              <a:cs typeface="Times New Roman" pitchFamily="18" charset="0"/>
            </a:rPr>
            <a:t>29,43 mln EUR (100%) </a:t>
          </a:r>
          <a:r>
            <a:rPr lang="pl-PL" sz="1100" b="0">
              <a:latin typeface="Times New Roman" pitchFamily="18" charset="0"/>
              <a:cs typeface="Times New Roman" pitchFamily="18" charset="0"/>
            </a:rPr>
            <a:t>dofinansowanie </a:t>
          </a:r>
        </a:p>
        <a:p>
          <a:r>
            <a:rPr lang="pl-PL" sz="1100" b="1">
              <a:latin typeface="Times New Roman" pitchFamily="18" charset="0"/>
              <a:cs typeface="Times New Roman" pitchFamily="18" charset="0"/>
            </a:rPr>
            <a:t>8,45 mln EUR </a:t>
          </a:r>
          <a:r>
            <a:rPr lang="pl-PL" sz="1100" b="0">
              <a:latin typeface="Times New Roman" pitchFamily="18" charset="0"/>
              <a:cs typeface="Times New Roman" pitchFamily="18" charset="0"/>
            </a:rPr>
            <a:t>płatności</a:t>
          </a:r>
        </a:p>
      </dgm:t>
    </dgm:pt>
    <dgm:pt modelId="{85481FE8-EB71-4EE6-8EAE-954F42B95524}" type="parTrans" cxnId="{17BE05F7-D2E9-4D74-AA08-B13D726E014F}">
      <dgm:prSet/>
      <dgm:spPr/>
      <dgm:t>
        <a:bodyPr/>
        <a:lstStyle/>
        <a:p>
          <a:endParaRPr lang="pl-PL"/>
        </a:p>
      </dgm:t>
    </dgm:pt>
    <dgm:pt modelId="{44D71F0D-2F97-43F6-9305-2020FA0F11F3}" type="sibTrans" cxnId="{17BE05F7-D2E9-4D74-AA08-B13D726E014F}">
      <dgm:prSet/>
      <dgm:spPr/>
      <dgm:t>
        <a:bodyPr/>
        <a:lstStyle/>
        <a:p>
          <a:endParaRPr lang="pl-PL"/>
        </a:p>
      </dgm:t>
    </dgm:pt>
    <dgm:pt modelId="{09BED3D6-FC0D-44EA-807E-86647DEF45CE}" type="pres">
      <dgm:prSet presAssocID="{D9B596A5-798B-4F41-AD2F-F848579601B4}" presName="hierChild1" presStyleCnt="0">
        <dgm:presLayoutVars>
          <dgm:chPref val="1"/>
          <dgm:dir/>
          <dgm:animOne val="branch"/>
          <dgm:animLvl val="lvl"/>
          <dgm:resizeHandles/>
        </dgm:presLayoutVars>
      </dgm:prSet>
      <dgm:spPr/>
      <dgm:t>
        <a:bodyPr/>
        <a:lstStyle/>
        <a:p>
          <a:endParaRPr lang="pl-PL"/>
        </a:p>
      </dgm:t>
    </dgm:pt>
    <dgm:pt modelId="{31129675-4B43-450A-A0DB-BC4BC7B3336F}" type="pres">
      <dgm:prSet presAssocID="{40236DF7-C2C5-415A-ACC2-CA7C3B469FFE}" presName="hierRoot1" presStyleCnt="0"/>
      <dgm:spPr/>
    </dgm:pt>
    <dgm:pt modelId="{F5E193BA-0AF3-4113-81F2-43F9934057EC}" type="pres">
      <dgm:prSet presAssocID="{40236DF7-C2C5-415A-ACC2-CA7C3B469FFE}" presName="composite" presStyleCnt="0"/>
      <dgm:spPr/>
    </dgm:pt>
    <dgm:pt modelId="{BF62D4FE-EA64-49E2-8232-8039E1E81435}" type="pres">
      <dgm:prSet presAssocID="{40236DF7-C2C5-415A-ACC2-CA7C3B469FFE}" presName="background" presStyleLbl="node0" presStyleIdx="0" presStyleCnt="1"/>
      <dgm:spPr/>
    </dgm:pt>
    <dgm:pt modelId="{2B75CD9B-75AC-469E-A566-F7D66F856908}" type="pres">
      <dgm:prSet presAssocID="{40236DF7-C2C5-415A-ACC2-CA7C3B469FFE}" presName="text" presStyleLbl="fgAcc0" presStyleIdx="0" presStyleCnt="1" custScaleX="187526" custScaleY="85321" custLinFactNeighborX="-625">
        <dgm:presLayoutVars>
          <dgm:chPref val="3"/>
        </dgm:presLayoutVars>
      </dgm:prSet>
      <dgm:spPr/>
      <dgm:t>
        <a:bodyPr/>
        <a:lstStyle/>
        <a:p>
          <a:endParaRPr lang="pl-PL"/>
        </a:p>
      </dgm:t>
    </dgm:pt>
    <dgm:pt modelId="{8BB401F7-E0FA-458A-9E13-4617B0ACF7A6}" type="pres">
      <dgm:prSet presAssocID="{40236DF7-C2C5-415A-ACC2-CA7C3B469FFE}" presName="hierChild2" presStyleCnt="0"/>
      <dgm:spPr/>
    </dgm:pt>
    <dgm:pt modelId="{2A551095-1900-4D96-ACFD-9E74E765AD33}" type="pres">
      <dgm:prSet presAssocID="{815BEDA5-3647-4D45-88B1-F0A53F963A58}" presName="Name10" presStyleLbl="parChTrans1D2" presStyleIdx="0" presStyleCnt="2"/>
      <dgm:spPr/>
      <dgm:t>
        <a:bodyPr/>
        <a:lstStyle/>
        <a:p>
          <a:endParaRPr lang="pl-PL"/>
        </a:p>
      </dgm:t>
    </dgm:pt>
    <dgm:pt modelId="{69682B22-1A56-454F-846E-A2CD576C0246}" type="pres">
      <dgm:prSet presAssocID="{BA8C7145-96E0-4BDD-A3CD-75A32D4E67B6}" presName="hierRoot2" presStyleCnt="0"/>
      <dgm:spPr/>
    </dgm:pt>
    <dgm:pt modelId="{A617C3D9-C3F9-4E57-962A-635D8EADD3FD}" type="pres">
      <dgm:prSet presAssocID="{BA8C7145-96E0-4BDD-A3CD-75A32D4E67B6}" presName="composite2" presStyleCnt="0"/>
      <dgm:spPr/>
    </dgm:pt>
    <dgm:pt modelId="{2B06B423-2E98-4C1C-BB14-8CFB3FAC68C0}" type="pres">
      <dgm:prSet presAssocID="{BA8C7145-96E0-4BDD-A3CD-75A32D4E67B6}" presName="background2" presStyleLbl="node2" presStyleIdx="0" presStyleCnt="2"/>
      <dgm:spPr/>
    </dgm:pt>
    <dgm:pt modelId="{BF04710E-19CD-41F0-9DF3-DF17AD83F590}" type="pres">
      <dgm:prSet presAssocID="{BA8C7145-96E0-4BDD-A3CD-75A32D4E67B6}" presName="text2" presStyleLbl="fgAcc2" presStyleIdx="0" presStyleCnt="2" custScaleX="117545">
        <dgm:presLayoutVars>
          <dgm:chPref val="3"/>
        </dgm:presLayoutVars>
      </dgm:prSet>
      <dgm:spPr/>
      <dgm:t>
        <a:bodyPr/>
        <a:lstStyle/>
        <a:p>
          <a:endParaRPr lang="pl-PL"/>
        </a:p>
      </dgm:t>
    </dgm:pt>
    <dgm:pt modelId="{9EEC74EC-0C4D-49BC-9D7A-7EBBD1A80384}" type="pres">
      <dgm:prSet presAssocID="{BA8C7145-96E0-4BDD-A3CD-75A32D4E67B6}" presName="hierChild3" presStyleCnt="0"/>
      <dgm:spPr/>
    </dgm:pt>
    <dgm:pt modelId="{FEE42C7D-82FB-4FBA-9AB9-43B672FF0AD0}" type="pres">
      <dgm:prSet presAssocID="{85481FE8-EB71-4EE6-8EAE-954F42B95524}" presName="Name10" presStyleLbl="parChTrans1D2" presStyleIdx="1" presStyleCnt="2"/>
      <dgm:spPr/>
      <dgm:t>
        <a:bodyPr/>
        <a:lstStyle/>
        <a:p>
          <a:endParaRPr lang="pl-PL"/>
        </a:p>
      </dgm:t>
    </dgm:pt>
    <dgm:pt modelId="{5E09042A-98DF-4F58-9CDF-FE292875F8A0}" type="pres">
      <dgm:prSet presAssocID="{4FAD41D2-87BA-4851-8945-34A809D11451}" presName="hierRoot2" presStyleCnt="0"/>
      <dgm:spPr/>
    </dgm:pt>
    <dgm:pt modelId="{B6D5A2FD-EE54-40EB-AD8C-39378C917846}" type="pres">
      <dgm:prSet presAssocID="{4FAD41D2-87BA-4851-8945-34A809D11451}" presName="composite2" presStyleCnt="0"/>
      <dgm:spPr/>
    </dgm:pt>
    <dgm:pt modelId="{DCC235DF-4F14-4BF4-B1F1-93023C721E72}" type="pres">
      <dgm:prSet presAssocID="{4FAD41D2-87BA-4851-8945-34A809D11451}" presName="background2" presStyleLbl="node2" presStyleIdx="1" presStyleCnt="2"/>
      <dgm:spPr/>
    </dgm:pt>
    <dgm:pt modelId="{122B4FAF-F0B9-4835-96F3-326424C825F2}" type="pres">
      <dgm:prSet presAssocID="{4FAD41D2-87BA-4851-8945-34A809D11451}" presName="text2" presStyleLbl="fgAcc2" presStyleIdx="1" presStyleCnt="2" custScaleX="123040">
        <dgm:presLayoutVars>
          <dgm:chPref val="3"/>
        </dgm:presLayoutVars>
      </dgm:prSet>
      <dgm:spPr/>
      <dgm:t>
        <a:bodyPr/>
        <a:lstStyle/>
        <a:p>
          <a:endParaRPr lang="pl-PL"/>
        </a:p>
      </dgm:t>
    </dgm:pt>
    <dgm:pt modelId="{7E024528-56F8-4029-BB28-2C15832D9316}" type="pres">
      <dgm:prSet presAssocID="{4FAD41D2-87BA-4851-8945-34A809D11451}" presName="hierChild3" presStyleCnt="0"/>
      <dgm:spPr/>
    </dgm:pt>
  </dgm:ptLst>
  <dgm:cxnLst>
    <dgm:cxn modelId="{DE535250-6A50-46E0-953C-694C74155DB3}" type="presOf" srcId="{D9B596A5-798B-4F41-AD2F-F848579601B4}" destId="{09BED3D6-FC0D-44EA-807E-86647DEF45CE}" srcOrd="0" destOrd="0" presId="urn:microsoft.com/office/officeart/2005/8/layout/hierarchy1"/>
    <dgm:cxn modelId="{73B46BB2-8378-46AF-AA9B-56007D799074}" type="presOf" srcId="{40236DF7-C2C5-415A-ACC2-CA7C3B469FFE}" destId="{2B75CD9B-75AC-469E-A566-F7D66F856908}" srcOrd="0" destOrd="0" presId="urn:microsoft.com/office/officeart/2005/8/layout/hierarchy1"/>
    <dgm:cxn modelId="{7FE4A46E-E5DA-4852-AF14-B452459E7F1C}" type="presOf" srcId="{85481FE8-EB71-4EE6-8EAE-954F42B95524}" destId="{FEE42C7D-82FB-4FBA-9AB9-43B672FF0AD0}" srcOrd="0" destOrd="0" presId="urn:microsoft.com/office/officeart/2005/8/layout/hierarchy1"/>
    <dgm:cxn modelId="{A0B40DB7-FA63-48AD-A6FD-1391A60CB94B}" srcId="{40236DF7-C2C5-415A-ACC2-CA7C3B469FFE}" destId="{BA8C7145-96E0-4BDD-A3CD-75A32D4E67B6}" srcOrd="0" destOrd="0" parTransId="{815BEDA5-3647-4D45-88B1-F0A53F963A58}" sibTransId="{C4CAD21F-1F33-4439-937C-36838C98EE77}"/>
    <dgm:cxn modelId="{9B2F527E-EEBA-488C-ABC5-92CC589087B0}" srcId="{D9B596A5-798B-4F41-AD2F-F848579601B4}" destId="{40236DF7-C2C5-415A-ACC2-CA7C3B469FFE}" srcOrd="0" destOrd="0" parTransId="{97E651EE-6F13-4DB7-868E-72F8B0DF72A4}" sibTransId="{05497653-ABCB-4DE4-82D1-BC26665E4CBB}"/>
    <dgm:cxn modelId="{CB98953B-8588-45F4-9815-5E2B8224F11C}" type="presOf" srcId="{4FAD41D2-87BA-4851-8945-34A809D11451}" destId="{122B4FAF-F0B9-4835-96F3-326424C825F2}" srcOrd="0" destOrd="0" presId="urn:microsoft.com/office/officeart/2005/8/layout/hierarchy1"/>
    <dgm:cxn modelId="{F0418E03-53C9-4246-9E79-925F19A44F03}" type="presOf" srcId="{BA8C7145-96E0-4BDD-A3CD-75A32D4E67B6}" destId="{BF04710E-19CD-41F0-9DF3-DF17AD83F590}" srcOrd="0" destOrd="0" presId="urn:microsoft.com/office/officeart/2005/8/layout/hierarchy1"/>
    <dgm:cxn modelId="{88DE7352-870E-47DE-8331-7C56EF498817}" type="presOf" srcId="{815BEDA5-3647-4D45-88B1-F0A53F963A58}" destId="{2A551095-1900-4D96-ACFD-9E74E765AD33}" srcOrd="0" destOrd="0" presId="urn:microsoft.com/office/officeart/2005/8/layout/hierarchy1"/>
    <dgm:cxn modelId="{17BE05F7-D2E9-4D74-AA08-B13D726E014F}" srcId="{40236DF7-C2C5-415A-ACC2-CA7C3B469FFE}" destId="{4FAD41D2-87BA-4851-8945-34A809D11451}" srcOrd="1" destOrd="0" parTransId="{85481FE8-EB71-4EE6-8EAE-954F42B95524}" sibTransId="{44D71F0D-2F97-43F6-9305-2020FA0F11F3}"/>
    <dgm:cxn modelId="{45D89AA6-0EDD-40D8-8EA0-77E2F1E04A4D}" type="presParOf" srcId="{09BED3D6-FC0D-44EA-807E-86647DEF45CE}" destId="{31129675-4B43-450A-A0DB-BC4BC7B3336F}" srcOrd="0" destOrd="0" presId="urn:microsoft.com/office/officeart/2005/8/layout/hierarchy1"/>
    <dgm:cxn modelId="{8D99F9FD-AB6D-4C36-9381-72BA8F27FF75}" type="presParOf" srcId="{31129675-4B43-450A-A0DB-BC4BC7B3336F}" destId="{F5E193BA-0AF3-4113-81F2-43F9934057EC}" srcOrd="0" destOrd="0" presId="urn:microsoft.com/office/officeart/2005/8/layout/hierarchy1"/>
    <dgm:cxn modelId="{733BC045-D63F-413B-A88D-6942CC178204}" type="presParOf" srcId="{F5E193BA-0AF3-4113-81F2-43F9934057EC}" destId="{BF62D4FE-EA64-49E2-8232-8039E1E81435}" srcOrd="0" destOrd="0" presId="urn:microsoft.com/office/officeart/2005/8/layout/hierarchy1"/>
    <dgm:cxn modelId="{C699CF59-1746-41D9-B671-84B9D18248D9}" type="presParOf" srcId="{F5E193BA-0AF3-4113-81F2-43F9934057EC}" destId="{2B75CD9B-75AC-469E-A566-F7D66F856908}" srcOrd="1" destOrd="0" presId="urn:microsoft.com/office/officeart/2005/8/layout/hierarchy1"/>
    <dgm:cxn modelId="{61ACD53C-A158-43CB-96AC-54888EDBA9D0}" type="presParOf" srcId="{31129675-4B43-450A-A0DB-BC4BC7B3336F}" destId="{8BB401F7-E0FA-458A-9E13-4617B0ACF7A6}" srcOrd="1" destOrd="0" presId="urn:microsoft.com/office/officeart/2005/8/layout/hierarchy1"/>
    <dgm:cxn modelId="{9A9F8ED9-BAA0-4855-99D3-150F51D25FAC}" type="presParOf" srcId="{8BB401F7-E0FA-458A-9E13-4617B0ACF7A6}" destId="{2A551095-1900-4D96-ACFD-9E74E765AD33}" srcOrd="0" destOrd="0" presId="urn:microsoft.com/office/officeart/2005/8/layout/hierarchy1"/>
    <dgm:cxn modelId="{CF9835F8-A229-42E3-88B8-B15C63C7164E}" type="presParOf" srcId="{8BB401F7-E0FA-458A-9E13-4617B0ACF7A6}" destId="{69682B22-1A56-454F-846E-A2CD576C0246}" srcOrd="1" destOrd="0" presId="urn:microsoft.com/office/officeart/2005/8/layout/hierarchy1"/>
    <dgm:cxn modelId="{6393F708-8B82-48C2-824F-18876115DED2}" type="presParOf" srcId="{69682B22-1A56-454F-846E-A2CD576C0246}" destId="{A617C3D9-C3F9-4E57-962A-635D8EADD3FD}" srcOrd="0" destOrd="0" presId="urn:microsoft.com/office/officeart/2005/8/layout/hierarchy1"/>
    <dgm:cxn modelId="{4109C618-501E-46E3-A4D3-8C27E0845F8E}" type="presParOf" srcId="{A617C3D9-C3F9-4E57-962A-635D8EADD3FD}" destId="{2B06B423-2E98-4C1C-BB14-8CFB3FAC68C0}" srcOrd="0" destOrd="0" presId="urn:microsoft.com/office/officeart/2005/8/layout/hierarchy1"/>
    <dgm:cxn modelId="{F2B65475-3906-4C10-9B12-413BC2B4C9AE}" type="presParOf" srcId="{A617C3D9-C3F9-4E57-962A-635D8EADD3FD}" destId="{BF04710E-19CD-41F0-9DF3-DF17AD83F590}" srcOrd="1" destOrd="0" presId="urn:microsoft.com/office/officeart/2005/8/layout/hierarchy1"/>
    <dgm:cxn modelId="{71F8CC28-7684-4D68-9E8A-E9F344C346A8}" type="presParOf" srcId="{69682B22-1A56-454F-846E-A2CD576C0246}" destId="{9EEC74EC-0C4D-49BC-9D7A-7EBBD1A80384}" srcOrd="1" destOrd="0" presId="urn:microsoft.com/office/officeart/2005/8/layout/hierarchy1"/>
    <dgm:cxn modelId="{A6CED4B9-82FB-4DFD-98D2-439FB2D99832}" type="presParOf" srcId="{8BB401F7-E0FA-458A-9E13-4617B0ACF7A6}" destId="{FEE42C7D-82FB-4FBA-9AB9-43B672FF0AD0}" srcOrd="2" destOrd="0" presId="urn:microsoft.com/office/officeart/2005/8/layout/hierarchy1"/>
    <dgm:cxn modelId="{5FC4D09E-0AB5-42CD-A687-3C3D3CD60760}" type="presParOf" srcId="{8BB401F7-E0FA-458A-9E13-4617B0ACF7A6}" destId="{5E09042A-98DF-4F58-9CDF-FE292875F8A0}" srcOrd="3" destOrd="0" presId="urn:microsoft.com/office/officeart/2005/8/layout/hierarchy1"/>
    <dgm:cxn modelId="{C10E8D1C-BA1F-4A12-9A9E-414185822B4A}" type="presParOf" srcId="{5E09042A-98DF-4F58-9CDF-FE292875F8A0}" destId="{B6D5A2FD-EE54-40EB-AD8C-39378C917846}" srcOrd="0" destOrd="0" presId="urn:microsoft.com/office/officeart/2005/8/layout/hierarchy1"/>
    <dgm:cxn modelId="{45A16AF1-0AFC-4ADA-A4E9-DDB16BE04FE1}" type="presParOf" srcId="{B6D5A2FD-EE54-40EB-AD8C-39378C917846}" destId="{DCC235DF-4F14-4BF4-B1F1-93023C721E72}" srcOrd="0" destOrd="0" presId="urn:microsoft.com/office/officeart/2005/8/layout/hierarchy1"/>
    <dgm:cxn modelId="{531F405A-5F92-42A4-83F8-AD992F98F607}" type="presParOf" srcId="{B6D5A2FD-EE54-40EB-AD8C-39378C917846}" destId="{122B4FAF-F0B9-4835-96F3-326424C825F2}" srcOrd="1" destOrd="0" presId="urn:microsoft.com/office/officeart/2005/8/layout/hierarchy1"/>
    <dgm:cxn modelId="{EBAFCBF0-0A53-41F6-8198-6F491B9FC3A0}" type="presParOf" srcId="{5E09042A-98DF-4F58-9CDF-FE292875F8A0}" destId="{7E024528-56F8-4029-BB28-2C15832D9316}" srcOrd="1" destOrd="0" presId="urn:microsoft.com/office/officeart/2005/8/layout/hierarchy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9B596A5-798B-4F41-AD2F-F848579601B4}"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endParaRPr lang="pl-PL"/>
        </a:p>
      </dgm:t>
    </dgm:pt>
    <dgm:pt modelId="{40236DF7-C2C5-415A-ACC2-CA7C3B469FFE}">
      <dgm:prSet phldrT="[Tekst]" custT="1"/>
      <dgm:spPr/>
      <dgm:t>
        <a:bodyPr/>
        <a:lstStyle/>
        <a:p>
          <a:r>
            <a:rPr lang="pl-PL" sz="1200" b="1">
              <a:latin typeface="Times New Roman" pitchFamily="18" charset="0"/>
              <a:cs typeface="Times New Roman" pitchFamily="18" charset="0"/>
            </a:rPr>
            <a:t>PRIORYTET II</a:t>
          </a:r>
        </a:p>
        <a:p>
          <a:r>
            <a:rPr lang="pl-PL" sz="1200" b="1">
              <a:latin typeface="Times New Roman" pitchFamily="18" charset="0"/>
              <a:cs typeface="Times New Roman" pitchFamily="18" charset="0"/>
            </a:rPr>
            <a:t>100 </a:t>
          </a:r>
          <a:r>
            <a:rPr lang="pl-PL" sz="1200" b="0">
              <a:latin typeface="Times New Roman" pitchFamily="18" charset="0"/>
              <a:cs typeface="Times New Roman" pitchFamily="18" charset="0"/>
            </a:rPr>
            <a:t>umów </a:t>
          </a:r>
        </a:p>
        <a:p>
          <a:r>
            <a:rPr lang="pl-PL" sz="1200" b="1">
              <a:latin typeface="Times New Roman" pitchFamily="18" charset="0"/>
              <a:cs typeface="Times New Roman" pitchFamily="18" charset="0"/>
            </a:rPr>
            <a:t>106,97 mln EUR </a:t>
          </a:r>
          <a:r>
            <a:rPr lang="pl-PL" sz="1200" b="0">
              <a:latin typeface="Times New Roman" pitchFamily="18" charset="0"/>
              <a:cs typeface="Times New Roman" pitchFamily="18" charset="0"/>
            </a:rPr>
            <a:t>wartość</a:t>
          </a:r>
        </a:p>
        <a:p>
          <a:r>
            <a:rPr lang="pl-PL" sz="1200" b="1">
              <a:latin typeface="Times New Roman" pitchFamily="18" charset="0"/>
              <a:cs typeface="Times New Roman" pitchFamily="18" charset="0"/>
            </a:rPr>
            <a:t>76,66 mln EUR </a:t>
          </a:r>
          <a:r>
            <a:rPr lang="pl-PL" sz="1200" b="0">
              <a:latin typeface="Times New Roman" pitchFamily="18" charset="0"/>
              <a:cs typeface="Times New Roman" pitchFamily="18" charset="0"/>
            </a:rPr>
            <a:t>dofinansowanie</a:t>
          </a:r>
        </a:p>
        <a:p>
          <a:r>
            <a:rPr lang="pl-PL" sz="1200" b="1">
              <a:latin typeface="Times New Roman" pitchFamily="18" charset="0"/>
              <a:cs typeface="Times New Roman" pitchFamily="18" charset="0"/>
            </a:rPr>
            <a:t>11,99 mln EUR </a:t>
          </a:r>
          <a:r>
            <a:rPr lang="pl-PL" sz="1200" b="0">
              <a:latin typeface="Times New Roman" pitchFamily="18" charset="0"/>
              <a:cs typeface="Times New Roman" pitchFamily="18" charset="0"/>
            </a:rPr>
            <a:t>płatności </a:t>
          </a:r>
        </a:p>
      </dgm:t>
    </dgm:pt>
    <dgm:pt modelId="{97E651EE-6F13-4DB7-868E-72F8B0DF72A4}" type="parTrans" cxnId="{9B2F527E-EEBA-488C-ABC5-92CC589087B0}">
      <dgm:prSet/>
      <dgm:spPr/>
      <dgm:t>
        <a:bodyPr/>
        <a:lstStyle/>
        <a:p>
          <a:endParaRPr lang="pl-PL"/>
        </a:p>
      </dgm:t>
    </dgm:pt>
    <dgm:pt modelId="{05497653-ABCB-4DE4-82D1-BC26665E4CBB}" type="sibTrans" cxnId="{9B2F527E-EEBA-488C-ABC5-92CC589087B0}">
      <dgm:prSet/>
      <dgm:spPr/>
      <dgm:t>
        <a:bodyPr/>
        <a:lstStyle/>
        <a:p>
          <a:endParaRPr lang="pl-PL"/>
        </a:p>
      </dgm:t>
    </dgm:pt>
    <dgm:pt modelId="{BA8C7145-96E0-4BDD-A3CD-75A32D4E67B6}">
      <dgm:prSet phldrT="[Tekst]" custT="1"/>
      <dgm:spPr/>
      <dgm:t>
        <a:bodyPr/>
        <a:lstStyle/>
        <a:p>
          <a:r>
            <a:rPr lang="pl-PL" sz="1200" b="1">
              <a:latin typeface="Times New Roman" pitchFamily="18" charset="0"/>
              <a:cs typeface="Times New Roman" pitchFamily="18" charset="0"/>
            </a:rPr>
            <a:t>KONKURSY</a:t>
          </a:r>
        </a:p>
        <a:p>
          <a:r>
            <a:rPr lang="pl-PL" sz="1100" b="1">
              <a:latin typeface="Times New Roman" pitchFamily="18" charset="0"/>
              <a:cs typeface="Times New Roman" pitchFamily="18" charset="0"/>
            </a:rPr>
            <a:t>72 </a:t>
          </a:r>
          <a:r>
            <a:rPr lang="pl-PL" sz="1100" b="0">
              <a:latin typeface="Times New Roman" pitchFamily="18" charset="0"/>
              <a:cs typeface="Times New Roman" pitchFamily="18" charset="0"/>
            </a:rPr>
            <a:t>umowy </a:t>
          </a:r>
        </a:p>
        <a:p>
          <a:r>
            <a:rPr lang="pl-PL" sz="1100" b="1">
              <a:latin typeface="Times New Roman" pitchFamily="18" charset="0"/>
              <a:cs typeface="Times New Roman" pitchFamily="18" charset="0"/>
            </a:rPr>
            <a:t>31,33 mln EUR </a:t>
          </a:r>
          <a:r>
            <a:rPr lang="pl-PL" sz="1100" b="0">
              <a:latin typeface="Times New Roman" pitchFamily="18" charset="0"/>
              <a:cs typeface="Times New Roman" pitchFamily="18" charset="0"/>
            </a:rPr>
            <a:t>wartość </a:t>
          </a:r>
        </a:p>
        <a:p>
          <a:r>
            <a:rPr lang="pl-PL" sz="1100" b="1">
              <a:latin typeface="Times New Roman" pitchFamily="18" charset="0"/>
              <a:cs typeface="Times New Roman" pitchFamily="18" charset="0"/>
            </a:rPr>
            <a:t>24,69 mln EUR (31%) </a:t>
          </a:r>
          <a:r>
            <a:rPr lang="pl-PL" sz="1100" b="0">
              <a:latin typeface="Times New Roman" pitchFamily="18" charset="0"/>
              <a:cs typeface="Times New Roman" pitchFamily="18" charset="0"/>
            </a:rPr>
            <a:t>dofinansowanie</a:t>
          </a:r>
        </a:p>
        <a:p>
          <a:r>
            <a:rPr lang="pl-PL" sz="1100" b="1">
              <a:latin typeface="Times New Roman" pitchFamily="18" charset="0"/>
              <a:cs typeface="Times New Roman" pitchFamily="18" charset="0"/>
            </a:rPr>
            <a:t>7,32 mln EUR </a:t>
          </a:r>
          <a:r>
            <a:rPr lang="pl-PL" sz="1100" b="0">
              <a:latin typeface="Times New Roman" pitchFamily="18" charset="0"/>
              <a:cs typeface="Times New Roman" pitchFamily="18" charset="0"/>
            </a:rPr>
            <a:t>płatności</a:t>
          </a:r>
        </a:p>
      </dgm:t>
    </dgm:pt>
    <dgm:pt modelId="{815BEDA5-3647-4D45-88B1-F0A53F963A58}" type="parTrans" cxnId="{A0B40DB7-FA63-48AD-A6FD-1391A60CB94B}">
      <dgm:prSet/>
      <dgm:spPr/>
      <dgm:t>
        <a:bodyPr/>
        <a:lstStyle/>
        <a:p>
          <a:endParaRPr lang="pl-PL"/>
        </a:p>
      </dgm:t>
    </dgm:pt>
    <dgm:pt modelId="{C4CAD21F-1F33-4439-937C-36838C98EE77}" type="sibTrans" cxnId="{A0B40DB7-FA63-48AD-A6FD-1391A60CB94B}">
      <dgm:prSet/>
      <dgm:spPr/>
      <dgm:t>
        <a:bodyPr/>
        <a:lstStyle/>
        <a:p>
          <a:endParaRPr lang="pl-PL"/>
        </a:p>
      </dgm:t>
    </dgm:pt>
    <dgm:pt modelId="{4FAD41D2-87BA-4851-8945-34A809D11451}">
      <dgm:prSet phldrT="[Tekst]" custT="1"/>
      <dgm:spPr/>
      <dgm:t>
        <a:bodyPr/>
        <a:lstStyle/>
        <a:p>
          <a:r>
            <a:rPr lang="pl-PL" sz="1200" b="1">
              <a:latin typeface="Times New Roman" pitchFamily="18" charset="0"/>
              <a:cs typeface="Times New Roman" pitchFamily="18" charset="0"/>
            </a:rPr>
            <a:t>PRS</a:t>
          </a:r>
        </a:p>
        <a:p>
          <a:r>
            <a:rPr lang="pl-PL" sz="1200" b="1">
              <a:latin typeface="Times New Roman" pitchFamily="18" charset="0"/>
              <a:cs typeface="Times New Roman" pitchFamily="18" charset="0"/>
            </a:rPr>
            <a:t>28 </a:t>
          </a:r>
          <a:r>
            <a:rPr lang="pl-PL" sz="1200" b="0">
              <a:latin typeface="Times New Roman" pitchFamily="18" charset="0"/>
              <a:cs typeface="Times New Roman" pitchFamily="18" charset="0"/>
            </a:rPr>
            <a:t>umów </a:t>
          </a:r>
        </a:p>
        <a:p>
          <a:r>
            <a:rPr lang="pl-PL" sz="1200" b="1">
              <a:latin typeface="Times New Roman" pitchFamily="18" charset="0"/>
              <a:cs typeface="Times New Roman" pitchFamily="18" charset="0"/>
            </a:rPr>
            <a:t>80,23 mln EUR </a:t>
          </a:r>
          <a:r>
            <a:rPr lang="pl-PL" sz="1200" b="0">
              <a:latin typeface="Times New Roman" pitchFamily="18" charset="0"/>
              <a:cs typeface="Times New Roman" pitchFamily="18" charset="0"/>
            </a:rPr>
            <a:t>wartość</a:t>
          </a:r>
        </a:p>
        <a:p>
          <a:r>
            <a:rPr lang="pl-PL" sz="1200" b="0">
              <a:latin typeface="Times New Roman" pitchFamily="18" charset="0"/>
              <a:cs typeface="Times New Roman" pitchFamily="18" charset="0"/>
            </a:rPr>
            <a:t> </a:t>
          </a:r>
          <a:r>
            <a:rPr lang="pl-PL" sz="1200" b="1">
              <a:latin typeface="Times New Roman" pitchFamily="18" charset="0"/>
              <a:cs typeface="Times New Roman" pitchFamily="18" charset="0"/>
            </a:rPr>
            <a:t>51,97 mln EUR (73%) </a:t>
          </a:r>
          <a:r>
            <a:rPr lang="pl-PL" sz="1200" b="0">
              <a:latin typeface="Times New Roman" pitchFamily="18" charset="0"/>
              <a:cs typeface="Times New Roman" pitchFamily="18" charset="0"/>
            </a:rPr>
            <a:t>dofinansowanie</a:t>
          </a:r>
        </a:p>
        <a:p>
          <a:r>
            <a:rPr lang="pl-PL" sz="1200" b="1">
              <a:latin typeface="Times New Roman" pitchFamily="18" charset="0"/>
              <a:cs typeface="Times New Roman" pitchFamily="18" charset="0"/>
            </a:rPr>
            <a:t>4,67 mln EUR </a:t>
          </a:r>
          <a:r>
            <a:rPr lang="pl-PL" sz="1200" b="0">
              <a:latin typeface="Times New Roman" pitchFamily="18" charset="0"/>
              <a:cs typeface="Times New Roman" pitchFamily="18" charset="0"/>
            </a:rPr>
            <a:t>płatności</a:t>
          </a:r>
        </a:p>
      </dgm:t>
    </dgm:pt>
    <dgm:pt modelId="{85481FE8-EB71-4EE6-8EAE-954F42B95524}" type="parTrans" cxnId="{17BE05F7-D2E9-4D74-AA08-B13D726E014F}">
      <dgm:prSet/>
      <dgm:spPr/>
      <dgm:t>
        <a:bodyPr/>
        <a:lstStyle/>
        <a:p>
          <a:endParaRPr lang="pl-PL"/>
        </a:p>
      </dgm:t>
    </dgm:pt>
    <dgm:pt modelId="{44D71F0D-2F97-43F6-9305-2020FA0F11F3}" type="sibTrans" cxnId="{17BE05F7-D2E9-4D74-AA08-B13D726E014F}">
      <dgm:prSet/>
      <dgm:spPr/>
      <dgm:t>
        <a:bodyPr/>
        <a:lstStyle/>
        <a:p>
          <a:endParaRPr lang="pl-PL"/>
        </a:p>
      </dgm:t>
    </dgm:pt>
    <dgm:pt modelId="{09BED3D6-FC0D-44EA-807E-86647DEF45CE}" type="pres">
      <dgm:prSet presAssocID="{D9B596A5-798B-4F41-AD2F-F848579601B4}" presName="hierChild1" presStyleCnt="0">
        <dgm:presLayoutVars>
          <dgm:chPref val="1"/>
          <dgm:dir/>
          <dgm:animOne val="branch"/>
          <dgm:animLvl val="lvl"/>
          <dgm:resizeHandles/>
        </dgm:presLayoutVars>
      </dgm:prSet>
      <dgm:spPr/>
      <dgm:t>
        <a:bodyPr/>
        <a:lstStyle/>
        <a:p>
          <a:endParaRPr lang="pl-PL"/>
        </a:p>
      </dgm:t>
    </dgm:pt>
    <dgm:pt modelId="{31129675-4B43-450A-A0DB-BC4BC7B3336F}" type="pres">
      <dgm:prSet presAssocID="{40236DF7-C2C5-415A-ACC2-CA7C3B469FFE}" presName="hierRoot1" presStyleCnt="0"/>
      <dgm:spPr/>
    </dgm:pt>
    <dgm:pt modelId="{F5E193BA-0AF3-4113-81F2-43F9934057EC}" type="pres">
      <dgm:prSet presAssocID="{40236DF7-C2C5-415A-ACC2-CA7C3B469FFE}" presName="composite" presStyleCnt="0"/>
      <dgm:spPr/>
    </dgm:pt>
    <dgm:pt modelId="{BF62D4FE-EA64-49E2-8232-8039E1E81435}" type="pres">
      <dgm:prSet presAssocID="{40236DF7-C2C5-415A-ACC2-CA7C3B469FFE}" presName="background" presStyleLbl="node0" presStyleIdx="0" presStyleCnt="1"/>
      <dgm:spPr/>
    </dgm:pt>
    <dgm:pt modelId="{2B75CD9B-75AC-469E-A566-F7D66F856908}" type="pres">
      <dgm:prSet presAssocID="{40236DF7-C2C5-415A-ACC2-CA7C3B469FFE}" presName="text" presStyleLbl="fgAcc0" presStyleIdx="0" presStyleCnt="1" custScaleX="187526" custScaleY="85321" custLinFactNeighborX="-625">
        <dgm:presLayoutVars>
          <dgm:chPref val="3"/>
        </dgm:presLayoutVars>
      </dgm:prSet>
      <dgm:spPr/>
      <dgm:t>
        <a:bodyPr/>
        <a:lstStyle/>
        <a:p>
          <a:endParaRPr lang="pl-PL"/>
        </a:p>
      </dgm:t>
    </dgm:pt>
    <dgm:pt modelId="{8BB401F7-E0FA-458A-9E13-4617B0ACF7A6}" type="pres">
      <dgm:prSet presAssocID="{40236DF7-C2C5-415A-ACC2-CA7C3B469FFE}" presName="hierChild2" presStyleCnt="0"/>
      <dgm:spPr/>
    </dgm:pt>
    <dgm:pt modelId="{2A551095-1900-4D96-ACFD-9E74E765AD33}" type="pres">
      <dgm:prSet presAssocID="{815BEDA5-3647-4D45-88B1-F0A53F963A58}" presName="Name10" presStyleLbl="parChTrans1D2" presStyleIdx="0" presStyleCnt="2"/>
      <dgm:spPr/>
      <dgm:t>
        <a:bodyPr/>
        <a:lstStyle/>
        <a:p>
          <a:endParaRPr lang="pl-PL"/>
        </a:p>
      </dgm:t>
    </dgm:pt>
    <dgm:pt modelId="{69682B22-1A56-454F-846E-A2CD576C0246}" type="pres">
      <dgm:prSet presAssocID="{BA8C7145-96E0-4BDD-A3CD-75A32D4E67B6}" presName="hierRoot2" presStyleCnt="0"/>
      <dgm:spPr/>
    </dgm:pt>
    <dgm:pt modelId="{A617C3D9-C3F9-4E57-962A-635D8EADD3FD}" type="pres">
      <dgm:prSet presAssocID="{BA8C7145-96E0-4BDD-A3CD-75A32D4E67B6}" presName="composite2" presStyleCnt="0"/>
      <dgm:spPr/>
    </dgm:pt>
    <dgm:pt modelId="{2B06B423-2E98-4C1C-BB14-8CFB3FAC68C0}" type="pres">
      <dgm:prSet presAssocID="{BA8C7145-96E0-4BDD-A3CD-75A32D4E67B6}" presName="background2" presStyleLbl="node2" presStyleIdx="0" presStyleCnt="2"/>
      <dgm:spPr/>
    </dgm:pt>
    <dgm:pt modelId="{BF04710E-19CD-41F0-9DF3-DF17AD83F590}" type="pres">
      <dgm:prSet presAssocID="{BA8C7145-96E0-4BDD-A3CD-75A32D4E67B6}" presName="text2" presStyleLbl="fgAcc2" presStyleIdx="0" presStyleCnt="2" custScaleX="117296" custLinFactNeighborX="-3411" custLinFactNeighborY="44">
        <dgm:presLayoutVars>
          <dgm:chPref val="3"/>
        </dgm:presLayoutVars>
      </dgm:prSet>
      <dgm:spPr/>
      <dgm:t>
        <a:bodyPr/>
        <a:lstStyle/>
        <a:p>
          <a:endParaRPr lang="pl-PL"/>
        </a:p>
      </dgm:t>
    </dgm:pt>
    <dgm:pt modelId="{9EEC74EC-0C4D-49BC-9D7A-7EBBD1A80384}" type="pres">
      <dgm:prSet presAssocID="{BA8C7145-96E0-4BDD-A3CD-75A32D4E67B6}" presName="hierChild3" presStyleCnt="0"/>
      <dgm:spPr/>
    </dgm:pt>
    <dgm:pt modelId="{FEE42C7D-82FB-4FBA-9AB9-43B672FF0AD0}" type="pres">
      <dgm:prSet presAssocID="{85481FE8-EB71-4EE6-8EAE-954F42B95524}" presName="Name10" presStyleLbl="parChTrans1D2" presStyleIdx="1" presStyleCnt="2"/>
      <dgm:spPr/>
      <dgm:t>
        <a:bodyPr/>
        <a:lstStyle/>
        <a:p>
          <a:endParaRPr lang="pl-PL"/>
        </a:p>
      </dgm:t>
    </dgm:pt>
    <dgm:pt modelId="{5E09042A-98DF-4F58-9CDF-FE292875F8A0}" type="pres">
      <dgm:prSet presAssocID="{4FAD41D2-87BA-4851-8945-34A809D11451}" presName="hierRoot2" presStyleCnt="0"/>
      <dgm:spPr/>
    </dgm:pt>
    <dgm:pt modelId="{B6D5A2FD-EE54-40EB-AD8C-39378C917846}" type="pres">
      <dgm:prSet presAssocID="{4FAD41D2-87BA-4851-8945-34A809D11451}" presName="composite2" presStyleCnt="0"/>
      <dgm:spPr/>
    </dgm:pt>
    <dgm:pt modelId="{DCC235DF-4F14-4BF4-B1F1-93023C721E72}" type="pres">
      <dgm:prSet presAssocID="{4FAD41D2-87BA-4851-8945-34A809D11451}" presName="background2" presStyleLbl="node2" presStyleIdx="1" presStyleCnt="2"/>
      <dgm:spPr/>
    </dgm:pt>
    <dgm:pt modelId="{122B4FAF-F0B9-4835-96F3-326424C825F2}" type="pres">
      <dgm:prSet presAssocID="{4FAD41D2-87BA-4851-8945-34A809D11451}" presName="text2" presStyleLbl="fgAcc2" presStyleIdx="1" presStyleCnt="2" custScaleX="124887" custLinFactNeighborX="-3411" custLinFactNeighborY="-3836">
        <dgm:presLayoutVars>
          <dgm:chPref val="3"/>
        </dgm:presLayoutVars>
      </dgm:prSet>
      <dgm:spPr/>
      <dgm:t>
        <a:bodyPr/>
        <a:lstStyle/>
        <a:p>
          <a:endParaRPr lang="pl-PL"/>
        </a:p>
      </dgm:t>
    </dgm:pt>
    <dgm:pt modelId="{7E024528-56F8-4029-BB28-2C15832D9316}" type="pres">
      <dgm:prSet presAssocID="{4FAD41D2-87BA-4851-8945-34A809D11451}" presName="hierChild3" presStyleCnt="0"/>
      <dgm:spPr/>
    </dgm:pt>
  </dgm:ptLst>
  <dgm:cxnLst>
    <dgm:cxn modelId="{7045FBB0-0021-4F4B-8DDA-FA072EC1EE1C}" type="presOf" srcId="{40236DF7-C2C5-415A-ACC2-CA7C3B469FFE}" destId="{2B75CD9B-75AC-469E-A566-F7D66F856908}" srcOrd="0" destOrd="0" presId="urn:microsoft.com/office/officeart/2005/8/layout/hierarchy1"/>
    <dgm:cxn modelId="{4CB3615E-5E6C-4A5E-81F2-3E6DF405FE5F}" type="presOf" srcId="{85481FE8-EB71-4EE6-8EAE-954F42B95524}" destId="{FEE42C7D-82FB-4FBA-9AB9-43B672FF0AD0}" srcOrd="0" destOrd="0" presId="urn:microsoft.com/office/officeart/2005/8/layout/hierarchy1"/>
    <dgm:cxn modelId="{4C105EE8-320E-4480-B9FB-8CEAD715334A}" type="presOf" srcId="{815BEDA5-3647-4D45-88B1-F0A53F963A58}" destId="{2A551095-1900-4D96-ACFD-9E74E765AD33}" srcOrd="0" destOrd="0" presId="urn:microsoft.com/office/officeart/2005/8/layout/hierarchy1"/>
    <dgm:cxn modelId="{78F7EA75-4980-4BA9-A067-F3DF259FACE7}" type="presOf" srcId="{D9B596A5-798B-4F41-AD2F-F848579601B4}" destId="{09BED3D6-FC0D-44EA-807E-86647DEF45CE}" srcOrd="0" destOrd="0" presId="urn:microsoft.com/office/officeart/2005/8/layout/hierarchy1"/>
    <dgm:cxn modelId="{24BB2AF8-4759-4139-99C6-14829F729EDF}" type="presOf" srcId="{BA8C7145-96E0-4BDD-A3CD-75A32D4E67B6}" destId="{BF04710E-19CD-41F0-9DF3-DF17AD83F590}" srcOrd="0" destOrd="0" presId="urn:microsoft.com/office/officeart/2005/8/layout/hierarchy1"/>
    <dgm:cxn modelId="{A0B40DB7-FA63-48AD-A6FD-1391A60CB94B}" srcId="{40236DF7-C2C5-415A-ACC2-CA7C3B469FFE}" destId="{BA8C7145-96E0-4BDD-A3CD-75A32D4E67B6}" srcOrd="0" destOrd="0" parTransId="{815BEDA5-3647-4D45-88B1-F0A53F963A58}" sibTransId="{C4CAD21F-1F33-4439-937C-36838C98EE77}"/>
    <dgm:cxn modelId="{9B2F527E-EEBA-488C-ABC5-92CC589087B0}" srcId="{D9B596A5-798B-4F41-AD2F-F848579601B4}" destId="{40236DF7-C2C5-415A-ACC2-CA7C3B469FFE}" srcOrd="0" destOrd="0" parTransId="{97E651EE-6F13-4DB7-868E-72F8B0DF72A4}" sibTransId="{05497653-ABCB-4DE4-82D1-BC26665E4CBB}"/>
    <dgm:cxn modelId="{9C84FEBA-C68B-4196-B59B-E5C0D0AF2752}" type="presOf" srcId="{4FAD41D2-87BA-4851-8945-34A809D11451}" destId="{122B4FAF-F0B9-4835-96F3-326424C825F2}" srcOrd="0" destOrd="0" presId="urn:microsoft.com/office/officeart/2005/8/layout/hierarchy1"/>
    <dgm:cxn modelId="{17BE05F7-D2E9-4D74-AA08-B13D726E014F}" srcId="{40236DF7-C2C5-415A-ACC2-CA7C3B469FFE}" destId="{4FAD41D2-87BA-4851-8945-34A809D11451}" srcOrd="1" destOrd="0" parTransId="{85481FE8-EB71-4EE6-8EAE-954F42B95524}" sibTransId="{44D71F0D-2F97-43F6-9305-2020FA0F11F3}"/>
    <dgm:cxn modelId="{8C8E9718-3572-4729-8207-DC14758153D6}" type="presParOf" srcId="{09BED3D6-FC0D-44EA-807E-86647DEF45CE}" destId="{31129675-4B43-450A-A0DB-BC4BC7B3336F}" srcOrd="0" destOrd="0" presId="urn:microsoft.com/office/officeart/2005/8/layout/hierarchy1"/>
    <dgm:cxn modelId="{F0403E7C-947B-4707-90A9-ED1B16F5B3A5}" type="presParOf" srcId="{31129675-4B43-450A-A0DB-BC4BC7B3336F}" destId="{F5E193BA-0AF3-4113-81F2-43F9934057EC}" srcOrd="0" destOrd="0" presId="urn:microsoft.com/office/officeart/2005/8/layout/hierarchy1"/>
    <dgm:cxn modelId="{49AE9C3A-667E-4FB2-9648-39B929A97C01}" type="presParOf" srcId="{F5E193BA-0AF3-4113-81F2-43F9934057EC}" destId="{BF62D4FE-EA64-49E2-8232-8039E1E81435}" srcOrd="0" destOrd="0" presId="urn:microsoft.com/office/officeart/2005/8/layout/hierarchy1"/>
    <dgm:cxn modelId="{E4120D61-F0FC-40DC-8C5E-566AA9318716}" type="presParOf" srcId="{F5E193BA-0AF3-4113-81F2-43F9934057EC}" destId="{2B75CD9B-75AC-469E-A566-F7D66F856908}" srcOrd="1" destOrd="0" presId="urn:microsoft.com/office/officeart/2005/8/layout/hierarchy1"/>
    <dgm:cxn modelId="{28E1B86B-1DE4-4F10-A28E-5C46F95C4A57}" type="presParOf" srcId="{31129675-4B43-450A-A0DB-BC4BC7B3336F}" destId="{8BB401F7-E0FA-458A-9E13-4617B0ACF7A6}" srcOrd="1" destOrd="0" presId="urn:microsoft.com/office/officeart/2005/8/layout/hierarchy1"/>
    <dgm:cxn modelId="{5C18F0E5-B739-425B-8D2E-514895AF2919}" type="presParOf" srcId="{8BB401F7-E0FA-458A-9E13-4617B0ACF7A6}" destId="{2A551095-1900-4D96-ACFD-9E74E765AD33}" srcOrd="0" destOrd="0" presId="urn:microsoft.com/office/officeart/2005/8/layout/hierarchy1"/>
    <dgm:cxn modelId="{6AFFAEFB-FD6C-4A2F-B5AB-D38AB2E37763}" type="presParOf" srcId="{8BB401F7-E0FA-458A-9E13-4617B0ACF7A6}" destId="{69682B22-1A56-454F-846E-A2CD576C0246}" srcOrd="1" destOrd="0" presId="urn:microsoft.com/office/officeart/2005/8/layout/hierarchy1"/>
    <dgm:cxn modelId="{740103B6-CA4F-4428-944C-4DC1DC65D62F}" type="presParOf" srcId="{69682B22-1A56-454F-846E-A2CD576C0246}" destId="{A617C3D9-C3F9-4E57-962A-635D8EADD3FD}" srcOrd="0" destOrd="0" presId="urn:microsoft.com/office/officeart/2005/8/layout/hierarchy1"/>
    <dgm:cxn modelId="{75F46B1E-17EE-448D-8B7B-C2F71F9160D9}" type="presParOf" srcId="{A617C3D9-C3F9-4E57-962A-635D8EADD3FD}" destId="{2B06B423-2E98-4C1C-BB14-8CFB3FAC68C0}" srcOrd="0" destOrd="0" presId="urn:microsoft.com/office/officeart/2005/8/layout/hierarchy1"/>
    <dgm:cxn modelId="{7CC3ED84-90B6-44EF-9B07-0E934E495EE9}" type="presParOf" srcId="{A617C3D9-C3F9-4E57-962A-635D8EADD3FD}" destId="{BF04710E-19CD-41F0-9DF3-DF17AD83F590}" srcOrd="1" destOrd="0" presId="urn:microsoft.com/office/officeart/2005/8/layout/hierarchy1"/>
    <dgm:cxn modelId="{E03FE70F-BA60-41C1-AF80-98E5E646EF54}" type="presParOf" srcId="{69682B22-1A56-454F-846E-A2CD576C0246}" destId="{9EEC74EC-0C4D-49BC-9D7A-7EBBD1A80384}" srcOrd="1" destOrd="0" presId="urn:microsoft.com/office/officeart/2005/8/layout/hierarchy1"/>
    <dgm:cxn modelId="{10E87E15-8B6B-4ED3-900E-35C611CEB0FA}" type="presParOf" srcId="{8BB401F7-E0FA-458A-9E13-4617B0ACF7A6}" destId="{FEE42C7D-82FB-4FBA-9AB9-43B672FF0AD0}" srcOrd="2" destOrd="0" presId="urn:microsoft.com/office/officeart/2005/8/layout/hierarchy1"/>
    <dgm:cxn modelId="{30F69ABB-CBA9-4418-A3C0-83F17525444B}" type="presParOf" srcId="{8BB401F7-E0FA-458A-9E13-4617B0ACF7A6}" destId="{5E09042A-98DF-4F58-9CDF-FE292875F8A0}" srcOrd="3" destOrd="0" presId="urn:microsoft.com/office/officeart/2005/8/layout/hierarchy1"/>
    <dgm:cxn modelId="{CD2FF158-F5C5-476C-8588-86F90CB26353}" type="presParOf" srcId="{5E09042A-98DF-4F58-9CDF-FE292875F8A0}" destId="{B6D5A2FD-EE54-40EB-AD8C-39378C917846}" srcOrd="0" destOrd="0" presId="urn:microsoft.com/office/officeart/2005/8/layout/hierarchy1"/>
    <dgm:cxn modelId="{FF8B8DDE-A577-46D7-8E62-E17156B1ED91}" type="presParOf" srcId="{B6D5A2FD-EE54-40EB-AD8C-39378C917846}" destId="{DCC235DF-4F14-4BF4-B1F1-93023C721E72}" srcOrd="0" destOrd="0" presId="urn:microsoft.com/office/officeart/2005/8/layout/hierarchy1"/>
    <dgm:cxn modelId="{DFC353FE-30C9-434C-9426-033B39A3AD15}" type="presParOf" srcId="{B6D5A2FD-EE54-40EB-AD8C-39378C917846}" destId="{122B4FAF-F0B9-4835-96F3-326424C825F2}" srcOrd="1" destOrd="0" presId="urn:microsoft.com/office/officeart/2005/8/layout/hierarchy1"/>
    <dgm:cxn modelId="{9046BD1C-FC8C-48CC-A022-7FE0FAA4FFD0}" type="presParOf" srcId="{5E09042A-98DF-4F58-9CDF-FE292875F8A0}" destId="{7E024528-56F8-4029-BB28-2C15832D9316}" srcOrd="1" destOrd="0" presId="urn:microsoft.com/office/officeart/2005/8/layout/hierarchy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9B596A5-798B-4F41-AD2F-F848579601B4}"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endParaRPr lang="pl-PL"/>
        </a:p>
      </dgm:t>
    </dgm:pt>
    <dgm:pt modelId="{40236DF7-C2C5-415A-ACC2-CA7C3B469FFE}">
      <dgm:prSet phldrT="[Tekst]" custT="1"/>
      <dgm:spPr/>
      <dgm:t>
        <a:bodyPr/>
        <a:lstStyle/>
        <a:p>
          <a:r>
            <a:rPr lang="pl-PL" sz="1200" b="1">
              <a:latin typeface="Times New Roman" pitchFamily="18" charset="0"/>
              <a:cs typeface="Times New Roman" pitchFamily="18" charset="0"/>
            </a:rPr>
            <a:t>PRIORYTET III</a:t>
          </a:r>
        </a:p>
        <a:p>
          <a:r>
            <a:rPr lang="pl-PL" sz="1100" b="1">
              <a:latin typeface="Times New Roman" pitchFamily="18" charset="0"/>
              <a:cs typeface="Times New Roman" pitchFamily="18" charset="0"/>
            </a:rPr>
            <a:t>308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144,62 mln EUR </a:t>
          </a:r>
          <a:r>
            <a:rPr lang="pl-PL" sz="1100" b="0">
              <a:latin typeface="Times New Roman" pitchFamily="18" charset="0"/>
              <a:cs typeface="Times New Roman" pitchFamily="18" charset="0"/>
            </a:rPr>
            <a:t>wartość </a:t>
          </a:r>
        </a:p>
        <a:p>
          <a:r>
            <a:rPr lang="pl-PL" sz="1100" b="1">
              <a:latin typeface="Times New Roman" pitchFamily="18" charset="0"/>
              <a:cs typeface="Times New Roman" pitchFamily="18" charset="0"/>
            </a:rPr>
            <a:t>69,44 mln EUR</a:t>
          </a:r>
          <a:r>
            <a:rPr lang="pl-PL" sz="1100" b="0">
              <a:latin typeface="Times New Roman" pitchFamily="18" charset="0"/>
              <a:cs typeface="Times New Roman" pitchFamily="18" charset="0"/>
            </a:rPr>
            <a:t> dofinansowanie</a:t>
          </a:r>
        </a:p>
        <a:p>
          <a:r>
            <a:rPr lang="pl-PL" sz="1100" b="1">
              <a:latin typeface="Times New Roman" pitchFamily="18" charset="0"/>
              <a:cs typeface="Times New Roman" pitchFamily="18" charset="0"/>
            </a:rPr>
            <a:t>35,71mln EUR </a:t>
          </a:r>
          <a:r>
            <a:rPr lang="pl-PL" sz="1100" b="0">
              <a:latin typeface="Times New Roman" pitchFamily="18" charset="0"/>
              <a:cs typeface="Times New Roman" pitchFamily="18" charset="0"/>
            </a:rPr>
            <a:t>płatności</a:t>
          </a:r>
        </a:p>
      </dgm:t>
    </dgm:pt>
    <dgm:pt modelId="{97E651EE-6F13-4DB7-868E-72F8B0DF72A4}" type="parTrans" cxnId="{9B2F527E-EEBA-488C-ABC5-92CC589087B0}">
      <dgm:prSet/>
      <dgm:spPr/>
      <dgm:t>
        <a:bodyPr/>
        <a:lstStyle/>
        <a:p>
          <a:endParaRPr lang="pl-PL"/>
        </a:p>
      </dgm:t>
    </dgm:pt>
    <dgm:pt modelId="{05497653-ABCB-4DE4-82D1-BC26665E4CBB}" type="sibTrans" cxnId="{9B2F527E-EEBA-488C-ABC5-92CC589087B0}">
      <dgm:prSet/>
      <dgm:spPr/>
      <dgm:t>
        <a:bodyPr/>
        <a:lstStyle/>
        <a:p>
          <a:endParaRPr lang="pl-PL"/>
        </a:p>
      </dgm:t>
    </dgm:pt>
    <dgm:pt modelId="{BA8C7145-96E0-4BDD-A3CD-75A32D4E67B6}">
      <dgm:prSet phldrT="[Tekst]" custT="1"/>
      <dgm:spPr/>
      <dgm:t>
        <a:bodyPr/>
        <a:lstStyle/>
        <a:p>
          <a:r>
            <a:rPr lang="pl-PL" sz="1200" b="1">
              <a:latin typeface="Times New Roman" pitchFamily="18" charset="0"/>
              <a:cs typeface="Times New Roman" pitchFamily="18" charset="0"/>
            </a:rPr>
            <a:t>KONKURSY</a:t>
          </a:r>
        </a:p>
        <a:p>
          <a:r>
            <a:rPr lang="pl-PL" sz="1000" b="1">
              <a:latin typeface="Times New Roman" pitchFamily="18" charset="0"/>
              <a:cs typeface="Times New Roman" pitchFamily="18" charset="0"/>
            </a:rPr>
            <a:t>252 </a:t>
          </a:r>
          <a:r>
            <a:rPr lang="pl-PL" sz="1000" b="0">
              <a:latin typeface="Times New Roman" pitchFamily="18" charset="0"/>
              <a:cs typeface="Times New Roman" pitchFamily="18" charset="0"/>
            </a:rPr>
            <a:t>umowy</a:t>
          </a:r>
        </a:p>
        <a:p>
          <a:r>
            <a:rPr lang="pl-PL" sz="1000" b="1">
              <a:latin typeface="Times New Roman" pitchFamily="18" charset="0"/>
              <a:cs typeface="Times New Roman" pitchFamily="18" charset="0"/>
            </a:rPr>
            <a:t>88,37 mln EUR </a:t>
          </a:r>
          <a:r>
            <a:rPr lang="pl-PL" sz="1000" b="0">
              <a:latin typeface="Times New Roman" pitchFamily="18" charset="0"/>
              <a:cs typeface="Times New Roman" pitchFamily="18" charset="0"/>
            </a:rPr>
            <a:t>wartość</a:t>
          </a:r>
        </a:p>
        <a:p>
          <a:r>
            <a:rPr lang="pl-PL" sz="1000" b="1">
              <a:latin typeface="Times New Roman" pitchFamily="18" charset="0"/>
              <a:cs typeface="Times New Roman" pitchFamily="18" charset="0"/>
            </a:rPr>
            <a:t>16,81 mln EUR (26%) </a:t>
          </a:r>
          <a:r>
            <a:rPr lang="pl-PL" sz="1000" b="0">
              <a:latin typeface="Times New Roman" pitchFamily="18" charset="0"/>
              <a:cs typeface="Times New Roman" pitchFamily="18" charset="0"/>
            </a:rPr>
            <a:t>dofinansowanie</a:t>
          </a:r>
        </a:p>
        <a:p>
          <a:r>
            <a:rPr lang="pl-PL" sz="1000" b="1">
              <a:latin typeface="Times New Roman" pitchFamily="18" charset="0"/>
              <a:cs typeface="Times New Roman" pitchFamily="18" charset="0"/>
            </a:rPr>
            <a:t>9,46 mln EUR </a:t>
          </a:r>
          <a:r>
            <a:rPr lang="pl-PL" sz="1000" b="0">
              <a:latin typeface="Times New Roman" pitchFamily="18" charset="0"/>
              <a:cs typeface="Times New Roman" pitchFamily="18" charset="0"/>
            </a:rPr>
            <a:t>płatności</a:t>
          </a:r>
        </a:p>
      </dgm:t>
    </dgm:pt>
    <dgm:pt modelId="{815BEDA5-3647-4D45-88B1-F0A53F963A58}" type="parTrans" cxnId="{A0B40DB7-FA63-48AD-A6FD-1391A60CB94B}">
      <dgm:prSet/>
      <dgm:spPr/>
      <dgm:t>
        <a:bodyPr/>
        <a:lstStyle/>
        <a:p>
          <a:endParaRPr lang="pl-PL"/>
        </a:p>
      </dgm:t>
    </dgm:pt>
    <dgm:pt modelId="{C4CAD21F-1F33-4439-937C-36838C98EE77}" type="sibTrans" cxnId="{A0B40DB7-FA63-48AD-A6FD-1391A60CB94B}">
      <dgm:prSet/>
      <dgm:spPr/>
      <dgm:t>
        <a:bodyPr/>
        <a:lstStyle/>
        <a:p>
          <a:endParaRPr lang="pl-PL"/>
        </a:p>
      </dgm:t>
    </dgm:pt>
    <dgm:pt modelId="{4FAD41D2-87BA-4851-8945-34A809D11451}">
      <dgm:prSet phldrT="[Tekst]" custT="1"/>
      <dgm:spPr/>
      <dgm:t>
        <a:bodyPr/>
        <a:lstStyle/>
        <a:p>
          <a:r>
            <a:rPr lang="pl-PL" sz="1200" b="1">
              <a:latin typeface="Times New Roman" pitchFamily="18" charset="0"/>
              <a:cs typeface="Times New Roman" pitchFamily="18" charset="0"/>
            </a:rPr>
            <a:t>PRS</a:t>
          </a:r>
        </a:p>
        <a:p>
          <a:r>
            <a:rPr lang="pl-PL" sz="1000" b="1">
              <a:latin typeface="Times New Roman" pitchFamily="18" charset="0"/>
              <a:cs typeface="Times New Roman" pitchFamily="18" charset="0"/>
            </a:rPr>
            <a:t>28 </a:t>
          </a:r>
          <a:r>
            <a:rPr lang="pl-PL" sz="1000" b="0">
              <a:latin typeface="Times New Roman" pitchFamily="18" charset="0"/>
              <a:cs typeface="Times New Roman" pitchFamily="18" charset="0"/>
            </a:rPr>
            <a:t>umów </a:t>
          </a:r>
        </a:p>
        <a:p>
          <a:r>
            <a:rPr lang="pl-PL" sz="1000" b="1">
              <a:latin typeface="Times New Roman" pitchFamily="18" charset="0"/>
              <a:cs typeface="Times New Roman" pitchFamily="18" charset="0"/>
            </a:rPr>
            <a:t>8,09 mln EUR </a:t>
          </a:r>
          <a:r>
            <a:rPr lang="pl-PL" sz="1000" b="0">
              <a:latin typeface="Times New Roman" pitchFamily="18" charset="0"/>
              <a:cs typeface="Times New Roman" pitchFamily="18" charset="0"/>
            </a:rPr>
            <a:t>wartość</a:t>
          </a:r>
        </a:p>
        <a:p>
          <a:r>
            <a:rPr lang="pl-PL" sz="1000" b="1">
              <a:latin typeface="Times New Roman" pitchFamily="18" charset="0"/>
              <a:cs typeface="Times New Roman" pitchFamily="18" charset="0"/>
            </a:rPr>
            <a:t>20,72 mln EUR (80%) </a:t>
          </a:r>
          <a:r>
            <a:rPr lang="pl-PL" sz="1000" b="0">
              <a:latin typeface="Times New Roman" pitchFamily="18" charset="0"/>
              <a:cs typeface="Times New Roman" pitchFamily="18" charset="0"/>
            </a:rPr>
            <a:t>dofinansowanie</a:t>
          </a:r>
        </a:p>
        <a:p>
          <a:r>
            <a:rPr lang="pl-PL" sz="1000" b="1">
              <a:latin typeface="Times New Roman" pitchFamily="18" charset="0"/>
              <a:cs typeface="Times New Roman" pitchFamily="18" charset="0"/>
            </a:rPr>
            <a:t>4,67 mln EUR </a:t>
          </a:r>
          <a:r>
            <a:rPr lang="pl-PL" sz="1000" b="0">
              <a:latin typeface="Times New Roman" pitchFamily="18" charset="0"/>
              <a:cs typeface="Times New Roman" pitchFamily="18" charset="0"/>
            </a:rPr>
            <a:t>płatności</a:t>
          </a:r>
        </a:p>
      </dgm:t>
    </dgm:pt>
    <dgm:pt modelId="{85481FE8-EB71-4EE6-8EAE-954F42B95524}" type="parTrans" cxnId="{17BE05F7-D2E9-4D74-AA08-B13D726E014F}">
      <dgm:prSet/>
      <dgm:spPr/>
      <dgm:t>
        <a:bodyPr/>
        <a:lstStyle/>
        <a:p>
          <a:endParaRPr lang="pl-PL"/>
        </a:p>
      </dgm:t>
    </dgm:pt>
    <dgm:pt modelId="{44D71F0D-2F97-43F6-9305-2020FA0F11F3}" type="sibTrans" cxnId="{17BE05F7-D2E9-4D74-AA08-B13D726E014F}">
      <dgm:prSet/>
      <dgm:spPr/>
      <dgm:t>
        <a:bodyPr/>
        <a:lstStyle/>
        <a:p>
          <a:endParaRPr lang="pl-PL"/>
        </a:p>
      </dgm:t>
    </dgm:pt>
    <dgm:pt modelId="{1BE09E7D-1C38-46D6-A72B-F5195520E2B4}">
      <dgm:prSet custT="1"/>
      <dgm:spPr/>
      <dgm:t>
        <a:bodyPr/>
        <a:lstStyle/>
        <a:p>
          <a:r>
            <a:rPr lang="pl-PL" sz="1200" b="1">
              <a:latin typeface="Times New Roman" pitchFamily="18" charset="0"/>
              <a:cs typeface="Times New Roman" pitchFamily="18" charset="0"/>
            </a:rPr>
            <a:t>PK</a:t>
          </a:r>
        </a:p>
        <a:p>
          <a:r>
            <a:rPr lang="pl-PL" sz="1000" b="1">
              <a:latin typeface="Times New Roman" pitchFamily="18" charset="0"/>
              <a:cs typeface="Times New Roman" pitchFamily="18" charset="0"/>
            </a:rPr>
            <a:t>28</a:t>
          </a:r>
          <a:r>
            <a:rPr lang="pl-PL" sz="1000" b="0">
              <a:latin typeface="Times New Roman" pitchFamily="18" charset="0"/>
              <a:cs typeface="Times New Roman" pitchFamily="18" charset="0"/>
            </a:rPr>
            <a:t> umów </a:t>
          </a:r>
        </a:p>
        <a:p>
          <a:r>
            <a:rPr lang="pl-PL" sz="1000" b="0">
              <a:latin typeface="Times New Roman" pitchFamily="18" charset="0"/>
              <a:cs typeface="Times New Roman" pitchFamily="18" charset="0"/>
            </a:rPr>
            <a:t> </a:t>
          </a:r>
          <a:r>
            <a:rPr lang="pl-PL" sz="1000" b="1">
              <a:latin typeface="Times New Roman" pitchFamily="18" charset="0"/>
              <a:cs typeface="Times New Roman" pitchFamily="18" charset="0"/>
            </a:rPr>
            <a:t>48,16 mln EUR </a:t>
          </a:r>
          <a:r>
            <a:rPr lang="pl-PL" sz="1000" b="0">
              <a:latin typeface="Times New Roman" pitchFamily="18" charset="0"/>
              <a:cs typeface="Times New Roman" pitchFamily="18" charset="0"/>
            </a:rPr>
            <a:t>wartość</a:t>
          </a:r>
        </a:p>
        <a:p>
          <a:r>
            <a:rPr lang="pl-PL" sz="1000" b="1">
              <a:latin typeface="Times New Roman" pitchFamily="18" charset="0"/>
              <a:cs typeface="Times New Roman" pitchFamily="18" charset="0"/>
            </a:rPr>
            <a:t>31,91mln EUR (87%) </a:t>
          </a:r>
          <a:r>
            <a:rPr lang="pl-PL" sz="1000" b="0">
              <a:latin typeface="Times New Roman" pitchFamily="18" charset="0"/>
              <a:cs typeface="Times New Roman" pitchFamily="18" charset="0"/>
            </a:rPr>
            <a:t>dofinansowanie</a:t>
          </a:r>
        </a:p>
        <a:p>
          <a:r>
            <a:rPr lang="pl-PL" sz="1000" b="1">
              <a:latin typeface="Times New Roman" pitchFamily="18" charset="0"/>
              <a:cs typeface="Times New Roman" pitchFamily="18" charset="0"/>
            </a:rPr>
            <a:t>21,58 mln EUR </a:t>
          </a:r>
          <a:r>
            <a:rPr lang="pl-PL" sz="1000" b="0">
              <a:latin typeface="Times New Roman" pitchFamily="18" charset="0"/>
              <a:cs typeface="Times New Roman" pitchFamily="18" charset="0"/>
            </a:rPr>
            <a:t>płatności</a:t>
          </a:r>
          <a:endParaRPr lang="pl-PL" sz="1000" b="0"/>
        </a:p>
      </dgm:t>
    </dgm:pt>
    <dgm:pt modelId="{452BD27D-ED27-4E37-A193-18827BD62023}" type="parTrans" cxnId="{3D0A3D58-2F8D-4F91-84DF-4E241F1245BF}">
      <dgm:prSet/>
      <dgm:spPr/>
      <dgm:t>
        <a:bodyPr/>
        <a:lstStyle/>
        <a:p>
          <a:endParaRPr lang="pl-PL"/>
        </a:p>
      </dgm:t>
    </dgm:pt>
    <dgm:pt modelId="{34F2C59C-28F5-4C34-B5DF-3CE414633D74}" type="sibTrans" cxnId="{3D0A3D58-2F8D-4F91-84DF-4E241F1245BF}">
      <dgm:prSet/>
      <dgm:spPr/>
      <dgm:t>
        <a:bodyPr/>
        <a:lstStyle/>
        <a:p>
          <a:endParaRPr lang="pl-PL"/>
        </a:p>
      </dgm:t>
    </dgm:pt>
    <dgm:pt modelId="{09BED3D6-FC0D-44EA-807E-86647DEF45CE}" type="pres">
      <dgm:prSet presAssocID="{D9B596A5-798B-4F41-AD2F-F848579601B4}" presName="hierChild1" presStyleCnt="0">
        <dgm:presLayoutVars>
          <dgm:chPref val="1"/>
          <dgm:dir/>
          <dgm:animOne val="branch"/>
          <dgm:animLvl val="lvl"/>
          <dgm:resizeHandles/>
        </dgm:presLayoutVars>
      </dgm:prSet>
      <dgm:spPr/>
      <dgm:t>
        <a:bodyPr/>
        <a:lstStyle/>
        <a:p>
          <a:endParaRPr lang="pl-PL"/>
        </a:p>
      </dgm:t>
    </dgm:pt>
    <dgm:pt modelId="{31129675-4B43-450A-A0DB-BC4BC7B3336F}" type="pres">
      <dgm:prSet presAssocID="{40236DF7-C2C5-415A-ACC2-CA7C3B469FFE}" presName="hierRoot1" presStyleCnt="0"/>
      <dgm:spPr/>
    </dgm:pt>
    <dgm:pt modelId="{F5E193BA-0AF3-4113-81F2-43F9934057EC}" type="pres">
      <dgm:prSet presAssocID="{40236DF7-C2C5-415A-ACC2-CA7C3B469FFE}" presName="composite" presStyleCnt="0"/>
      <dgm:spPr/>
    </dgm:pt>
    <dgm:pt modelId="{BF62D4FE-EA64-49E2-8232-8039E1E81435}" type="pres">
      <dgm:prSet presAssocID="{40236DF7-C2C5-415A-ACC2-CA7C3B469FFE}" presName="background" presStyleLbl="node0" presStyleIdx="0" presStyleCnt="1"/>
      <dgm:spPr/>
    </dgm:pt>
    <dgm:pt modelId="{2B75CD9B-75AC-469E-A566-F7D66F856908}" type="pres">
      <dgm:prSet presAssocID="{40236DF7-C2C5-415A-ACC2-CA7C3B469FFE}" presName="text" presStyleLbl="fgAcc0" presStyleIdx="0" presStyleCnt="1" custScaleX="205010" custScaleY="134163" custLinFactNeighborX="-625">
        <dgm:presLayoutVars>
          <dgm:chPref val="3"/>
        </dgm:presLayoutVars>
      </dgm:prSet>
      <dgm:spPr/>
      <dgm:t>
        <a:bodyPr/>
        <a:lstStyle/>
        <a:p>
          <a:endParaRPr lang="pl-PL"/>
        </a:p>
      </dgm:t>
    </dgm:pt>
    <dgm:pt modelId="{8BB401F7-E0FA-458A-9E13-4617B0ACF7A6}" type="pres">
      <dgm:prSet presAssocID="{40236DF7-C2C5-415A-ACC2-CA7C3B469FFE}" presName="hierChild2" presStyleCnt="0"/>
      <dgm:spPr/>
    </dgm:pt>
    <dgm:pt modelId="{2A551095-1900-4D96-ACFD-9E74E765AD33}" type="pres">
      <dgm:prSet presAssocID="{815BEDA5-3647-4D45-88B1-F0A53F963A58}" presName="Name10" presStyleLbl="parChTrans1D2" presStyleIdx="0" presStyleCnt="3"/>
      <dgm:spPr/>
      <dgm:t>
        <a:bodyPr/>
        <a:lstStyle/>
        <a:p>
          <a:endParaRPr lang="pl-PL"/>
        </a:p>
      </dgm:t>
    </dgm:pt>
    <dgm:pt modelId="{69682B22-1A56-454F-846E-A2CD576C0246}" type="pres">
      <dgm:prSet presAssocID="{BA8C7145-96E0-4BDD-A3CD-75A32D4E67B6}" presName="hierRoot2" presStyleCnt="0"/>
      <dgm:spPr/>
    </dgm:pt>
    <dgm:pt modelId="{A617C3D9-C3F9-4E57-962A-635D8EADD3FD}" type="pres">
      <dgm:prSet presAssocID="{BA8C7145-96E0-4BDD-A3CD-75A32D4E67B6}" presName="composite2" presStyleCnt="0"/>
      <dgm:spPr/>
    </dgm:pt>
    <dgm:pt modelId="{2B06B423-2E98-4C1C-BB14-8CFB3FAC68C0}" type="pres">
      <dgm:prSet presAssocID="{BA8C7145-96E0-4BDD-A3CD-75A32D4E67B6}" presName="background2" presStyleLbl="node2" presStyleIdx="0" presStyleCnt="3"/>
      <dgm:spPr/>
    </dgm:pt>
    <dgm:pt modelId="{BF04710E-19CD-41F0-9DF3-DF17AD83F590}" type="pres">
      <dgm:prSet presAssocID="{BA8C7145-96E0-4BDD-A3CD-75A32D4E67B6}" presName="text2" presStyleLbl="fgAcc2" presStyleIdx="0" presStyleCnt="3" custScaleX="127916" custScaleY="131894">
        <dgm:presLayoutVars>
          <dgm:chPref val="3"/>
        </dgm:presLayoutVars>
      </dgm:prSet>
      <dgm:spPr/>
      <dgm:t>
        <a:bodyPr/>
        <a:lstStyle/>
        <a:p>
          <a:endParaRPr lang="pl-PL"/>
        </a:p>
      </dgm:t>
    </dgm:pt>
    <dgm:pt modelId="{9EEC74EC-0C4D-49BC-9D7A-7EBBD1A80384}" type="pres">
      <dgm:prSet presAssocID="{BA8C7145-96E0-4BDD-A3CD-75A32D4E67B6}" presName="hierChild3" presStyleCnt="0"/>
      <dgm:spPr/>
    </dgm:pt>
    <dgm:pt modelId="{CB86E8F4-1233-497D-B879-79927E39CB38}" type="pres">
      <dgm:prSet presAssocID="{452BD27D-ED27-4E37-A193-18827BD62023}" presName="Name10" presStyleLbl="parChTrans1D2" presStyleIdx="1" presStyleCnt="3"/>
      <dgm:spPr/>
      <dgm:t>
        <a:bodyPr/>
        <a:lstStyle/>
        <a:p>
          <a:endParaRPr lang="pl-PL"/>
        </a:p>
      </dgm:t>
    </dgm:pt>
    <dgm:pt modelId="{C3573B5E-4EBD-435A-A0AB-9B89709A3E31}" type="pres">
      <dgm:prSet presAssocID="{1BE09E7D-1C38-46D6-A72B-F5195520E2B4}" presName="hierRoot2" presStyleCnt="0"/>
      <dgm:spPr/>
    </dgm:pt>
    <dgm:pt modelId="{3C147455-2A0A-4B43-903B-B0BAC8571CFD}" type="pres">
      <dgm:prSet presAssocID="{1BE09E7D-1C38-46D6-A72B-F5195520E2B4}" presName="composite2" presStyleCnt="0"/>
      <dgm:spPr/>
    </dgm:pt>
    <dgm:pt modelId="{567789D0-8F0E-4276-A762-C5426E109BD7}" type="pres">
      <dgm:prSet presAssocID="{1BE09E7D-1C38-46D6-A72B-F5195520E2B4}" presName="background2" presStyleLbl="node2" presStyleIdx="1" presStyleCnt="3"/>
      <dgm:spPr/>
    </dgm:pt>
    <dgm:pt modelId="{42847E85-4227-4A80-90A2-C1965907F459}" type="pres">
      <dgm:prSet presAssocID="{1BE09E7D-1C38-46D6-A72B-F5195520E2B4}" presName="text2" presStyleLbl="fgAcc2" presStyleIdx="1" presStyleCnt="3" custScaleX="113347" custScaleY="146816">
        <dgm:presLayoutVars>
          <dgm:chPref val="3"/>
        </dgm:presLayoutVars>
      </dgm:prSet>
      <dgm:spPr/>
      <dgm:t>
        <a:bodyPr/>
        <a:lstStyle/>
        <a:p>
          <a:endParaRPr lang="pl-PL"/>
        </a:p>
      </dgm:t>
    </dgm:pt>
    <dgm:pt modelId="{2C4F99EE-EA6C-498A-BDF8-7D2429A37023}" type="pres">
      <dgm:prSet presAssocID="{1BE09E7D-1C38-46D6-A72B-F5195520E2B4}" presName="hierChild3" presStyleCnt="0"/>
      <dgm:spPr/>
    </dgm:pt>
    <dgm:pt modelId="{FEE42C7D-82FB-4FBA-9AB9-43B672FF0AD0}" type="pres">
      <dgm:prSet presAssocID="{85481FE8-EB71-4EE6-8EAE-954F42B95524}" presName="Name10" presStyleLbl="parChTrans1D2" presStyleIdx="2" presStyleCnt="3"/>
      <dgm:spPr/>
      <dgm:t>
        <a:bodyPr/>
        <a:lstStyle/>
        <a:p>
          <a:endParaRPr lang="pl-PL"/>
        </a:p>
      </dgm:t>
    </dgm:pt>
    <dgm:pt modelId="{5E09042A-98DF-4F58-9CDF-FE292875F8A0}" type="pres">
      <dgm:prSet presAssocID="{4FAD41D2-87BA-4851-8945-34A809D11451}" presName="hierRoot2" presStyleCnt="0"/>
      <dgm:spPr/>
    </dgm:pt>
    <dgm:pt modelId="{B6D5A2FD-EE54-40EB-AD8C-39378C917846}" type="pres">
      <dgm:prSet presAssocID="{4FAD41D2-87BA-4851-8945-34A809D11451}" presName="composite2" presStyleCnt="0"/>
      <dgm:spPr/>
    </dgm:pt>
    <dgm:pt modelId="{DCC235DF-4F14-4BF4-B1F1-93023C721E72}" type="pres">
      <dgm:prSet presAssocID="{4FAD41D2-87BA-4851-8945-34A809D11451}" presName="background2" presStyleLbl="node2" presStyleIdx="2" presStyleCnt="3"/>
      <dgm:spPr/>
    </dgm:pt>
    <dgm:pt modelId="{122B4FAF-F0B9-4835-96F3-326424C825F2}" type="pres">
      <dgm:prSet presAssocID="{4FAD41D2-87BA-4851-8945-34A809D11451}" presName="text2" presStyleLbl="fgAcc2" presStyleIdx="2" presStyleCnt="3" custScaleX="112280" custScaleY="142327">
        <dgm:presLayoutVars>
          <dgm:chPref val="3"/>
        </dgm:presLayoutVars>
      </dgm:prSet>
      <dgm:spPr/>
      <dgm:t>
        <a:bodyPr/>
        <a:lstStyle/>
        <a:p>
          <a:endParaRPr lang="pl-PL"/>
        </a:p>
      </dgm:t>
    </dgm:pt>
    <dgm:pt modelId="{7E024528-56F8-4029-BB28-2C15832D9316}" type="pres">
      <dgm:prSet presAssocID="{4FAD41D2-87BA-4851-8945-34A809D11451}" presName="hierChild3" presStyleCnt="0"/>
      <dgm:spPr/>
    </dgm:pt>
  </dgm:ptLst>
  <dgm:cxnLst>
    <dgm:cxn modelId="{71F5DD1C-D75B-4B0C-9C07-294A7DB181EC}" type="presOf" srcId="{D9B596A5-798B-4F41-AD2F-F848579601B4}" destId="{09BED3D6-FC0D-44EA-807E-86647DEF45CE}" srcOrd="0" destOrd="0" presId="urn:microsoft.com/office/officeart/2005/8/layout/hierarchy1"/>
    <dgm:cxn modelId="{F2C14F7F-486C-45D1-9D75-7B5746A184AC}" type="presOf" srcId="{BA8C7145-96E0-4BDD-A3CD-75A32D4E67B6}" destId="{BF04710E-19CD-41F0-9DF3-DF17AD83F590}" srcOrd="0" destOrd="0" presId="urn:microsoft.com/office/officeart/2005/8/layout/hierarchy1"/>
    <dgm:cxn modelId="{ED2DDD76-9A0F-4DDA-832F-1E3B9967B782}" type="presOf" srcId="{4FAD41D2-87BA-4851-8945-34A809D11451}" destId="{122B4FAF-F0B9-4835-96F3-326424C825F2}" srcOrd="0" destOrd="0" presId="urn:microsoft.com/office/officeart/2005/8/layout/hierarchy1"/>
    <dgm:cxn modelId="{27FF9F6D-5BEA-41D5-B5DC-CE77D2EE1892}" type="presOf" srcId="{40236DF7-C2C5-415A-ACC2-CA7C3B469FFE}" destId="{2B75CD9B-75AC-469E-A566-F7D66F856908}" srcOrd="0" destOrd="0" presId="urn:microsoft.com/office/officeart/2005/8/layout/hierarchy1"/>
    <dgm:cxn modelId="{2091E245-0D20-4AF1-91D5-97284D9433EE}" type="presOf" srcId="{815BEDA5-3647-4D45-88B1-F0A53F963A58}" destId="{2A551095-1900-4D96-ACFD-9E74E765AD33}" srcOrd="0" destOrd="0" presId="urn:microsoft.com/office/officeart/2005/8/layout/hierarchy1"/>
    <dgm:cxn modelId="{A0B40DB7-FA63-48AD-A6FD-1391A60CB94B}" srcId="{40236DF7-C2C5-415A-ACC2-CA7C3B469FFE}" destId="{BA8C7145-96E0-4BDD-A3CD-75A32D4E67B6}" srcOrd="0" destOrd="0" parTransId="{815BEDA5-3647-4D45-88B1-F0A53F963A58}" sibTransId="{C4CAD21F-1F33-4439-937C-36838C98EE77}"/>
    <dgm:cxn modelId="{9B2F527E-EEBA-488C-ABC5-92CC589087B0}" srcId="{D9B596A5-798B-4F41-AD2F-F848579601B4}" destId="{40236DF7-C2C5-415A-ACC2-CA7C3B469FFE}" srcOrd="0" destOrd="0" parTransId="{97E651EE-6F13-4DB7-868E-72F8B0DF72A4}" sibTransId="{05497653-ABCB-4DE4-82D1-BC26665E4CBB}"/>
    <dgm:cxn modelId="{765B6DE0-1388-4E23-BAA7-ABAA4FAC3DD9}" type="presOf" srcId="{452BD27D-ED27-4E37-A193-18827BD62023}" destId="{CB86E8F4-1233-497D-B879-79927E39CB38}" srcOrd="0" destOrd="0" presId="urn:microsoft.com/office/officeart/2005/8/layout/hierarchy1"/>
    <dgm:cxn modelId="{6FDE96C9-98C8-4823-AF92-00CDD6672663}" type="presOf" srcId="{1BE09E7D-1C38-46D6-A72B-F5195520E2B4}" destId="{42847E85-4227-4A80-90A2-C1965907F459}" srcOrd="0" destOrd="0" presId="urn:microsoft.com/office/officeart/2005/8/layout/hierarchy1"/>
    <dgm:cxn modelId="{3D0A3D58-2F8D-4F91-84DF-4E241F1245BF}" srcId="{40236DF7-C2C5-415A-ACC2-CA7C3B469FFE}" destId="{1BE09E7D-1C38-46D6-A72B-F5195520E2B4}" srcOrd="1" destOrd="0" parTransId="{452BD27D-ED27-4E37-A193-18827BD62023}" sibTransId="{34F2C59C-28F5-4C34-B5DF-3CE414633D74}"/>
    <dgm:cxn modelId="{C662E158-0C9A-4011-B5AA-FACA84FB509A}" type="presOf" srcId="{85481FE8-EB71-4EE6-8EAE-954F42B95524}" destId="{FEE42C7D-82FB-4FBA-9AB9-43B672FF0AD0}" srcOrd="0" destOrd="0" presId="urn:microsoft.com/office/officeart/2005/8/layout/hierarchy1"/>
    <dgm:cxn modelId="{17BE05F7-D2E9-4D74-AA08-B13D726E014F}" srcId="{40236DF7-C2C5-415A-ACC2-CA7C3B469FFE}" destId="{4FAD41D2-87BA-4851-8945-34A809D11451}" srcOrd="2" destOrd="0" parTransId="{85481FE8-EB71-4EE6-8EAE-954F42B95524}" sibTransId="{44D71F0D-2F97-43F6-9305-2020FA0F11F3}"/>
    <dgm:cxn modelId="{271EFFEF-6457-4DBE-BF9D-C1AB4C1D70B9}" type="presParOf" srcId="{09BED3D6-FC0D-44EA-807E-86647DEF45CE}" destId="{31129675-4B43-450A-A0DB-BC4BC7B3336F}" srcOrd="0" destOrd="0" presId="urn:microsoft.com/office/officeart/2005/8/layout/hierarchy1"/>
    <dgm:cxn modelId="{E4F5FAE8-7977-47C4-9F52-21BB05D4A0FC}" type="presParOf" srcId="{31129675-4B43-450A-A0DB-BC4BC7B3336F}" destId="{F5E193BA-0AF3-4113-81F2-43F9934057EC}" srcOrd="0" destOrd="0" presId="urn:microsoft.com/office/officeart/2005/8/layout/hierarchy1"/>
    <dgm:cxn modelId="{8C514495-6EF1-4A19-93DA-5714D3BEE03F}" type="presParOf" srcId="{F5E193BA-0AF3-4113-81F2-43F9934057EC}" destId="{BF62D4FE-EA64-49E2-8232-8039E1E81435}" srcOrd="0" destOrd="0" presId="urn:microsoft.com/office/officeart/2005/8/layout/hierarchy1"/>
    <dgm:cxn modelId="{4E53F54A-666F-464B-9C47-1804F7599DCE}" type="presParOf" srcId="{F5E193BA-0AF3-4113-81F2-43F9934057EC}" destId="{2B75CD9B-75AC-469E-A566-F7D66F856908}" srcOrd="1" destOrd="0" presId="urn:microsoft.com/office/officeart/2005/8/layout/hierarchy1"/>
    <dgm:cxn modelId="{35C5C212-C71E-476A-A306-07F37FB6590A}" type="presParOf" srcId="{31129675-4B43-450A-A0DB-BC4BC7B3336F}" destId="{8BB401F7-E0FA-458A-9E13-4617B0ACF7A6}" srcOrd="1" destOrd="0" presId="urn:microsoft.com/office/officeart/2005/8/layout/hierarchy1"/>
    <dgm:cxn modelId="{F10ACAC6-AF34-4C93-BF0E-6870DE233BD4}" type="presParOf" srcId="{8BB401F7-E0FA-458A-9E13-4617B0ACF7A6}" destId="{2A551095-1900-4D96-ACFD-9E74E765AD33}" srcOrd="0" destOrd="0" presId="urn:microsoft.com/office/officeart/2005/8/layout/hierarchy1"/>
    <dgm:cxn modelId="{B6E11206-21E1-4CD6-8CC2-6110430A75AC}" type="presParOf" srcId="{8BB401F7-E0FA-458A-9E13-4617B0ACF7A6}" destId="{69682B22-1A56-454F-846E-A2CD576C0246}" srcOrd="1" destOrd="0" presId="urn:microsoft.com/office/officeart/2005/8/layout/hierarchy1"/>
    <dgm:cxn modelId="{73395567-5CF0-45E1-8027-94F099D8D645}" type="presParOf" srcId="{69682B22-1A56-454F-846E-A2CD576C0246}" destId="{A617C3D9-C3F9-4E57-962A-635D8EADD3FD}" srcOrd="0" destOrd="0" presId="urn:microsoft.com/office/officeart/2005/8/layout/hierarchy1"/>
    <dgm:cxn modelId="{6AE40028-4D0E-40BC-B35A-CAE24FF8080B}" type="presParOf" srcId="{A617C3D9-C3F9-4E57-962A-635D8EADD3FD}" destId="{2B06B423-2E98-4C1C-BB14-8CFB3FAC68C0}" srcOrd="0" destOrd="0" presId="urn:microsoft.com/office/officeart/2005/8/layout/hierarchy1"/>
    <dgm:cxn modelId="{777A67E4-30BB-489A-87FC-A1B3BB62F3ED}" type="presParOf" srcId="{A617C3D9-C3F9-4E57-962A-635D8EADD3FD}" destId="{BF04710E-19CD-41F0-9DF3-DF17AD83F590}" srcOrd="1" destOrd="0" presId="urn:microsoft.com/office/officeart/2005/8/layout/hierarchy1"/>
    <dgm:cxn modelId="{5F9A5837-43B9-4AEF-91D8-B2A442AC72A0}" type="presParOf" srcId="{69682B22-1A56-454F-846E-A2CD576C0246}" destId="{9EEC74EC-0C4D-49BC-9D7A-7EBBD1A80384}" srcOrd="1" destOrd="0" presId="urn:microsoft.com/office/officeart/2005/8/layout/hierarchy1"/>
    <dgm:cxn modelId="{82B0E180-8D09-474B-9CA6-0B0E90CC014F}" type="presParOf" srcId="{8BB401F7-E0FA-458A-9E13-4617B0ACF7A6}" destId="{CB86E8F4-1233-497D-B879-79927E39CB38}" srcOrd="2" destOrd="0" presId="urn:microsoft.com/office/officeart/2005/8/layout/hierarchy1"/>
    <dgm:cxn modelId="{5A042379-AFBF-4ECF-BBB9-61E3D527D1F4}" type="presParOf" srcId="{8BB401F7-E0FA-458A-9E13-4617B0ACF7A6}" destId="{C3573B5E-4EBD-435A-A0AB-9B89709A3E31}" srcOrd="3" destOrd="0" presId="urn:microsoft.com/office/officeart/2005/8/layout/hierarchy1"/>
    <dgm:cxn modelId="{B88DCAAD-2CAA-4D4A-897B-B34DC0F98296}" type="presParOf" srcId="{C3573B5E-4EBD-435A-A0AB-9B89709A3E31}" destId="{3C147455-2A0A-4B43-903B-B0BAC8571CFD}" srcOrd="0" destOrd="0" presId="urn:microsoft.com/office/officeart/2005/8/layout/hierarchy1"/>
    <dgm:cxn modelId="{848C6F7E-EED2-4218-AD71-8A65C9F37E93}" type="presParOf" srcId="{3C147455-2A0A-4B43-903B-B0BAC8571CFD}" destId="{567789D0-8F0E-4276-A762-C5426E109BD7}" srcOrd="0" destOrd="0" presId="urn:microsoft.com/office/officeart/2005/8/layout/hierarchy1"/>
    <dgm:cxn modelId="{697A2FD6-F9E2-4D4B-9334-4D2F13BFB0CE}" type="presParOf" srcId="{3C147455-2A0A-4B43-903B-B0BAC8571CFD}" destId="{42847E85-4227-4A80-90A2-C1965907F459}" srcOrd="1" destOrd="0" presId="urn:microsoft.com/office/officeart/2005/8/layout/hierarchy1"/>
    <dgm:cxn modelId="{53549569-2A90-4D86-9FFB-D06DF1FF76D9}" type="presParOf" srcId="{C3573B5E-4EBD-435A-A0AB-9B89709A3E31}" destId="{2C4F99EE-EA6C-498A-BDF8-7D2429A37023}" srcOrd="1" destOrd="0" presId="urn:microsoft.com/office/officeart/2005/8/layout/hierarchy1"/>
    <dgm:cxn modelId="{C2D06F37-F544-4F2B-A631-5FA7729B56A2}" type="presParOf" srcId="{8BB401F7-E0FA-458A-9E13-4617B0ACF7A6}" destId="{FEE42C7D-82FB-4FBA-9AB9-43B672FF0AD0}" srcOrd="4" destOrd="0" presId="urn:microsoft.com/office/officeart/2005/8/layout/hierarchy1"/>
    <dgm:cxn modelId="{AACA1747-6A1E-440B-87B7-07F7932989CD}" type="presParOf" srcId="{8BB401F7-E0FA-458A-9E13-4617B0ACF7A6}" destId="{5E09042A-98DF-4F58-9CDF-FE292875F8A0}" srcOrd="5" destOrd="0" presId="urn:microsoft.com/office/officeart/2005/8/layout/hierarchy1"/>
    <dgm:cxn modelId="{E5B77AB9-F94B-439A-A076-15F8534BE42C}" type="presParOf" srcId="{5E09042A-98DF-4F58-9CDF-FE292875F8A0}" destId="{B6D5A2FD-EE54-40EB-AD8C-39378C917846}" srcOrd="0" destOrd="0" presId="urn:microsoft.com/office/officeart/2005/8/layout/hierarchy1"/>
    <dgm:cxn modelId="{3C805258-D9E2-474B-BA67-5A36BD79FE41}" type="presParOf" srcId="{B6D5A2FD-EE54-40EB-AD8C-39378C917846}" destId="{DCC235DF-4F14-4BF4-B1F1-93023C721E72}" srcOrd="0" destOrd="0" presId="urn:microsoft.com/office/officeart/2005/8/layout/hierarchy1"/>
    <dgm:cxn modelId="{DCDE62B1-D9C0-4EAA-9A9E-4746677036CE}" type="presParOf" srcId="{B6D5A2FD-EE54-40EB-AD8C-39378C917846}" destId="{122B4FAF-F0B9-4835-96F3-326424C825F2}" srcOrd="1" destOrd="0" presId="urn:microsoft.com/office/officeart/2005/8/layout/hierarchy1"/>
    <dgm:cxn modelId="{9BDA7134-E464-4C09-9FF5-7E8E8B528F54}" type="presParOf" srcId="{5E09042A-98DF-4F58-9CDF-FE292875F8A0}" destId="{7E024528-56F8-4029-BB28-2C15832D9316}" srcOrd="1" destOrd="0" presId="urn:microsoft.com/office/officeart/2005/8/layout/hierarchy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9B596A5-798B-4F41-AD2F-F848579601B4}"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endParaRPr lang="pl-PL"/>
        </a:p>
      </dgm:t>
    </dgm:pt>
    <dgm:pt modelId="{40236DF7-C2C5-415A-ACC2-CA7C3B469FFE}">
      <dgm:prSet phldrT="[Tekst]" custT="1"/>
      <dgm:spPr/>
      <dgm:t>
        <a:bodyPr/>
        <a:lstStyle/>
        <a:p>
          <a:r>
            <a:rPr lang="pl-PL" sz="1200" b="1">
              <a:latin typeface="Times New Roman" pitchFamily="18" charset="0"/>
              <a:cs typeface="Times New Roman" pitchFamily="18" charset="0"/>
            </a:rPr>
            <a:t>PRIORYTET IV</a:t>
          </a:r>
        </a:p>
        <a:p>
          <a:r>
            <a:rPr lang="pl-PL" sz="1100" b="1">
              <a:latin typeface="Times New Roman" pitchFamily="18" charset="0"/>
              <a:cs typeface="Times New Roman" pitchFamily="18" charset="0"/>
            </a:rPr>
            <a:t>126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60,44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45,93 mln EUR </a:t>
          </a:r>
          <a:r>
            <a:rPr lang="pl-PL" sz="1100" b="0">
              <a:latin typeface="Times New Roman" pitchFamily="18" charset="0"/>
              <a:cs typeface="Times New Roman" pitchFamily="18" charset="0"/>
            </a:rPr>
            <a:t>dofinansowanie</a:t>
          </a:r>
        </a:p>
        <a:p>
          <a:r>
            <a:rPr lang="pl-PL" sz="1100" b="1">
              <a:latin typeface="Times New Roman" pitchFamily="18" charset="0"/>
              <a:cs typeface="Times New Roman" pitchFamily="18" charset="0"/>
            </a:rPr>
            <a:t>31,39 mln EUR </a:t>
          </a:r>
          <a:r>
            <a:rPr lang="pl-PL" sz="1100" b="0">
              <a:latin typeface="Times New Roman" pitchFamily="18" charset="0"/>
              <a:cs typeface="Times New Roman" pitchFamily="18" charset="0"/>
            </a:rPr>
            <a:t>płatności</a:t>
          </a:r>
        </a:p>
      </dgm:t>
    </dgm:pt>
    <dgm:pt modelId="{97E651EE-6F13-4DB7-868E-72F8B0DF72A4}" type="parTrans" cxnId="{9B2F527E-EEBA-488C-ABC5-92CC589087B0}">
      <dgm:prSet/>
      <dgm:spPr/>
      <dgm:t>
        <a:bodyPr/>
        <a:lstStyle/>
        <a:p>
          <a:endParaRPr lang="pl-PL"/>
        </a:p>
      </dgm:t>
    </dgm:pt>
    <dgm:pt modelId="{05497653-ABCB-4DE4-82D1-BC26665E4CBB}" type="sibTrans" cxnId="{9B2F527E-EEBA-488C-ABC5-92CC589087B0}">
      <dgm:prSet/>
      <dgm:spPr/>
      <dgm:t>
        <a:bodyPr/>
        <a:lstStyle/>
        <a:p>
          <a:endParaRPr lang="pl-PL"/>
        </a:p>
      </dgm:t>
    </dgm:pt>
    <dgm:pt modelId="{BA8C7145-96E0-4BDD-A3CD-75A32D4E67B6}">
      <dgm:prSet phldrT="[Tekst]" custT="1"/>
      <dgm:spPr/>
      <dgm:t>
        <a:bodyPr/>
        <a:lstStyle/>
        <a:p>
          <a:r>
            <a:rPr lang="pl-PL" sz="1200" b="1">
              <a:latin typeface="Times New Roman" pitchFamily="18" charset="0"/>
              <a:cs typeface="Times New Roman" pitchFamily="18" charset="0"/>
            </a:rPr>
            <a:t>KONKURSY</a:t>
          </a:r>
        </a:p>
        <a:p>
          <a:r>
            <a:rPr lang="pl-PL" sz="1100" b="1">
              <a:latin typeface="Times New Roman" pitchFamily="18" charset="0"/>
              <a:cs typeface="Times New Roman" pitchFamily="18" charset="0"/>
            </a:rPr>
            <a:t>104 </a:t>
          </a:r>
          <a:r>
            <a:rPr lang="pl-PL" sz="1100" b="0">
              <a:latin typeface="Times New Roman" pitchFamily="18" charset="0"/>
              <a:cs typeface="Times New Roman" pitchFamily="18" charset="0"/>
            </a:rPr>
            <a:t>umowy </a:t>
          </a:r>
        </a:p>
        <a:p>
          <a:r>
            <a:rPr lang="pl-PL" sz="1100" b="1">
              <a:latin typeface="Times New Roman" pitchFamily="18" charset="0"/>
              <a:cs typeface="Times New Roman" pitchFamily="18" charset="0"/>
            </a:rPr>
            <a:t>39,71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30,45 mln EUR (86%) </a:t>
          </a:r>
          <a:r>
            <a:rPr lang="pl-PL" sz="1100" b="0">
              <a:latin typeface="Times New Roman" pitchFamily="18" charset="0"/>
              <a:cs typeface="Times New Roman" pitchFamily="18" charset="0"/>
            </a:rPr>
            <a:t>dofinansowanie</a:t>
          </a:r>
        </a:p>
        <a:p>
          <a:r>
            <a:rPr lang="pl-PL" sz="1100" b="1">
              <a:latin typeface="Times New Roman" pitchFamily="18" charset="0"/>
              <a:cs typeface="Times New Roman" pitchFamily="18" charset="0"/>
            </a:rPr>
            <a:t>20,48 mln EUR </a:t>
          </a:r>
          <a:r>
            <a:rPr lang="pl-PL" sz="1100" b="0">
              <a:latin typeface="Times New Roman" pitchFamily="18" charset="0"/>
              <a:cs typeface="Times New Roman" pitchFamily="18" charset="0"/>
            </a:rPr>
            <a:t>płatności</a:t>
          </a:r>
        </a:p>
      </dgm:t>
    </dgm:pt>
    <dgm:pt modelId="{815BEDA5-3647-4D45-88B1-F0A53F963A58}" type="parTrans" cxnId="{A0B40DB7-FA63-48AD-A6FD-1391A60CB94B}">
      <dgm:prSet/>
      <dgm:spPr/>
      <dgm:t>
        <a:bodyPr/>
        <a:lstStyle/>
        <a:p>
          <a:endParaRPr lang="pl-PL"/>
        </a:p>
      </dgm:t>
    </dgm:pt>
    <dgm:pt modelId="{C4CAD21F-1F33-4439-937C-36838C98EE77}" type="sibTrans" cxnId="{A0B40DB7-FA63-48AD-A6FD-1391A60CB94B}">
      <dgm:prSet/>
      <dgm:spPr/>
      <dgm:t>
        <a:bodyPr/>
        <a:lstStyle/>
        <a:p>
          <a:endParaRPr lang="pl-PL"/>
        </a:p>
      </dgm:t>
    </dgm:pt>
    <dgm:pt modelId="{4FAD41D2-87BA-4851-8945-34A809D11451}">
      <dgm:prSet phldrT="[Tekst]" custT="1"/>
      <dgm:spPr/>
      <dgm:t>
        <a:bodyPr/>
        <a:lstStyle/>
        <a:p>
          <a:r>
            <a:rPr lang="pl-PL" sz="1200" b="1">
              <a:latin typeface="Times New Roman" pitchFamily="18" charset="0"/>
              <a:cs typeface="Times New Roman" pitchFamily="18" charset="0"/>
            </a:rPr>
            <a:t>PRS</a:t>
          </a:r>
        </a:p>
        <a:p>
          <a:r>
            <a:rPr lang="pl-PL" sz="1100" b="1">
              <a:latin typeface="Times New Roman" pitchFamily="18" charset="0"/>
              <a:cs typeface="Times New Roman" pitchFamily="18" charset="0"/>
            </a:rPr>
            <a:t>19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11,32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7,70 mln EUR (81%) </a:t>
          </a:r>
          <a:r>
            <a:rPr lang="pl-PL" sz="1100" b="0">
              <a:latin typeface="Times New Roman" pitchFamily="18" charset="0"/>
              <a:cs typeface="Times New Roman" pitchFamily="18" charset="0"/>
            </a:rPr>
            <a:t>dofinansowanie</a:t>
          </a:r>
        </a:p>
        <a:p>
          <a:r>
            <a:rPr lang="pl-PL" sz="1100" b="1">
              <a:latin typeface="Times New Roman" pitchFamily="18" charset="0"/>
              <a:cs typeface="Times New Roman" pitchFamily="18" charset="0"/>
            </a:rPr>
            <a:t>4,35 mln EUR </a:t>
          </a:r>
          <a:r>
            <a:rPr lang="pl-PL" sz="1100" b="0">
              <a:latin typeface="Times New Roman" pitchFamily="18" charset="0"/>
              <a:cs typeface="Times New Roman" pitchFamily="18" charset="0"/>
            </a:rPr>
            <a:t>płatność</a:t>
          </a:r>
        </a:p>
      </dgm:t>
    </dgm:pt>
    <dgm:pt modelId="{85481FE8-EB71-4EE6-8EAE-954F42B95524}" type="parTrans" cxnId="{17BE05F7-D2E9-4D74-AA08-B13D726E014F}">
      <dgm:prSet/>
      <dgm:spPr/>
      <dgm:t>
        <a:bodyPr/>
        <a:lstStyle/>
        <a:p>
          <a:endParaRPr lang="pl-PL"/>
        </a:p>
      </dgm:t>
    </dgm:pt>
    <dgm:pt modelId="{44D71F0D-2F97-43F6-9305-2020FA0F11F3}" type="sibTrans" cxnId="{17BE05F7-D2E9-4D74-AA08-B13D726E014F}">
      <dgm:prSet/>
      <dgm:spPr/>
      <dgm:t>
        <a:bodyPr/>
        <a:lstStyle/>
        <a:p>
          <a:endParaRPr lang="pl-PL"/>
        </a:p>
      </dgm:t>
    </dgm:pt>
    <dgm:pt modelId="{1BE09E7D-1C38-46D6-A72B-F5195520E2B4}">
      <dgm:prSet custT="1"/>
      <dgm:spPr/>
      <dgm:t>
        <a:bodyPr/>
        <a:lstStyle/>
        <a:p>
          <a:r>
            <a:rPr lang="pl-PL" sz="1200" b="1">
              <a:latin typeface="Times New Roman" pitchFamily="18" charset="0"/>
              <a:cs typeface="Times New Roman" pitchFamily="18" charset="0"/>
            </a:rPr>
            <a:t>PK</a:t>
          </a:r>
        </a:p>
        <a:p>
          <a:r>
            <a:rPr lang="pl-PL" sz="1100" b="1">
              <a:latin typeface="Times New Roman" pitchFamily="18" charset="0"/>
              <a:cs typeface="Times New Roman" pitchFamily="18" charset="0"/>
            </a:rPr>
            <a:t>3</a:t>
          </a:r>
          <a:r>
            <a:rPr lang="pl-PL" sz="1100" b="0">
              <a:latin typeface="Times New Roman" pitchFamily="18" charset="0"/>
              <a:cs typeface="Times New Roman" pitchFamily="18" charset="0"/>
            </a:rPr>
            <a:t> umowy </a:t>
          </a:r>
        </a:p>
        <a:p>
          <a:r>
            <a:rPr lang="pl-PL" sz="1100" b="1">
              <a:latin typeface="Times New Roman" pitchFamily="18" charset="0"/>
              <a:cs typeface="Times New Roman" pitchFamily="18" charset="0"/>
            </a:rPr>
            <a:t>9,41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7,78 mln EUR (90%) </a:t>
          </a:r>
          <a:r>
            <a:rPr lang="pl-PL" sz="1100" b="0">
              <a:latin typeface="Times New Roman" pitchFamily="18" charset="0"/>
              <a:cs typeface="Times New Roman" pitchFamily="18" charset="0"/>
            </a:rPr>
            <a:t>dofinansowanie</a:t>
          </a:r>
        </a:p>
        <a:p>
          <a:r>
            <a:rPr lang="pl-PL" sz="1100" b="1">
              <a:latin typeface="Times New Roman" pitchFamily="18" charset="0"/>
              <a:cs typeface="Times New Roman" pitchFamily="18" charset="0"/>
            </a:rPr>
            <a:t>6,56 mln EUR</a:t>
          </a:r>
          <a:r>
            <a:rPr lang="pl-PL" sz="1100" b="0">
              <a:latin typeface="Times New Roman" pitchFamily="18" charset="0"/>
              <a:cs typeface="Times New Roman" pitchFamily="18" charset="0"/>
            </a:rPr>
            <a:t> płatności</a:t>
          </a:r>
          <a:endParaRPr lang="pl-PL" sz="1100" b="0"/>
        </a:p>
      </dgm:t>
    </dgm:pt>
    <dgm:pt modelId="{452BD27D-ED27-4E37-A193-18827BD62023}" type="parTrans" cxnId="{3D0A3D58-2F8D-4F91-84DF-4E241F1245BF}">
      <dgm:prSet/>
      <dgm:spPr/>
      <dgm:t>
        <a:bodyPr/>
        <a:lstStyle/>
        <a:p>
          <a:endParaRPr lang="pl-PL"/>
        </a:p>
      </dgm:t>
    </dgm:pt>
    <dgm:pt modelId="{34F2C59C-28F5-4C34-B5DF-3CE414633D74}" type="sibTrans" cxnId="{3D0A3D58-2F8D-4F91-84DF-4E241F1245BF}">
      <dgm:prSet/>
      <dgm:spPr/>
      <dgm:t>
        <a:bodyPr/>
        <a:lstStyle/>
        <a:p>
          <a:endParaRPr lang="pl-PL"/>
        </a:p>
      </dgm:t>
    </dgm:pt>
    <dgm:pt modelId="{09BED3D6-FC0D-44EA-807E-86647DEF45CE}" type="pres">
      <dgm:prSet presAssocID="{D9B596A5-798B-4F41-AD2F-F848579601B4}" presName="hierChild1" presStyleCnt="0">
        <dgm:presLayoutVars>
          <dgm:chPref val="1"/>
          <dgm:dir/>
          <dgm:animOne val="branch"/>
          <dgm:animLvl val="lvl"/>
          <dgm:resizeHandles/>
        </dgm:presLayoutVars>
      </dgm:prSet>
      <dgm:spPr/>
      <dgm:t>
        <a:bodyPr/>
        <a:lstStyle/>
        <a:p>
          <a:endParaRPr lang="pl-PL"/>
        </a:p>
      </dgm:t>
    </dgm:pt>
    <dgm:pt modelId="{31129675-4B43-450A-A0DB-BC4BC7B3336F}" type="pres">
      <dgm:prSet presAssocID="{40236DF7-C2C5-415A-ACC2-CA7C3B469FFE}" presName="hierRoot1" presStyleCnt="0"/>
      <dgm:spPr/>
    </dgm:pt>
    <dgm:pt modelId="{F5E193BA-0AF3-4113-81F2-43F9934057EC}" type="pres">
      <dgm:prSet presAssocID="{40236DF7-C2C5-415A-ACC2-CA7C3B469FFE}" presName="composite" presStyleCnt="0"/>
      <dgm:spPr/>
    </dgm:pt>
    <dgm:pt modelId="{BF62D4FE-EA64-49E2-8232-8039E1E81435}" type="pres">
      <dgm:prSet presAssocID="{40236DF7-C2C5-415A-ACC2-CA7C3B469FFE}" presName="background" presStyleLbl="node0" presStyleIdx="0" presStyleCnt="1"/>
      <dgm:spPr/>
    </dgm:pt>
    <dgm:pt modelId="{2B75CD9B-75AC-469E-A566-F7D66F856908}" type="pres">
      <dgm:prSet presAssocID="{40236DF7-C2C5-415A-ACC2-CA7C3B469FFE}" presName="text" presStyleLbl="fgAcc0" presStyleIdx="0" presStyleCnt="1" custScaleX="205010" custScaleY="136318" custLinFactNeighborX="-6390" custLinFactNeighborY="1135">
        <dgm:presLayoutVars>
          <dgm:chPref val="3"/>
        </dgm:presLayoutVars>
      </dgm:prSet>
      <dgm:spPr/>
      <dgm:t>
        <a:bodyPr/>
        <a:lstStyle/>
        <a:p>
          <a:endParaRPr lang="pl-PL"/>
        </a:p>
      </dgm:t>
    </dgm:pt>
    <dgm:pt modelId="{8BB401F7-E0FA-458A-9E13-4617B0ACF7A6}" type="pres">
      <dgm:prSet presAssocID="{40236DF7-C2C5-415A-ACC2-CA7C3B469FFE}" presName="hierChild2" presStyleCnt="0"/>
      <dgm:spPr/>
    </dgm:pt>
    <dgm:pt modelId="{2A551095-1900-4D96-ACFD-9E74E765AD33}" type="pres">
      <dgm:prSet presAssocID="{815BEDA5-3647-4D45-88B1-F0A53F963A58}" presName="Name10" presStyleLbl="parChTrans1D2" presStyleIdx="0" presStyleCnt="3"/>
      <dgm:spPr/>
      <dgm:t>
        <a:bodyPr/>
        <a:lstStyle/>
        <a:p>
          <a:endParaRPr lang="pl-PL"/>
        </a:p>
      </dgm:t>
    </dgm:pt>
    <dgm:pt modelId="{69682B22-1A56-454F-846E-A2CD576C0246}" type="pres">
      <dgm:prSet presAssocID="{BA8C7145-96E0-4BDD-A3CD-75A32D4E67B6}" presName="hierRoot2" presStyleCnt="0"/>
      <dgm:spPr/>
    </dgm:pt>
    <dgm:pt modelId="{A617C3D9-C3F9-4E57-962A-635D8EADD3FD}" type="pres">
      <dgm:prSet presAssocID="{BA8C7145-96E0-4BDD-A3CD-75A32D4E67B6}" presName="composite2" presStyleCnt="0"/>
      <dgm:spPr/>
    </dgm:pt>
    <dgm:pt modelId="{2B06B423-2E98-4C1C-BB14-8CFB3FAC68C0}" type="pres">
      <dgm:prSet presAssocID="{BA8C7145-96E0-4BDD-A3CD-75A32D4E67B6}" presName="background2" presStyleLbl="node2" presStyleIdx="0" presStyleCnt="3"/>
      <dgm:spPr/>
    </dgm:pt>
    <dgm:pt modelId="{BF04710E-19CD-41F0-9DF3-DF17AD83F590}" type="pres">
      <dgm:prSet presAssocID="{BA8C7145-96E0-4BDD-A3CD-75A32D4E67B6}" presName="text2" presStyleLbl="fgAcc2" presStyleIdx="0" presStyleCnt="3" custScaleX="113150" custScaleY="179770">
        <dgm:presLayoutVars>
          <dgm:chPref val="3"/>
        </dgm:presLayoutVars>
      </dgm:prSet>
      <dgm:spPr/>
      <dgm:t>
        <a:bodyPr/>
        <a:lstStyle/>
        <a:p>
          <a:endParaRPr lang="pl-PL"/>
        </a:p>
      </dgm:t>
    </dgm:pt>
    <dgm:pt modelId="{9EEC74EC-0C4D-49BC-9D7A-7EBBD1A80384}" type="pres">
      <dgm:prSet presAssocID="{BA8C7145-96E0-4BDD-A3CD-75A32D4E67B6}" presName="hierChild3" presStyleCnt="0"/>
      <dgm:spPr/>
    </dgm:pt>
    <dgm:pt modelId="{CB86E8F4-1233-497D-B879-79927E39CB38}" type="pres">
      <dgm:prSet presAssocID="{452BD27D-ED27-4E37-A193-18827BD62023}" presName="Name10" presStyleLbl="parChTrans1D2" presStyleIdx="1" presStyleCnt="3"/>
      <dgm:spPr/>
      <dgm:t>
        <a:bodyPr/>
        <a:lstStyle/>
        <a:p>
          <a:endParaRPr lang="pl-PL"/>
        </a:p>
      </dgm:t>
    </dgm:pt>
    <dgm:pt modelId="{C3573B5E-4EBD-435A-A0AB-9B89709A3E31}" type="pres">
      <dgm:prSet presAssocID="{1BE09E7D-1C38-46D6-A72B-F5195520E2B4}" presName="hierRoot2" presStyleCnt="0"/>
      <dgm:spPr/>
    </dgm:pt>
    <dgm:pt modelId="{3C147455-2A0A-4B43-903B-B0BAC8571CFD}" type="pres">
      <dgm:prSet presAssocID="{1BE09E7D-1C38-46D6-A72B-F5195520E2B4}" presName="composite2" presStyleCnt="0"/>
      <dgm:spPr/>
    </dgm:pt>
    <dgm:pt modelId="{567789D0-8F0E-4276-A762-C5426E109BD7}" type="pres">
      <dgm:prSet presAssocID="{1BE09E7D-1C38-46D6-A72B-F5195520E2B4}" presName="background2" presStyleLbl="node2" presStyleIdx="1" presStyleCnt="3"/>
      <dgm:spPr/>
    </dgm:pt>
    <dgm:pt modelId="{42847E85-4227-4A80-90A2-C1965907F459}" type="pres">
      <dgm:prSet presAssocID="{1BE09E7D-1C38-46D6-A72B-F5195520E2B4}" presName="text2" presStyleLbl="fgAcc2" presStyleIdx="1" presStyleCnt="3" custScaleX="113347" custScaleY="180932">
        <dgm:presLayoutVars>
          <dgm:chPref val="3"/>
        </dgm:presLayoutVars>
      </dgm:prSet>
      <dgm:spPr/>
      <dgm:t>
        <a:bodyPr/>
        <a:lstStyle/>
        <a:p>
          <a:endParaRPr lang="pl-PL"/>
        </a:p>
      </dgm:t>
    </dgm:pt>
    <dgm:pt modelId="{2C4F99EE-EA6C-498A-BDF8-7D2429A37023}" type="pres">
      <dgm:prSet presAssocID="{1BE09E7D-1C38-46D6-A72B-F5195520E2B4}" presName="hierChild3" presStyleCnt="0"/>
      <dgm:spPr/>
    </dgm:pt>
    <dgm:pt modelId="{FEE42C7D-82FB-4FBA-9AB9-43B672FF0AD0}" type="pres">
      <dgm:prSet presAssocID="{85481FE8-EB71-4EE6-8EAE-954F42B95524}" presName="Name10" presStyleLbl="parChTrans1D2" presStyleIdx="2" presStyleCnt="3"/>
      <dgm:spPr/>
      <dgm:t>
        <a:bodyPr/>
        <a:lstStyle/>
        <a:p>
          <a:endParaRPr lang="pl-PL"/>
        </a:p>
      </dgm:t>
    </dgm:pt>
    <dgm:pt modelId="{5E09042A-98DF-4F58-9CDF-FE292875F8A0}" type="pres">
      <dgm:prSet presAssocID="{4FAD41D2-87BA-4851-8945-34A809D11451}" presName="hierRoot2" presStyleCnt="0"/>
      <dgm:spPr/>
    </dgm:pt>
    <dgm:pt modelId="{B6D5A2FD-EE54-40EB-AD8C-39378C917846}" type="pres">
      <dgm:prSet presAssocID="{4FAD41D2-87BA-4851-8945-34A809D11451}" presName="composite2" presStyleCnt="0"/>
      <dgm:spPr/>
    </dgm:pt>
    <dgm:pt modelId="{DCC235DF-4F14-4BF4-B1F1-93023C721E72}" type="pres">
      <dgm:prSet presAssocID="{4FAD41D2-87BA-4851-8945-34A809D11451}" presName="background2" presStyleLbl="node2" presStyleIdx="2" presStyleCnt="3"/>
      <dgm:spPr/>
    </dgm:pt>
    <dgm:pt modelId="{122B4FAF-F0B9-4835-96F3-326424C825F2}" type="pres">
      <dgm:prSet presAssocID="{4FAD41D2-87BA-4851-8945-34A809D11451}" presName="text2" presStyleLbl="fgAcc2" presStyleIdx="2" presStyleCnt="3" custScaleX="112280" custScaleY="183124">
        <dgm:presLayoutVars>
          <dgm:chPref val="3"/>
        </dgm:presLayoutVars>
      </dgm:prSet>
      <dgm:spPr/>
      <dgm:t>
        <a:bodyPr/>
        <a:lstStyle/>
        <a:p>
          <a:endParaRPr lang="pl-PL"/>
        </a:p>
      </dgm:t>
    </dgm:pt>
    <dgm:pt modelId="{7E024528-56F8-4029-BB28-2C15832D9316}" type="pres">
      <dgm:prSet presAssocID="{4FAD41D2-87BA-4851-8945-34A809D11451}" presName="hierChild3" presStyleCnt="0"/>
      <dgm:spPr/>
    </dgm:pt>
  </dgm:ptLst>
  <dgm:cxnLst>
    <dgm:cxn modelId="{7AA20EEC-64AF-4D9E-BAE0-E88FD249BC14}" type="presOf" srcId="{40236DF7-C2C5-415A-ACC2-CA7C3B469FFE}" destId="{2B75CD9B-75AC-469E-A566-F7D66F856908}" srcOrd="0" destOrd="0" presId="urn:microsoft.com/office/officeart/2005/8/layout/hierarchy1"/>
    <dgm:cxn modelId="{462344B3-911B-4F96-ACD6-B61BD5DDB72D}" type="presOf" srcId="{1BE09E7D-1C38-46D6-A72B-F5195520E2B4}" destId="{42847E85-4227-4A80-90A2-C1965907F459}" srcOrd="0" destOrd="0" presId="urn:microsoft.com/office/officeart/2005/8/layout/hierarchy1"/>
    <dgm:cxn modelId="{D1061750-DF25-47D6-B0FC-5234FE295D84}" type="presOf" srcId="{85481FE8-EB71-4EE6-8EAE-954F42B95524}" destId="{FEE42C7D-82FB-4FBA-9AB9-43B672FF0AD0}" srcOrd="0" destOrd="0" presId="urn:microsoft.com/office/officeart/2005/8/layout/hierarchy1"/>
    <dgm:cxn modelId="{4938C558-5495-4324-9A15-9F8BA9516726}" type="presOf" srcId="{BA8C7145-96E0-4BDD-A3CD-75A32D4E67B6}" destId="{BF04710E-19CD-41F0-9DF3-DF17AD83F590}" srcOrd="0" destOrd="0" presId="urn:microsoft.com/office/officeart/2005/8/layout/hierarchy1"/>
    <dgm:cxn modelId="{78EF806E-3910-4F25-92BF-8E1D31F3A8FE}" type="presOf" srcId="{4FAD41D2-87BA-4851-8945-34A809D11451}" destId="{122B4FAF-F0B9-4835-96F3-326424C825F2}" srcOrd="0" destOrd="0" presId="urn:microsoft.com/office/officeart/2005/8/layout/hierarchy1"/>
    <dgm:cxn modelId="{BB07136D-47D3-43BA-8792-5F01A8015C19}" type="presOf" srcId="{452BD27D-ED27-4E37-A193-18827BD62023}" destId="{CB86E8F4-1233-497D-B879-79927E39CB38}" srcOrd="0" destOrd="0" presId="urn:microsoft.com/office/officeart/2005/8/layout/hierarchy1"/>
    <dgm:cxn modelId="{A0B40DB7-FA63-48AD-A6FD-1391A60CB94B}" srcId="{40236DF7-C2C5-415A-ACC2-CA7C3B469FFE}" destId="{BA8C7145-96E0-4BDD-A3CD-75A32D4E67B6}" srcOrd="0" destOrd="0" parTransId="{815BEDA5-3647-4D45-88B1-F0A53F963A58}" sibTransId="{C4CAD21F-1F33-4439-937C-36838C98EE77}"/>
    <dgm:cxn modelId="{84325A4B-503C-4DF4-97FD-C3A922FCBAA0}" type="presOf" srcId="{D9B596A5-798B-4F41-AD2F-F848579601B4}" destId="{09BED3D6-FC0D-44EA-807E-86647DEF45CE}" srcOrd="0" destOrd="0" presId="urn:microsoft.com/office/officeart/2005/8/layout/hierarchy1"/>
    <dgm:cxn modelId="{9B2F527E-EEBA-488C-ABC5-92CC589087B0}" srcId="{D9B596A5-798B-4F41-AD2F-F848579601B4}" destId="{40236DF7-C2C5-415A-ACC2-CA7C3B469FFE}" srcOrd="0" destOrd="0" parTransId="{97E651EE-6F13-4DB7-868E-72F8B0DF72A4}" sibTransId="{05497653-ABCB-4DE4-82D1-BC26665E4CBB}"/>
    <dgm:cxn modelId="{3D0A3D58-2F8D-4F91-84DF-4E241F1245BF}" srcId="{40236DF7-C2C5-415A-ACC2-CA7C3B469FFE}" destId="{1BE09E7D-1C38-46D6-A72B-F5195520E2B4}" srcOrd="1" destOrd="0" parTransId="{452BD27D-ED27-4E37-A193-18827BD62023}" sibTransId="{34F2C59C-28F5-4C34-B5DF-3CE414633D74}"/>
    <dgm:cxn modelId="{8F7B35ED-334F-4DDE-961B-7081E1E6A02D}" type="presOf" srcId="{815BEDA5-3647-4D45-88B1-F0A53F963A58}" destId="{2A551095-1900-4D96-ACFD-9E74E765AD33}" srcOrd="0" destOrd="0" presId="urn:microsoft.com/office/officeart/2005/8/layout/hierarchy1"/>
    <dgm:cxn modelId="{17BE05F7-D2E9-4D74-AA08-B13D726E014F}" srcId="{40236DF7-C2C5-415A-ACC2-CA7C3B469FFE}" destId="{4FAD41D2-87BA-4851-8945-34A809D11451}" srcOrd="2" destOrd="0" parTransId="{85481FE8-EB71-4EE6-8EAE-954F42B95524}" sibTransId="{44D71F0D-2F97-43F6-9305-2020FA0F11F3}"/>
    <dgm:cxn modelId="{19E9454D-1C10-4D6C-AF74-61927B1AAD7C}" type="presParOf" srcId="{09BED3D6-FC0D-44EA-807E-86647DEF45CE}" destId="{31129675-4B43-450A-A0DB-BC4BC7B3336F}" srcOrd="0" destOrd="0" presId="urn:microsoft.com/office/officeart/2005/8/layout/hierarchy1"/>
    <dgm:cxn modelId="{43C3F53C-BE5A-4E21-B087-91534FFEA7C3}" type="presParOf" srcId="{31129675-4B43-450A-A0DB-BC4BC7B3336F}" destId="{F5E193BA-0AF3-4113-81F2-43F9934057EC}" srcOrd="0" destOrd="0" presId="urn:microsoft.com/office/officeart/2005/8/layout/hierarchy1"/>
    <dgm:cxn modelId="{9239C990-4711-4911-A92F-D7FFE34C99D1}" type="presParOf" srcId="{F5E193BA-0AF3-4113-81F2-43F9934057EC}" destId="{BF62D4FE-EA64-49E2-8232-8039E1E81435}" srcOrd="0" destOrd="0" presId="urn:microsoft.com/office/officeart/2005/8/layout/hierarchy1"/>
    <dgm:cxn modelId="{E2D171EE-DB5A-4B5F-ABCC-4766C418F70C}" type="presParOf" srcId="{F5E193BA-0AF3-4113-81F2-43F9934057EC}" destId="{2B75CD9B-75AC-469E-A566-F7D66F856908}" srcOrd="1" destOrd="0" presId="urn:microsoft.com/office/officeart/2005/8/layout/hierarchy1"/>
    <dgm:cxn modelId="{BD60A864-DEE1-49F8-91F9-1669028BF7C2}" type="presParOf" srcId="{31129675-4B43-450A-A0DB-BC4BC7B3336F}" destId="{8BB401F7-E0FA-458A-9E13-4617B0ACF7A6}" srcOrd="1" destOrd="0" presId="urn:microsoft.com/office/officeart/2005/8/layout/hierarchy1"/>
    <dgm:cxn modelId="{C5D3D2BF-B889-4EAA-B1ED-B698C0C9A35A}" type="presParOf" srcId="{8BB401F7-E0FA-458A-9E13-4617B0ACF7A6}" destId="{2A551095-1900-4D96-ACFD-9E74E765AD33}" srcOrd="0" destOrd="0" presId="urn:microsoft.com/office/officeart/2005/8/layout/hierarchy1"/>
    <dgm:cxn modelId="{9B7311C6-F4D5-463D-AFF9-8E69718E1D3D}" type="presParOf" srcId="{8BB401F7-E0FA-458A-9E13-4617B0ACF7A6}" destId="{69682B22-1A56-454F-846E-A2CD576C0246}" srcOrd="1" destOrd="0" presId="urn:microsoft.com/office/officeart/2005/8/layout/hierarchy1"/>
    <dgm:cxn modelId="{07B1B8C7-DE4A-4C56-9C09-9B9EA292D2A4}" type="presParOf" srcId="{69682B22-1A56-454F-846E-A2CD576C0246}" destId="{A617C3D9-C3F9-4E57-962A-635D8EADD3FD}" srcOrd="0" destOrd="0" presId="urn:microsoft.com/office/officeart/2005/8/layout/hierarchy1"/>
    <dgm:cxn modelId="{522D325E-9FD6-4567-BFB7-F3AF32FB4B31}" type="presParOf" srcId="{A617C3D9-C3F9-4E57-962A-635D8EADD3FD}" destId="{2B06B423-2E98-4C1C-BB14-8CFB3FAC68C0}" srcOrd="0" destOrd="0" presId="urn:microsoft.com/office/officeart/2005/8/layout/hierarchy1"/>
    <dgm:cxn modelId="{F8D67A78-BCD2-45E3-AC6F-F2D98756E482}" type="presParOf" srcId="{A617C3D9-C3F9-4E57-962A-635D8EADD3FD}" destId="{BF04710E-19CD-41F0-9DF3-DF17AD83F590}" srcOrd="1" destOrd="0" presId="urn:microsoft.com/office/officeart/2005/8/layout/hierarchy1"/>
    <dgm:cxn modelId="{ECB4D183-BDB0-4D12-A4A6-0F711C691845}" type="presParOf" srcId="{69682B22-1A56-454F-846E-A2CD576C0246}" destId="{9EEC74EC-0C4D-49BC-9D7A-7EBBD1A80384}" srcOrd="1" destOrd="0" presId="urn:microsoft.com/office/officeart/2005/8/layout/hierarchy1"/>
    <dgm:cxn modelId="{E212BF24-9A0B-4032-8568-BDF5A90E0BAE}" type="presParOf" srcId="{8BB401F7-E0FA-458A-9E13-4617B0ACF7A6}" destId="{CB86E8F4-1233-497D-B879-79927E39CB38}" srcOrd="2" destOrd="0" presId="urn:microsoft.com/office/officeart/2005/8/layout/hierarchy1"/>
    <dgm:cxn modelId="{7A163D7A-21BB-481C-BE50-DFDD36B664E7}" type="presParOf" srcId="{8BB401F7-E0FA-458A-9E13-4617B0ACF7A6}" destId="{C3573B5E-4EBD-435A-A0AB-9B89709A3E31}" srcOrd="3" destOrd="0" presId="urn:microsoft.com/office/officeart/2005/8/layout/hierarchy1"/>
    <dgm:cxn modelId="{8B1B71E2-1721-4C3E-A650-564D622D4703}" type="presParOf" srcId="{C3573B5E-4EBD-435A-A0AB-9B89709A3E31}" destId="{3C147455-2A0A-4B43-903B-B0BAC8571CFD}" srcOrd="0" destOrd="0" presId="urn:microsoft.com/office/officeart/2005/8/layout/hierarchy1"/>
    <dgm:cxn modelId="{E536675D-3465-4EC6-880F-B25DDA8EAC03}" type="presParOf" srcId="{3C147455-2A0A-4B43-903B-B0BAC8571CFD}" destId="{567789D0-8F0E-4276-A762-C5426E109BD7}" srcOrd="0" destOrd="0" presId="urn:microsoft.com/office/officeart/2005/8/layout/hierarchy1"/>
    <dgm:cxn modelId="{BCAC7023-6515-43C3-8FF1-BFC5488B5936}" type="presParOf" srcId="{3C147455-2A0A-4B43-903B-B0BAC8571CFD}" destId="{42847E85-4227-4A80-90A2-C1965907F459}" srcOrd="1" destOrd="0" presId="urn:microsoft.com/office/officeart/2005/8/layout/hierarchy1"/>
    <dgm:cxn modelId="{64112703-0719-4292-9927-43A88EFB9385}" type="presParOf" srcId="{C3573B5E-4EBD-435A-A0AB-9B89709A3E31}" destId="{2C4F99EE-EA6C-498A-BDF8-7D2429A37023}" srcOrd="1" destOrd="0" presId="urn:microsoft.com/office/officeart/2005/8/layout/hierarchy1"/>
    <dgm:cxn modelId="{38D01629-A9F4-486D-94BD-76888C539042}" type="presParOf" srcId="{8BB401F7-E0FA-458A-9E13-4617B0ACF7A6}" destId="{FEE42C7D-82FB-4FBA-9AB9-43B672FF0AD0}" srcOrd="4" destOrd="0" presId="urn:microsoft.com/office/officeart/2005/8/layout/hierarchy1"/>
    <dgm:cxn modelId="{4650A503-BEB0-4B80-BE34-96D41EBCC1DC}" type="presParOf" srcId="{8BB401F7-E0FA-458A-9E13-4617B0ACF7A6}" destId="{5E09042A-98DF-4F58-9CDF-FE292875F8A0}" srcOrd="5" destOrd="0" presId="urn:microsoft.com/office/officeart/2005/8/layout/hierarchy1"/>
    <dgm:cxn modelId="{0EC2C32B-9822-499F-B8D2-38F3109761BD}" type="presParOf" srcId="{5E09042A-98DF-4F58-9CDF-FE292875F8A0}" destId="{B6D5A2FD-EE54-40EB-AD8C-39378C917846}" srcOrd="0" destOrd="0" presId="urn:microsoft.com/office/officeart/2005/8/layout/hierarchy1"/>
    <dgm:cxn modelId="{F59E188D-2D32-4C9C-95E8-72FB1399DA75}" type="presParOf" srcId="{B6D5A2FD-EE54-40EB-AD8C-39378C917846}" destId="{DCC235DF-4F14-4BF4-B1F1-93023C721E72}" srcOrd="0" destOrd="0" presId="urn:microsoft.com/office/officeart/2005/8/layout/hierarchy1"/>
    <dgm:cxn modelId="{2FC51961-DDEB-417F-99A4-E7FB1DE9C687}" type="presParOf" srcId="{B6D5A2FD-EE54-40EB-AD8C-39378C917846}" destId="{122B4FAF-F0B9-4835-96F3-326424C825F2}" srcOrd="1" destOrd="0" presId="urn:microsoft.com/office/officeart/2005/8/layout/hierarchy1"/>
    <dgm:cxn modelId="{717DB205-4499-4224-8FE8-33C2B6F49074}" type="presParOf" srcId="{5E09042A-98DF-4F58-9CDF-FE292875F8A0}" destId="{7E024528-56F8-4029-BB28-2C15832D9316}" srcOrd="1" destOrd="0" presId="urn:microsoft.com/office/officeart/2005/8/layout/hierarchy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B596A5-798B-4F41-AD2F-F848579601B4}" type="doc">
      <dgm:prSet loTypeId="urn:microsoft.com/office/officeart/2005/8/layout/hierarchy1" loCatId="hierarchy" qsTypeId="urn:microsoft.com/office/officeart/2005/8/quickstyle/simple4" qsCatId="simple" csTypeId="urn:microsoft.com/office/officeart/2005/8/colors/accent3_1" csCatId="accent3" phldr="1"/>
      <dgm:spPr/>
      <dgm:t>
        <a:bodyPr/>
        <a:lstStyle/>
        <a:p>
          <a:endParaRPr lang="pl-PL"/>
        </a:p>
      </dgm:t>
    </dgm:pt>
    <dgm:pt modelId="{40236DF7-C2C5-415A-ACC2-CA7C3B469FFE}">
      <dgm:prSet phldrT="[Tekst]" custT="1"/>
      <dgm:spPr/>
      <dgm:t>
        <a:bodyPr/>
        <a:lstStyle/>
        <a:p>
          <a:r>
            <a:rPr lang="pl-PL" sz="1200" b="1">
              <a:latin typeface="Times New Roman" pitchFamily="18" charset="0"/>
              <a:cs typeface="Times New Roman" pitchFamily="18" charset="0"/>
            </a:rPr>
            <a:t>PRIORYTET V</a:t>
          </a:r>
        </a:p>
        <a:p>
          <a:r>
            <a:rPr lang="pl-PL" sz="1100" b="1">
              <a:latin typeface="Times New Roman" pitchFamily="18" charset="0"/>
              <a:cs typeface="Times New Roman" pitchFamily="18" charset="0"/>
            </a:rPr>
            <a:t>155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195,13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134,02 mln EUR </a:t>
          </a:r>
          <a:r>
            <a:rPr lang="pl-PL" sz="1100" b="0">
              <a:latin typeface="Times New Roman" pitchFamily="18" charset="0"/>
              <a:cs typeface="Times New Roman" pitchFamily="18" charset="0"/>
            </a:rPr>
            <a:t>dofinansowanie</a:t>
          </a:r>
          <a:r>
            <a:rPr lang="pl-PL" sz="1100" b="1">
              <a:latin typeface="Times New Roman" pitchFamily="18" charset="0"/>
              <a:cs typeface="Times New Roman" pitchFamily="18" charset="0"/>
            </a:rPr>
            <a:t> </a:t>
          </a:r>
        </a:p>
        <a:p>
          <a:r>
            <a:rPr lang="pl-PL" sz="1100" b="1">
              <a:latin typeface="Times New Roman" pitchFamily="18" charset="0"/>
              <a:cs typeface="Times New Roman" pitchFamily="18" charset="0"/>
            </a:rPr>
            <a:t>54,87 mln EUR</a:t>
          </a:r>
          <a:r>
            <a:rPr lang="pl-PL" sz="1100" b="0">
              <a:latin typeface="Times New Roman" pitchFamily="18" charset="0"/>
              <a:cs typeface="Times New Roman" pitchFamily="18" charset="0"/>
            </a:rPr>
            <a:t> płatności</a:t>
          </a:r>
        </a:p>
      </dgm:t>
    </dgm:pt>
    <dgm:pt modelId="{97E651EE-6F13-4DB7-868E-72F8B0DF72A4}" type="parTrans" cxnId="{9B2F527E-EEBA-488C-ABC5-92CC589087B0}">
      <dgm:prSet/>
      <dgm:spPr/>
      <dgm:t>
        <a:bodyPr/>
        <a:lstStyle/>
        <a:p>
          <a:endParaRPr lang="pl-PL"/>
        </a:p>
      </dgm:t>
    </dgm:pt>
    <dgm:pt modelId="{05497653-ABCB-4DE4-82D1-BC26665E4CBB}" type="sibTrans" cxnId="{9B2F527E-EEBA-488C-ABC5-92CC589087B0}">
      <dgm:prSet/>
      <dgm:spPr/>
      <dgm:t>
        <a:bodyPr/>
        <a:lstStyle/>
        <a:p>
          <a:endParaRPr lang="pl-PL"/>
        </a:p>
      </dgm:t>
    </dgm:pt>
    <dgm:pt modelId="{BA8C7145-96E0-4BDD-A3CD-75A32D4E67B6}">
      <dgm:prSet phldrT="[Tekst]" custT="1"/>
      <dgm:spPr/>
      <dgm:t>
        <a:bodyPr/>
        <a:lstStyle/>
        <a:p>
          <a:r>
            <a:rPr lang="pl-PL" sz="1200" b="1">
              <a:latin typeface="Times New Roman" pitchFamily="18" charset="0"/>
              <a:cs typeface="Times New Roman" pitchFamily="18" charset="0"/>
            </a:rPr>
            <a:t>KONKURSY</a:t>
          </a:r>
        </a:p>
        <a:p>
          <a:r>
            <a:rPr lang="pl-PL" sz="1100" b="1">
              <a:latin typeface="Times New Roman" pitchFamily="18" charset="0"/>
              <a:cs typeface="Times New Roman" pitchFamily="18" charset="0"/>
            </a:rPr>
            <a:t>98 </a:t>
          </a:r>
          <a:r>
            <a:rPr lang="pl-PL" sz="1100" b="0">
              <a:latin typeface="Times New Roman" pitchFamily="18" charset="0"/>
              <a:cs typeface="Times New Roman" pitchFamily="18" charset="0"/>
            </a:rPr>
            <a:t>umów </a:t>
          </a:r>
        </a:p>
        <a:p>
          <a:r>
            <a:rPr lang="pl-PL" sz="1100" b="1">
              <a:latin typeface="Times New Roman" pitchFamily="18" charset="0"/>
              <a:cs typeface="Times New Roman" pitchFamily="18" charset="0"/>
            </a:rPr>
            <a:t>131,15 mln EUR </a:t>
          </a:r>
          <a:r>
            <a:rPr lang="pl-PL" sz="1100" b="0">
              <a:latin typeface="Times New Roman" pitchFamily="18" charset="0"/>
              <a:cs typeface="Times New Roman" pitchFamily="18" charset="0"/>
            </a:rPr>
            <a:t>wartość </a:t>
          </a:r>
        </a:p>
        <a:p>
          <a:r>
            <a:rPr lang="pl-PL" sz="1100" b="1">
              <a:latin typeface="Times New Roman" pitchFamily="18" charset="0"/>
              <a:cs typeface="Times New Roman" pitchFamily="18" charset="0"/>
            </a:rPr>
            <a:t>88,83 mln EUR (70%) </a:t>
          </a:r>
          <a:r>
            <a:rPr lang="pl-PL" sz="1100" b="0">
              <a:latin typeface="Times New Roman" pitchFamily="18" charset="0"/>
              <a:cs typeface="Times New Roman" pitchFamily="18" charset="0"/>
            </a:rPr>
            <a:t>dofinansowanie</a:t>
          </a:r>
        </a:p>
        <a:p>
          <a:r>
            <a:rPr lang="pl-PL" sz="1100" b="1">
              <a:latin typeface="Times New Roman" pitchFamily="18" charset="0"/>
              <a:cs typeface="Times New Roman" pitchFamily="18" charset="0"/>
            </a:rPr>
            <a:t> 35,83 mln EUR </a:t>
          </a:r>
          <a:r>
            <a:rPr lang="pl-PL" sz="1100" b="0">
              <a:latin typeface="Times New Roman" pitchFamily="18" charset="0"/>
              <a:cs typeface="Times New Roman" pitchFamily="18" charset="0"/>
            </a:rPr>
            <a:t>płatności</a:t>
          </a:r>
        </a:p>
      </dgm:t>
    </dgm:pt>
    <dgm:pt modelId="{815BEDA5-3647-4D45-88B1-F0A53F963A58}" type="parTrans" cxnId="{A0B40DB7-FA63-48AD-A6FD-1391A60CB94B}">
      <dgm:prSet/>
      <dgm:spPr/>
      <dgm:t>
        <a:bodyPr/>
        <a:lstStyle/>
        <a:p>
          <a:endParaRPr lang="pl-PL"/>
        </a:p>
      </dgm:t>
    </dgm:pt>
    <dgm:pt modelId="{C4CAD21F-1F33-4439-937C-36838C98EE77}" type="sibTrans" cxnId="{A0B40DB7-FA63-48AD-A6FD-1391A60CB94B}">
      <dgm:prSet/>
      <dgm:spPr/>
      <dgm:t>
        <a:bodyPr/>
        <a:lstStyle/>
        <a:p>
          <a:endParaRPr lang="pl-PL"/>
        </a:p>
      </dgm:t>
    </dgm:pt>
    <dgm:pt modelId="{4FAD41D2-87BA-4851-8945-34A809D11451}">
      <dgm:prSet phldrT="[Tekst]" custT="1"/>
      <dgm:spPr/>
      <dgm:t>
        <a:bodyPr/>
        <a:lstStyle/>
        <a:p>
          <a:r>
            <a:rPr lang="pl-PL" sz="1200" b="1">
              <a:latin typeface="Times New Roman" pitchFamily="18" charset="0"/>
              <a:cs typeface="Times New Roman" pitchFamily="18" charset="0"/>
            </a:rPr>
            <a:t>PRS</a:t>
          </a:r>
        </a:p>
        <a:p>
          <a:r>
            <a:rPr lang="pl-PL" sz="1100" b="1">
              <a:latin typeface="Times New Roman" pitchFamily="18" charset="0"/>
              <a:cs typeface="Times New Roman" pitchFamily="18" charset="0"/>
            </a:rPr>
            <a:t>53 </a:t>
          </a:r>
          <a:r>
            <a:rPr lang="pl-PL" sz="1100" b="0">
              <a:latin typeface="Times New Roman" pitchFamily="18" charset="0"/>
              <a:cs typeface="Times New Roman" pitchFamily="18" charset="0"/>
            </a:rPr>
            <a:t>umowy </a:t>
          </a:r>
        </a:p>
        <a:p>
          <a:r>
            <a:rPr lang="pl-PL" sz="1100" b="0">
              <a:latin typeface="Times New Roman" pitchFamily="18" charset="0"/>
              <a:cs typeface="Times New Roman" pitchFamily="18" charset="0"/>
            </a:rPr>
            <a:t> </a:t>
          </a:r>
          <a:r>
            <a:rPr lang="pl-PL" sz="1100" b="1">
              <a:latin typeface="Times New Roman" pitchFamily="18" charset="0"/>
              <a:cs typeface="Times New Roman" pitchFamily="18" charset="0"/>
            </a:rPr>
            <a:t>41,26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25,97 mln EUR (79%) </a:t>
          </a:r>
          <a:r>
            <a:rPr lang="pl-PL" sz="1100" b="0">
              <a:latin typeface="Times New Roman" pitchFamily="18" charset="0"/>
              <a:cs typeface="Times New Roman" pitchFamily="18" charset="0"/>
            </a:rPr>
            <a:t>dofinansowanie</a:t>
          </a:r>
        </a:p>
        <a:p>
          <a:r>
            <a:rPr lang="pl-PL" sz="1100" b="1">
              <a:latin typeface="Times New Roman" pitchFamily="18" charset="0"/>
              <a:cs typeface="Times New Roman" pitchFamily="18" charset="0"/>
            </a:rPr>
            <a:t>18,51 mln EUR </a:t>
          </a:r>
          <a:r>
            <a:rPr lang="pl-PL" sz="1100" b="0">
              <a:latin typeface="Times New Roman" pitchFamily="18" charset="0"/>
              <a:cs typeface="Times New Roman" pitchFamily="18" charset="0"/>
            </a:rPr>
            <a:t>płatności</a:t>
          </a:r>
        </a:p>
      </dgm:t>
    </dgm:pt>
    <dgm:pt modelId="{85481FE8-EB71-4EE6-8EAE-954F42B95524}" type="parTrans" cxnId="{17BE05F7-D2E9-4D74-AA08-B13D726E014F}">
      <dgm:prSet/>
      <dgm:spPr/>
      <dgm:t>
        <a:bodyPr/>
        <a:lstStyle/>
        <a:p>
          <a:endParaRPr lang="pl-PL"/>
        </a:p>
      </dgm:t>
    </dgm:pt>
    <dgm:pt modelId="{44D71F0D-2F97-43F6-9305-2020FA0F11F3}" type="sibTrans" cxnId="{17BE05F7-D2E9-4D74-AA08-B13D726E014F}">
      <dgm:prSet/>
      <dgm:spPr/>
      <dgm:t>
        <a:bodyPr/>
        <a:lstStyle/>
        <a:p>
          <a:endParaRPr lang="pl-PL"/>
        </a:p>
      </dgm:t>
    </dgm:pt>
    <dgm:pt modelId="{1BE09E7D-1C38-46D6-A72B-F5195520E2B4}">
      <dgm:prSet custT="1"/>
      <dgm:spPr/>
      <dgm:t>
        <a:bodyPr/>
        <a:lstStyle/>
        <a:p>
          <a:r>
            <a:rPr lang="pl-PL" sz="1200" b="1">
              <a:latin typeface="Times New Roman" pitchFamily="18" charset="0"/>
              <a:cs typeface="Times New Roman" pitchFamily="18" charset="0"/>
            </a:rPr>
            <a:t>PK</a:t>
          </a:r>
        </a:p>
        <a:p>
          <a:r>
            <a:rPr lang="pl-PL" sz="1100" b="1">
              <a:latin typeface="Times New Roman" pitchFamily="18" charset="0"/>
              <a:cs typeface="Times New Roman" pitchFamily="18" charset="0"/>
            </a:rPr>
            <a:t>4</a:t>
          </a:r>
          <a:r>
            <a:rPr lang="pl-PL" sz="1100" b="0">
              <a:latin typeface="Times New Roman" pitchFamily="18" charset="0"/>
              <a:cs typeface="Times New Roman" pitchFamily="18" charset="0"/>
            </a:rPr>
            <a:t> umowy </a:t>
          </a:r>
        </a:p>
        <a:p>
          <a:r>
            <a:rPr lang="pl-PL" sz="1100" b="1">
              <a:latin typeface="Times New Roman" pitchFamily="18" charset="0"/>
              <a:cs typeface="Times New Roman" pitchFamily="18" charset="0"/>
            </a:rPr>
            <a:t>22,72 mln EUR </a:t>
          </a:r>
          <a:r>
            <a:rPr lang="pl-PL" sz="1100" b="0">
              <a:latin typeface="Times New Roman" pitchFamily="18" charset="0"/>
              <a:cs typeface="Times New Roman" pitchFamily="18" charset="0"/>
            </a:rPr>
            <a:t>wartość</a:t>
          </a:r>
        </a:p>
        <a:p>
          <a:r>
            <a:rPr lang="pl-PL" sz="1100" b="1">
              <a:latin typeface="Times New Roman" pitchFamily="18" charset="0"/>
              <a:cs typeface="Times New Roman" pitchFamily="18" charset="0"/>
            </a:rPr>
            <a:t>19,22 mln EUR (82%) </a:t>
          </a:r>
          <a:r>
            <a:rPr lang="pl-PL" sz="1100" b="0">
              <a:latin typeface="Times New Roman" pitchFamily="18" charset="0"/>
              <a:cs typeface="Times New Roman" pitchFamily="18" charset="0"/>
            </a:rPr>
            <a:t>dofinansowanie</a:t>
          </a:r>
        </a:p>
        <a:p>
          <a:r>
            <a:rPr lang="pl-PL" sz="1100" b="1">
              <a:latin typeface="Times New Roman" pitchFamily="18" charset="0"/>
              <a:cs typeface="Times New Roman" pitchFamily="18" charset="0"/>
            </a:rPr>
            <a:t>0,53 mln EUR </a:t>
          </a:r>
          <a:r>
            <a:rPr lang="pl-PL" sz="1100" b="0">
              <a:latin typeface="Times New Roman" pitchFamily="18" charset="0"/>
              <a:cs typeface="Times New Roman" pitchFamily="18" charset="0"/>
            </a:rPr>
            <a:t>płatności</a:t>
          </a:r>
          <a:endParaRPr lang="pl-PL" sz="1100" b="0"/>
        </a:p>
      </dgm:t>
    </dgm:pt>
    <dgm:pt modelId="{452BD27D-ED27-4E37-A193-18827BD62023}" type="parTrans" cxnId="{3D0A3D58-2F8D-4F91-84DF-4E241F1245BF}">
      <dgm:prSet/>
      <dgm:spPr/>
      <dgm:t>
        <a:bodyPr/>
        <a:lstStyle/>
        <a:p>
          <a:endParaRPr lang="pl-PL"/>
        </a:p>
      </dgm:t>
    </dgm:pt>
    <dgm:pt modelId="{34F2C59C-28F5-4C34-B5DF-3CE414633D74}" type="sibTrans" cxnId="{3D0A3D58-2F8D-4F91-84DF-4E241F1245BF}">
      <dgm:prSet/>
      <dgm:spPr/>
      <dgm:t>
        <a:bodyPr/>
        <a:lstStyle/>
        <a:p>
          <a:endParaRPr lang="pl-PL"/>
        </a:p>
      </dgm:t>
    </dgm:pt>
    <dgm:pt modelId="{09BED3D6-FC0D-44EA-807E-86647DEF45CE}" type="pres">
      <dgm:prSet presAssocID="{D9B596A5-798B-4F41-AD2F-F848579601B4}" presName="hierChild1" presStyleCnt="0">
        <dgm:presLayoutVars>
          <dgm:chPref val="1"/>
          <dgm:dir/>
          <dgm:animOne val="branch"/>
          <dgm:animLvl val="lvl"/>
          <dgm:resizeHandles/>
        </dgm:presLayoutVars>
      </dgm:prSet>
      <dgm:spPr/>
      <dgm:t>
        <a:bodyPr/>
        <a:lstStyle/>
        <a:p>
          <a:endParaRPr lang="pl-PL"/>
        </a:p>
      </dgm:t>
    </dgm:pt>
    <dgm:pt modelId="{31129675-4B43-450A-A0DB-BC4BC7B3336F}" type="pres">
      <dgm:prSet presAssocID="{40236DF7-C2C5-415A-ACC2-CA7C3B469FFE}" presName="hierRoot1" presStyleCnt="0"/>
      <dgm:spPr/>
    </dgm:pt>
    <dgm:pt modelId="{F5E193BA-0AF3-4113-81F2-43F9934057EC}" type="pres">
      <dgm:prSet presAssocID="{40236DF7-C2C5-415A-ACC2-CA7C3B469FFE}" presName="composite" presStyleCnt="0"/>
      <dgm:spPr/>
    </dgm:pt>
    <dgm:pt modelId="{BF62D4FE-EA64-49E2-8232-8039E1E81435}" type="pres">
      <dgm:prSet presAssocID="{40236DF7-C2C5-415A-ACC2-CA7C3B469FFE}" presName="background" presStyleLbl="node0" presStyleIdx="0" presStyleCnt="1"/>
      <dgm:spPr/>
    </dgm:pt>
    <dgm:pt modelId="{2B75CD9B-75AC-469E-A566-F7D66F856908}" type="pres">
      <dgm:prSet presAssocID="{40236DF7-C2C5-415A-ACC2-CA7C3B469FFE}" presName="text" presStyleLbl="fgAcc0" presStyleIdx="0" presStyleCnt="1" custScaleX="205010" custScaleY="165843" custLinFactNeighborX="-625">
        <dgm:presLayoutVars>
          <dgm:chPref val="3"/>
        </dgm:presLayoutVars>
      </dgm:prSet>
      <dgm:spPr/>
      <dgm:t>
        <a:bodyPr/>
        <a:lstStyle/>
        <a:p>
          <a:endParaRPr lang="pl-PL"/>
        </a:p>
      </dgm:t>
    </dgm:pt>
    <dgm:pt modelId="{8BB401F7-E0FA-458A-9E13-4617B0ACF7A6}" type="pres">
      <dgm:prSet presAssocID="{40236DF7-C2C5-415A-ACC2-CA7C3B469FFE}" presName="hierChild2" presStyleCnt="0"/>
      <dgm:spPr/>
    </dgm:pt>
    <dgm:pt modelId="{2A551095-1900-4D96-ACFD-9E74E765AD33}" type="pres">
      <dgm:prSet presAssocID="{815BEDA5-3647-4D45-88B1-F0A53F963A58}" presName="Name10" presStyleLbl="parChTrans1D2" presStyleIdx="0" presStyleCnt="3"/>
      <dgm:spPr/>
      <dgm:t>
        <a:bodyPr/>
        <a:lstStyle/>
        <a:p>
          <a:endParaRPr lang="pl-PL"/>
        </a:p>
      </dgm:t>
    </dgm:pt>
    <dgm:pt modelId="{69682B22-1A56-454F-846E-A2CD576C0246}" type="pres">
      <dgm:prSet presAssocID="{BA8C7145-96E0-4BDD-A3CD-75A32D4E67B6}" presName="hierRoot2" presStyleCnt="0"/>
      <dgm:spPr/>
    </dgm:pt>
    <dgm:pt modelId="{A617C3D9-C3F9-4E57-962A-635D8EADD3FD}" type="pres">
      <dgm:prSet presAssocID="{BA8C7145-96E0-4BDD-A3CD-75A32D4E67B6}" presName="composite2" presStyleCnt="0"/>
      <dgm:spPr/>
    </dgm:pt>
    <dgm:pt modelId="{2B06B423-2E98-4C1C-BB14-8CFB3FAC68C0}" type="pres">
      <dgm:prSet presAssocID="{BA8C7145-96E0-4BDD-A3CD-75A32D4E67B6}" presName="background2" presStyleLbl="node2" presStyleIdx="0" presStyleCnt="3"/>
      <dgm:spPr/>
    </dgm:pt>
    <dgm:pt modelId="{BF04710E-19CD-41F0-9DF3-DF17AD83F590}" type="pres">
      <dgm:prSet presAssocID="{BA8C7145-96E0-4BDD-A3CD-75A32D4E67B6}" presName="text2" presStyleLbl="fgAcc2" presStyleIdx="0" presStyleCnt="3" custScaleX="108717" custScaleY="179770">
        <dgm:presLayoutVars>
          <dgm:chPref val="3"/>
        </dgm:presLayoutVars>
      </dgm:prSet>
      <dgm:spPr/>
      <dgm:t>
        <a:bodyPr/>
        <a:lstStyle/>
        <a:p>
          <a:endParaRPr lang="pl-PL"/>
        </a:p>
      </dgm:t>
    </dgm:pt>
    <dgm:pt modelId="{9EEC74EC-0C4D-49BC-9D7A-7EBBD1A80384}" type="pres">
      <dgm:prSet presAssocID="{BA8C7145-96E0-4BDD-A3CD-75A32D4E67B6}" presName="hierChild3" presStyleCnt="0"/>
      <dgm:spPr/>
    </dgm:pt>
    <dgm:pt modelId="{CB86E8F4-1233-497D-B879-79927E39CB38}" type="pres">
      <dgm:prSet presAssocID="{452BD27D-ED27-4E37-A193-18827BD62023}" presName="Name10" presStyleLbl="parChTrans1D2" presStyleIdx="1" presStyleCnt="3"/>
      <dgm:spPr/>
      <dgm:t>
        <a:bodyPr/>
        <a:lstStyle/>
        <a:p>
          <a:endParaRPr lang="pl-PL"/>
        </a:p>
      </dgm:t>
    </dgm:pt>
    <dgm:pt modelId="{C3573B5E-4EBD-435A-A0AB-9B89709A3E31}" type="pres">
      <dgm:prSet presAssocID="{1BE09E7D-1C38-46D6-A72B-F5195520E2B4}" presName="hierRoot2" presStyleCnt="0"/>
      <dgm:spPr/>
    </dgm:pt>
    <dgm:pt modelId="{3C147455-2A0A-4B43-903B-B0BAC8571CFD}" type="pres">
      <dgm:prSet presAssocID="{1BE09E7D-1C38-46D6-A72B-F5195520E2B4}" presName="composite2" presStyleCnt="0"/>
      <dgm:spPr/>
    </dgm:pt>
    <dgm:pt modelId="{567789D0-8F0E-4276-A762-C5426E109BD7}" type="pres">
      <dgm:prSet presAssocID="{1BE09E7D-1C38-46D6-A72B-F5195520E2B4}" presName="background2" presStyleLbl="node2" presStyleIdx="1" presStyleCnt="3"/>
      <dgm:spPr/>
    </dgm:pt>
    <dgm:pt modelId="{42847E85-4227-4A80-90A2-C1965907F459}" type="pres">
      <dgm:prSet presAssocID="{1BE09E7D-1C38-46D6-A72B-F5195520E2B4}" presName="text2" presStyleLbl="fgAcc2" presStyleIdx="1" presStyleCnt="3" custScaleX="113347" custScaleY="180932">
        <dgm:presLayoutVars>
          <dgm:chPref val="3"/>
        </dgm:presLayoutVars>
      </dgm:prSet>
      <dgm:spPr/>
      <dgm:t>
        <a:bodyPr/>
        <a:lstStyle/>
        <a:p>
          <a:endParaRPr lang="pl-PL"/>
        </a:p>
      </dgm:t>
    </dgm:pt>
    <dgm:pt modelId="{2C4F99EE-EA6C-498A-BDF8-7D2429A37023}" type="pres">
      <dgm:prSet presAssocID="{1BE09E7D-1C38-46D6-A72B-F5195520E2B4}" presName="hierChild3" presStyleCnt="0"/>
      <dgm:spPr/>
    </dgm:pt>
    <dgm:pt modelId="{FEE42C7D-82FB-4FBA-9AB9-43B672FF0AD0}" type="pres">
      <dgm:prSet presAssocID="{85481FE8-EB71-4EE6-8EAE-954F42B95524}" presName="Name10" presStyleLbl="parChTrans1D2" presStyleIdx="2" presStyleCnt="3"/>
      <dgm:spPr/>
      <dgm:t>
        <a:bodyPr/>
        <a:lstStyle/>
        <a:p>
          <a:endParaRPr lang="pl-PL"/>
        </a:p>
      </dgm:t>
    </dgm:pt>
    <dgm:pt modelId="{5E09042A-98DF-4F58-9CDF-FE292875F8A0}" type="pres">
      <dgm:prSet presAssocID="{4FAD41D2-87BA-4851-8945-34A809D11451}" presName="hierRoot2" presStyleCnt="0"/>
      <dgm:spPr/>
    </dgm:pt>
    <dgm:pt modelId="{B6D5A2FD-EE54-40EB-AD8C-39378C917846}" type="pres">
      <dgm:prSet presAssocID="{4FAD41D2-87BA-4851-8945-34A809D11451}" presName="composite2" presStyleCnt="0"/>
      <dgm:spPr/>
    </dgm:pt>
    <dgm:pt modelId="{DCC235DF-4F14-4BF4-B1F1-93023C721E72}" type="pres">
      <dgm:prSet presAssocID="{4FAD41D2-87BA-4851-8945-34A809D11451}" presName="background2" presStyleLbl="node2" presStyleIdx="2" presStyleCnt="3"/>
      <dgm:spPr/>
    </dgm:pt>
    <dgm:pt modelId="{122B4FAF-F0B9-4835-96F3-326424C825F2}" type="pres">
      <dgm:prSet presAssocID="{4FAD41D2-87BA-4851-8945-34A809D11451}" presName="text2" presStyleLbl="fgAcc2" presStyleIdx="2" presStyleCnt="3" custScaleX="112280" custScaleY="183124">
        <dgm:presLayoutVars>
          <dgm:chPref val="3"/>
        </dgm:presLayoutVars>
      </dgm:prSet>
      <dgm:spPr/>
      <dgm:t>
        <a:bodyPr/>
        <a:lstStyle/>
        <a:p>
          <a:endParaRPr lang="pl-PL"/>
        </a:p>
      </dgm:t>
    </dgm:pt>
    <dgm:pt modelId="{7E024528-56F8-4029-BB28-2C15832D9316}" type="pres">
      <dgm:prSet presAssocID="{4FAD41D2-87BA-4851-8945-34A809D11451}" presName="hierChild3" presStyleCnt="0"/>
      <dgm:spPr/>
    </dgm:pt>
  </dgm:ptLst>
  <dgm:cxnLst>
    <dgm:cxn modelId="{86BCBC37-B505-45E6-AFB2-07780E3D995B}" type="presOf" srcId="{4FAD41D2-87BA-4851-8945-34A809D11451}" destId="{122B4FAF-F0B9-4835-96F3-326424C825F2}" srcOrd="0" destOrd="0" presId="urn:microsoft.com/office/officeart/2005/8/layout/hierarchy1"/>
    <dgm:cxn modelId="{140DD5C8-4510-4565-9A25-75DAE53ED940}" type="presOf" srcId="{452BD27D-ED27-4E37-A193-18827BD62023}" destId="{CB86E8F4-1233-497D-B879-79927E39CB38}" srcOrd="0" destOrd="0" presId="urn:microsoft.com/office/officeart/2005/8/layout/hierarchy1"/>
    <dgm:cxn modelId="{A55EC46C-CD4E-4B9E-8118-2EF3571FED90}" type="presOf" srcId="{BA8C7145-96E0-4BDD-A3CD-75A32D4E67B6}" destId="{BF04710E-19CD-41F0-9DF3-DF17AD83F590}" srcOrd="0" destOrd="0" presId="urn:microsoft.com/office/officeart/2005/8/layout/hierarchy1"/>
    <dgm:cxn modelId="{A0B40DB7-FA63-48AD-A6FD-1391A60CB94B}" srcId="{40236DF7-C2C5-415A-ACC2-CA7C3B469FFE}" destId="{BA8C7145-96E0-4BDD-A3CD-75A32D4E67B6}" srcOrd="0" destOrd="0" parTransId="{815BEDA5-3647-4D45-88B1-F0A53F963A58}" sibTransId="{C4CAD21F-1F33-4439-937C-36838C98EE77}"/>
    <dgm:cxn modelId="{D248DF3C-DEA7-416B-8B5D-DBF64D740258}" type="presOf" srcId="{40236DF7-C2C5-415A-ACC2-CA7C3B469FFE}" destId="{2B75CD9B-75AC-469E-A566-F7D66F856908}" srcOrd="0" destOrd="0" presId="urn:microsoft.com/office/officeart/2005/8/layout/hierarchy1"/>
    <dgm:cxn modelId="{9B2F527E-EEBA-488C-ABC5-92CC589087B0}" srcId="{D9B596A5-798B-4F41-AD2F-F848579601B4}" destId="{40236DF7-C2C5-415A-ACC2-CA7C3B469FFE}" srcOrd="0" destOrd="0" parTransId="{97E651EE-6F13-4DB7-868E-72F8B0DF72A4}" sibTransId="{05497653-ABCB-4DE4-82D1-BC26665E4CBB}"/>
    <dgm:cxn modelId="{8F834E20-824E-4186-9C99-30A19F59233A}" type="presOf" srcId="{85481FE8-EB71-4EE6-8EAE-954F42B95524}" destId="{FEE42C7D-82FB-4FBA-9AB9-43B672FF0AD0}" srcOrd="0" destOrd="0" presId="urn:microsoft.com/office/officeart/2005/8/layout/hierarchy1"/>
    <dgm:cxn modelId="{33C809DA-F5FD-4B60-93D4-7930B175EDE1}" type="presOf" srcId="{815BEDA5-3647-4D45-88B1-F0A53F963A58}" destId="{2A551095-1900-4D96-ACFD-9E74E765AD33}" srcOrd="0" destOrd="0" presId="urn:microsoft.com/office/officeart/2005/8/layout/hierarchy1"/>
    <dgm:cxn modelId="{3D0A3D58-2F8D-4F91-84DF-4E241F1245BF}" srcId="{40236DF7-C2C5-415A-ACC2-CA7C3B469FFE}" destId="{1BE09E7D-1C38-46D6-A72B-F5195520E2B4}" srcOrd="1" destOrd="0" parTransId="{452BD27D-ED27-4E37-A193-18827BD62023}" sibTransId="{34F2C59C-28F5-4C34-B5DF-3CE414633D74}"/>
    <dgm:cxn modelId="{17BE05F7-D2E9-4D74-AA08-B13D726E014F}" srcId="{40236DF7-C2C5-415A-ACC2-CA7C3B469FFE}" destId="{4FAD41D2-87BA-4851-8945-34A809D11451}" srcOrd="2" destOrd="0" parTransId="{85481FE8-EB71-4EE6-8EAE-954F42B95524}" sibTransId="{44D71F0D-2F97-43F6-9305-2020FA0F11F3}"/>
    <dgm:cxn modelId="{24FCFF2D-5686-4ADC-A903-B004D88EC37E}" type="presOf" srcId="{D9B596A5-798B-4F41-AD2F-F848579601B4}" destId="{09BED3D6-FC0D-44EA-807E-86647DEF45CE}" srcOrd="0" destOrd="0" presId="urn:microsoft.com/office/officeart/2005/8/layout/hierarchy1"/>
    <dgm:cxn modelId="{000C3915-4983-43EA-A48C-80D710CE7EE6}" type="presOf" srcId="{1BE09E7D-1C38-46D6-A72B-F5195520E2B4}" destId="{42847E85-4227-4A80-90A2-C1965907F459}" srcOrd="0" destOrd="0" presId="urn:microsoft.com/office/officeart/2005/8/layout/hierarchy1"/>
    <dgm:cxn modelId="{DDC7D087-A5D8-4690-B287-51DC74E37915}" type="presParOf" srcId="{09BED3D6-FC0D-44EA-807E-86647DEF45CE}" destId="{31129675-4B43-450A-A0DB-BC4BC7B3336F}" srcOrd="0" destOrd="0" presId="urn:microsoft.com/office/officeart/2005/8/layout/hierarchy1"/>
    <dgm:cxn modelId="{B5A124D4-5D7A-445F-A2D8-57031472BC2A}" type="presParOf" srcId="{31129675-4B43-450A-A0DB-BC4BC7B3336F}" destId="{F5E193BA-0AF3-4113-81F2-43F9934057EC}" srcOrd="0" destOrd="0" presId="urn:microsoft.com/office/officeart/2005/8/layout/hierarchy1"/>
    <dgm:cxn modelId="{28102B81-4110-470B-B7FF-A4FEDE72E810}" type="presParOf" srcId="{F5E193BA-0AF3-4113-81F2-43F9934057EC}" destId="{BF62D4FE-EA64-49E2-8232-8039E1E81435}" srcOrd="0" destOrd="0" presId="urn:microsoft.com/office/officeart/2005/8/layout/hierarchy1"/>
    <dgm:cxn modelId="{E2AC82C7-FB4C-4F02-956A-35AB345815C6}" type="presParOf" srcId="{F5E193BA-0AF3-4113-81F2-43F9934057EC}" destId="{2B75CD9B-75AC-469E-A566-F7D66F856908}" srcOrd="1" destOrd="0" presId="urn:microsoft.com/office/officeart/2005/8/layout/hierarchy1"/>
    <dgm:cxn modelId="{4C605ED6-68B7-4D67-AB51-86DE0BB41976}" type="presParOf" srcId="{31129675-4B43-450A-A0DB-BC4BC7B3336F}" destId="{8BB401F7-E0FA-458A-9E13-4617B0ACF7A6}" srcOrd="1" destOrd="0" presId="urn:microsoft.com/office/officeart/2005/8/layout/hierarchy1"/>
    <dgm:cxn modelId="{D4D96FAC-A7E2-44A8-84DC-E6B2AEA3A14D}" type="presParOf" srcId="{8BB401F7-E0FA-458A-9E13-4617B0ACF7A6}" destId="{2A551095-1900-4D96-ACFD-9E74E765AD33}" srcOrd="0" destOrd="0" presId="urn:microsoft.com/office/officeart/2005/8/layout/hierarchy1"/>
    <dgm:cxn modelId="{B8BBBD9A-85FB-4D13-919A-D12E9B73ED23}" type="presParOf" srcId="{8BB401F7-E0FA-458A-9E13-4617B0ACF7A6}" destId="{69682B22-1A56-454F-846E-A2CD576C0246}" srcOrd="1" destOrd="0" presId="urn:microsoft.com/office/officeart/2005/8/layout/hierarchy1"/>
    <dgm:cxn modelId="{A7A409E6-227F-4634-B778-E32F9D9AE827}" type="presParOf" srcId="{69682B22-1A56-454F-846E-A2CD576C0246}" destId="{A617C3D9-C3F9-4E57-962A-635D8EADD3FD}" srcOrd="0" destOrd="0" presId="urn:microsoft.com/office/officeart/2005/8/layout/hierarchy1"/>
    <dgm:cxn modelId="{E9643151-3245-4080-8B62-AEECBE101DAE}" type="presParOf" srcId="{A617C3D9-C3F9-4E57-962A-635D8EADD3FD}" destId="{2B06B423-2E98-4C1C-BB14-8CFB3FAC68C0}" srcOrd="0" destOrd="0" presId="urn:microsoft.com/office/officeart/2005/8/layout/hierarchy1"/>
    <dgm:cxn modelId="{390F4B54-3269-4D00-B2C8-34B12370CF08}" type="presParOf" srcId="{A617C3D9-C3F9-4E57-962A-635D8EADD3FD}" destId="{BF04710E-19CD-41F0-9DF3-DF17AD83F590}" srcOrd="1" destOrd="0" presId="urn:microsoft.com/office/officeart/2005/8/layout/hierarchy1"/>
    <dgm:cxn modelId="{3D04AAF4-E980-499F-AC05-CDDBCA5F8CCB}" type="presParOf" srcId="{69682B22-1A56-454F-846E-A2CD576C0246}" destId="{9EEC74EC-0C4D-49BC-9D7A-7EBBD1A80384}" srcOrd="1" destOrd="0" presId="urn:microsoft.com/office/officeart/2005/8/layout/hierarchy1"/>
    <dgm:cxn modelId="{40907FFB-800B-40FC-BC50-25B06B36F268}" type="presParOf" srcId="{8BB401F7-E0FA-458A-9E13-4617B0ACF7A6}" destId="{CB86E8F4-1233-497D-B879-79927E39CB38}" srcOrd="2" destOrd="0" presId="urn:microsoft.com/office/officeart/2005/8/layout/hierarchy1"/>
    <dgm:cxn modelId="{DA8E1DA6-7AE9-4EF7-9F3A-8C64AF072DC8}" type="presParOf" srcId="{8BB401F7-E0FA-458A-9E13-4617B0ACF7A6}" destId="{C3573B5E-4EBD-435A-A0AB-9B89709A3E31}" srcOrd="3" destOrd="0" presId="urn:microsoft.com/office/officeart/2005/8/layout/hierarchy1"/>
    <dgm:cxn modelId="{36887B32-4D75-4B53-9316-AE5F53092F3F}" type="presParOf" srcId="{C3573B5E-4EBD-435A-A0AB-9B89709A3E31}" destId="{3C147455-2A0A-4B43-903B-B0BAC8571CFD}" srcOrd="0" destOrd="0" presId="urn:microsoft.com/office/officeart/2005/8/layout/hierarchy1"/>
    <dgm:cxn modelId="{771CF78D-3405-4398-82E8-03F842D1BD84}" type="presParOf" srcId="{3C147455-2A0A-4B43-903B-B0BAC8571CFD}" destId="{567789D0-8F0E-4276-A762-C5426E109BD7}" srcOrd="0" destOrd="0" presId="urn:microsoft.com/office/officeart/2005/8/layout/hierarchy1"/>
    <dgm:cxn modelId="{49629C59-065B-4B59-AE30-E90C9586633E}" type="presParOf" srcId="{3C147455-2A0A-4B43-903B-B0BAC8571CFD}" destId="{42847E85-4227-4A80-90A2-C1965907F459}" srcOrd="1" destOrd="0" presId="urn:microsoft.com/office/officeart/2005/8/layout/hierarchy1"/>
    <dgm:cxn modelId="{E90F7542-BBEA-4479-A610-6EDD3DC42F8D}" type="presParOf" srcId="{C3573B5E-4EBD-435A-A0AB-9B89709A3E31}" destId="{2C4F99EE-EA6C-498A-BDF8-7D2429A37023}" srcOrd="1" destOrd="0" presId="urn:microsoft.com/office/officeart/2005/8/layout/hierarchy1"/>
    <dgm:cxn modelId="{0444EA53-3A72-4B92-A8D6-1367AE3467BC}" type="presParOf" srcId="{8BB401F7-E0FA-458A-9E13-4617B0ACF7A6}" destId="{FEE42C7D-82FB-4FBA-9AB9-43B672FF0AD0}" srcOrd="4" destOrd="0" presId="urn:microsoft.com/office/officeart/2005/8/layout/hierarchy1"/>
    <dgm:cxn modelId="{F34D2FFA-0A96-41A6-A144-C47A24DEBA5D}" type="presParOf" srcId="{8BB401F7-E0FA-458A-9E13-4617B0ACF7A6}" destId="{5E09042A-98DF-4F58-9CDF-FE292875F8A0}" srcOrd="5" destOrd="0" presId="urn:microsoft.com/office/officeart/2005/8/layout/hierarchy1"/>
    <dgm:cxn modelId="{394104EF-C62F-41B5-90B3-61D807153C04}" type="presParOf" srcId="{5E09042A-98DF-4F58-9CDF-FE292875F8A0}" destId="{B6D5A2FD-EE54-40EB-AD8C-39378C917846}" srcOrd="0" destOrd="0" presId="urn:microsoft.com/office/officeart/2005/8/layout/hierarchy1"/>
    <dgm:cxn modelId="{AE5A46B2-52C7-4678-A9A2-24EAFEF7DC0B}" type="presParOf" srcId="{B6D5A2FD-EE54-40EB-AD8C-39378C917846}" destId="{DCC235DF-4F14-4BF4-B1F1-93023C721E72}" srcOrd="0" destOrd="0" presId="urn:microsoft.com/office/officeart/2005/8/layout/hierarchy1"/>
    <dgm:cxn modelId="{30EAE89A-9235-4921-8B2A-90DFDE9D469A}" type="presParOf" srcId="{B6D5A2FD-EE54-40EB-AD8C-39378C917846}" destId="{122B4FAF-F0B9-4835-96F3-326424C825F2}" srcOrd="1" destOrd="0" presId="urn:microsoft.com/office/officeart/2005/8/layout/hierarchy1"/>
    <dgm:cxn modelId="{1DC4A1AC-EE28-4BE1-8310-197EEC928B3F}" type="presParOf" srcId="{5E09042A-98DF-4F58-9CDF-FE292875F8A0}" destId="{7E024528-56F8-4029-BB28-2C15832D9316}" srcOrd="1" destOrd="0" presId="urn:microsoft.com/office/officeart/2005/8/layout/hierarchy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FBC98-A96E-4EB7-969B-416F229941FF}">
      <dsp:nvSpPr>
        <dsp:cNvPr id="0" name=""/>
        <dsp:cNvSpPr/>
      </dsp:nvSpPr>
      <dsp:spPr>
        <a:xfrm rot="10800000">
          <a:off x="0" y="0"/>
          <a:ext cx="50291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0"/>
              <a:satOff val="0"/>
              <a:lumOff val="0"/>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Transport- 26,34%</a:t>
          </a:r>
        </a:p>
      </dsp:txBody>
      <dsp:txXfrm rot="-10800000">
        <a:off x="880109" y="0"/>
        <a:ext cx="3268979" cy="531283"/>
      </dsp:txXfrm>
    </dsp:sp>
    <dsp:sp modelId="{C35BEE18-518B-4CC7-8F34-6EF4D7083621}">
      <dsp:nvSpPr>
        <dsp:cNvPr id="0" name=""/>
        <dsp:cNvSpPr/>
      </dsp:nvSpPr>
      <dsp:spPr>
        <a:xfrm rot="10800000">
          <a:off x="303853" y="531283"/>
          <a:ext cx="4421492" cy="531283"/>
        </a:xfrm>
        <a:prstGeom prst="trapezoid">
          <a:avLst>
            <a:gd name="adj" fmla="val 52590"/>
          </a:avLst>
        </a:prstGeom>
        <a:solidFill>
          <a:schemeClr val="bg1">
            <a:lumMod val="75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2552880"/>
              <a:satOff val="-2998"/>
              <a:lumOff val="1152"/>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Zrównoważony rozwój miast- 17,90%</a:t>
          </a:r>
        </a:p>
      </dsp:txBody>
      <dsp:txXfrm rot="-10800000">
        <a:off x="1077614" y="531283"/>
        <a:ext cx="2873970" cy="531283"/>
      </dsp:txXfrm>
    </dsp:sp>
    <dsp:sp modelId="{B281C17F-906E-48A1-8B5D-1D1496DF6A37}">
      <dsp:nvSpPr>
        <dsp:cNvPr id="0" name=""/>
        <dsp:cNvSpPr/>
      </dsp:nvSpPr>
      <dsp:spPr>
        <a:xfrm rot="10800000">
          <a:off x="558799" y="1062566"/>
          <a:ext cx="39115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5105759"/>
              <a:satOff val="-5996"/>
              <a:lumOff val="2304"/>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B+R, innowacje, przedsiebiorczość - 16,96%</a:t>
          </a:r>
        </a:p>
      </dsp:txBody>
      <dsp:txXfrm rot="-10800000">
        <a:off x="1243329" y="1062566"/>
        <a:ext cx="2542539" cy="531283"/>
      </dsp:txXfrm>
    </dsp:sp>
    <dsp:sp modelId="{D5EF1B7A-7846-4FE3-925B-0BEB7077EF79}">
      <dsp:nvSpPr>
        <dsp:cNvPr id="0" name=""/>
        <dsp:cNvSpPr/>
      </dsp:nvSpPr>
      <dsp:spPr>
        <a:xfrm rot="10800000">
          <a:off x="838199" y="1593849"/>
          <a:ext cx="3352799" cy="531283"/>
        </a:xfrm>
        <a:prstGeom prst="trapezoid">
          <a:avLst>
            <a:gd name="adj" fmla="val 52590"/>
          </a:avLst>
        </a:prstGeom>
        <a:solidFill>
          <a:schemeClr val="tx2">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7658639"/>
              <a:satOff val="-8995"/>
              <a:lumOff val="3456"/>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Środowisko - 10,34%</a:t>
          </a:r>
        </a:p>
      </dsp:txBody>
      <dsp:txXfrm rot="-10800000">
        <a:off x="1424939" y="1593849"/>
        <a:ext cx="2179319" cy="531283"/>
      </dsp:txXfrm>
    </dsp:sp>
    <dsp:sp modelId="{62FF0D7C-2A3D-4233-B565-77842EEEC5A1}">
      <dsp:nvSpPr>
        <dsp:cNvPr id="0" name=""/>
        <dsp:cNvSpPr/>
      </dsp:nvSpPr>
      <dsp:spPr>
        <a:xfrm rot="10800000">
          <a:off x="1117599" y="2125132"/>
          <a:ext cx="27939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10211518"/>
              <a:satOff val="-11993"/>
              <a:lumOff val="4608"/>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Społeczeństwo informacyjne - 8,59%</a:t>
          </a:r>
        </a:p>
      </dsp:txBody>
      <dsp:txXfrm rot="-10800000">
        <a:off x="1606549" y="2125132"/>
        <a:ext cx="1816099" cy="531283"/>
      </dsp:txXfrm>
    </dsp:sp>
    <dsp:sp modelId="{0EE56840-546E-4A6F-9FB6-A9D7F55D5B75}">
      <dsp:nvSpPr>
        <dsp:cNvPr id="0" name=""/>
        <dsp:cNvSpPr/>
      </dsp:nvSpPr>
      <dsp:spPr>
        <a:xfrm rot="10800000">
          <a:off x="1396999" y="2656416"/>
          <a:ext cx="2235199" cy="531283"/>
        </a:xfrm>
        <a:prstGeom prst="trapezoid">
          <a:avLst>
            <a:gd name="adj" fmla="val 52590"/>
          </a:avLst>
        </a:prstGeom>
        <a:solidFill>
          <a:schemeClr val="bg1">
            <a:lumMod val="75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12764398"/>
              <a:satOff val="-14991"/>
              <a:lumOff val="5760"/>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Turystyka - 6,32%</a:t>
          </a:r>
        </a:p>
      </dsp:txBody>
      <dsp:txXfrm rot="-10800000">
        <a:off x="1788159" y="2656416"/>
        <a:ext cx="1452879" cy="531283"/>
      </dsp:txXfrm>
    </dsp:sp>
    <dsp:sp modelId="{E1FE3F6E-31EA-41DF-A48D-894C82F58AE9}">
      <dsp:nvSpPr>
        <dsp:cNvPr id="0" name=""/>
        <dsp:cNvSpPr/>
      </dsp:nvSpPr>
      <dsp:spPr>
        <a:xfrm rot="10800000">
          <a:off x="1676399" y="3187699"/>
          <a:ext cx="16763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15317278"/>
              <a:satOff val="-17989"/>
              <a:lumOff val="6912"/>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Edukacja - 4,72%</a:t>
          </a:r>
        </a:p>
      </dsp:txBody>
      <dsp:txXfrm rot="-10800000">
        <a:off x="1969769" y="3187699"/>
        <a:ext cx="1089659" cy="531283"/>
      </dsp:txXfrm>
    </dsp:sp>
    <dsp:sp modelId="{A24C2AEE-249A-49C5-B222-65CBF4F6A9B1}">
      <dsp:nvSpPr>
        <dsp:cNvPr id="0" name=""/>
        <dsp:cNvSpPr/>
      </dsp:nvSpPr>
      <dsp:spPr>
        <a:xfrm rot="10800000">
          <a:off x="1955799" y="3718982"/>
          <a:ext cx="1117599" cy="531283"/>
        </a:xfrm>
        <a:prstGeom prst="trapezoid">
          <a:avLst>
            <a:gd name="adj" fmla="val 52590"/>
          </a:avLst>
        </a:prstGeom>
        <a:solidFill>
          <a:schemeClr val="bg1">
            <a:lumMod val="75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17870156"/>
              <a:satOff val="-20988"/>
              <a:lumOff val="8064"/>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Zdrowie - 3,31%</a:t>
          </a:r>
        </a:p>
      </dsp:txBody>
      <dsp:txXfrm rot="-10800000">
        <a:off x="2151379" y="3718982"/>
        <a:ext cx="726439" cy="531283"/>
      </dsp:txXfrm>
    </dsp:sp>
    <dsp:sp modelId="{F1B8EAC3-53FD-4311-B83A-0A05E3810910}">
      <dsp:nvSpPr>
        <dsp:cNvPr id="0" name=""/>
        <dsp:cNvSpPr/>
      </dsp:nvSpPr>
      <dsp:spPr>
        <a:xfrm rot="10800000">
          <a:off x="2235199" y="4250265"/>
          <a:ext cx="5587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20423036"/>
              <a:satOff val="-23986"/>
              <a:lumOff val="9216"/>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Kultura 3,05%</a:t>
          </a:r>
        </a:p>
      </dsp:txBody>
      <dsp:txXfrm rot="-10800000">
        <a:off x="2235199" y="4250265"/>
        <a:ext cx="558799" cy="53128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61F9D0-C642-4FEC-B3E1-28303652F562}">
      <dsp:nvSpPr>
        <dsp:cNvPr id="0" name=""/>
        <dsp:cNvSpPr/>
      </dsp:nvSpPr>
      <dsp:spPr>
        <a:xfrm>
          <a:off x="2999432" y="1293694"/>
          <a:ext cx="2240635" cy="332809"/>
        </a:xfrm>
        <a:custGeom>
          <a:avLst/>
          <a:gdLst/>
          <a:ahLst/>
          <a:cxnLst/>
          <a:rect l="0" t="0" r="0" b="0"/>
          <a:pathLst>
            <a:path>
              <a:moveTo>
                <a:pt x="0" y="0"/>
              </a:moveTo>
              <a:lnTo>
                <a:pt x="0" y="224802"/>
              </a:lnTo>
              <a:lnTo>
                <a:pt x="2240635" y="224802"/>
              </a:lnTo>
              <a:lnTo>
                <a:pt x="2240635" y="332809"/>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11717CF-46C5-4059-BE21-3A85AA1C76DD}">
      <dsp:nvSpPr>
        <dsp:cNvPr id="0" name=""/>
        <dsp:cNvSpPr/>
      </dsp:nvSpPr>
      <dsp:spPr>
        <a:xfrm>
          <a:off x="2999432" y="1293694"/>
          <a:ext cx="842528" cy="332809"/>
        </a:xfrm>
        <a:custGeom>
          <a:avLst/>
          <a:gdLst/>
          <a:ahLst/>
          <a:cxnLst/>
          <a:rect l="0" t="0" r="0" b="0"/>
          <a:pathLst>
            <a:path>
              <a:moveTo>
                <a:pt x="0" y="0"/>
              </a:moveTo>
              <a:lnTo>
                <a:pt x="0" y="224802"/>
              </a:lnTo>
              <a:lnTo>
                <a:pt x="842528" y="224802"/>
              </a:lnTo>
              <a:lnTo>
                <a:pt x="842528" y="332809"/>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98FF5D-036E-4488-AFD3-770CDE76F8ED}">
      <dsp:nvSpPr>
        <dsp:cNvPr id="0" name=""/>
        <dsp:cNvSpPr/>
      </dsp:nvSpPr>
      <dsp:spPr>
        <a:xfrm>
          <a:off x="2344333" y="1293694"/>
          <a:ext cx="655099" cy="314582"/>
        </a:xfrm>
        <a:custGeom>
          <a:avLst/>
          <a:gdLst/>
          <a:ahLst/>
          <a:cxnLst/>
          <a:rect l="0" t="0" r="0" b="0"/>
          <a:pathLst>
            <a:path>
              <a:moveTo>
                <a:pt x="655099" y="0"/>
              </a:moveTo>
              <a:lnTo>
                <a:pt x="655099" y="206575"/>
              </a:lnTo>
              <a:lnTo>
                <a:pt x="0" y="206575"/>
              </a:lnTo>
              <a:lnTo>
                <a:pt x="0" y="314582"/>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0BBDE4-7335-4021-BFAE-019E56A023B2}">
      <dsp:nvSpPr>
        <dsp:cNvPr id="0" name=""/>
        <dsp:cNvSpPr/>
      </dsp:nvSpPr>
      <dsp:spPr>
        <a:xfrm>
          <a:off x="737874" y="1293694"/>
          <a:ext cx="2261557" cy="348401"/>
        </a:xfrm>
        <a:custGeom>
          <a:avLst/>
          <a:gdLst/>
          <a:ahLst/>
          <a:cxnLst/>
          <a:rect l="0" t="0" r="0" b="0"/>
          <a:pathLst>
            <a:path>
              <a:moveTo>
                <a:pt x="2261557" y="0"/>
              </a:moveTo>
              <a:lnTo>
                <a:pt x="2261557" y="240394"/>
              </a:lnTo>
              <a:lnTo>
                <a:pt x="0" y="240394"/>
              </a:lnTo>
              <a:lnTo>
                <a:pt x="0" y="348401"/>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153A06A-C339-4EB3-A189-6786FB6DA1EE}">
      <dsp:nvSpPr>
        <dsp:cNvPr id="0" name=""/>
        <dsp:cNvSpPr/>
      </dsp:nvSpPr>
      <dsp:spPr>
        <a:xfrm>
          <a:off x="1309312" y="13413"/>
          <a:ext cx="3380240" cy="1280281"/>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B771203E-8DF7-4205-8E32-8B8FADE1CC3D}">
      <dsp:nvSpPr>
        <dsp:cNvPr id="0" name=""/>
        <dsp:cNvSpPr/>
      </dsp:nvSpPr>
      <dsp:spPr>
        <a:xfrm>
          <a:off x="1438856" y="136479"/>
          <a:ext cx="3380240" cy="1280281"/>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PRIORYTET VI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73</a:t>
          </a:r>
          <a:r>
            <a:rPr lang="pl-PL" sz="1100" kern="1200" dirty="0" smtClean="0">
              <a:latin typeface="Times New Roman" pitchFamily="18" charset="0"/>
              <a:cs typeface="Times New Roman" pitchFamily="18" charset="0"/>
            </a:rPr>
            <a:t> umowy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440,95 mln EUR </a:t>
          </a:r>
          <a:r>
            <a:rPr lang="pl-PL" sz="1100" kern="1200" dirty="0" smtClean="0">
              <a:latin typeface="Times New Roman" pitchFamily="18" charset="0"/>
              <a:cs typeface="Times New Roman" pitchFamily="18" charset="0"/>
            </a:rPr>
            <a:t>wartość</a:t>
          </a:r>
          <a:br>
            <a:rPr lang="pl-PL" sz="1100" kern="1200" dirty="0" smtClean="0">
              <a:latin typeface="Times New Roman" pitchFamily="18" charset="0"/>
              <a:cs typeface="Times New Roman" pitchFamily="18" charset="0"/>
            </a:rPr>
          </a:br>
          <a:r>
            <a:rPr lang="pl-PL" sz="1100" b="1" kern="1200" dirty="0" smtClean="0">
              <a:latin typeface="Times New Roman" pitchFamily="18" charset="0"/>
              <a:cs typeface="Times New Roman" pitchFamily="18" charset="0"/>
            </a:rPr>
            <a:t>262,33 mln EUR </a:t>
          </a: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101,84 mln EUR </a:t>
          </a:r>
          <a:r>
            <a:rPr lang="pl-PL" sz="1100" b="0" kern="1200" dirty="0" smtClean="0">
              <a:latin typeface="Times New Roman" pitchFamily="18" charset="0"/>
              <a:cs typeface="Times New Roman" pitchFamily="18" charset="0"/>
            </a:rPr>
            <a:t>płatności</a:t>
          </a:r>
          <a:endParaRPr lang="pl-PL" sz="1100" b="0" kern="1200" dirty="0">
            <a:latin typeface="Times New Roman" pitchFamily="18" charset="0"/>
            <a:cs typeface="Times New Roman" pitchFamily="18" charset="0"/>
          </a:endParaRPr>
        </a:p>
      </dsp:txBody>
      <dsp:txXfrm>
        <a:off x="1476354" y="173977"/>
        <a:ext cx="3305244" cy="1205285"/>
      </dsp:txXfrm>
    </dsp:sp>
    <dsp:sp modelId="{43525AA2-7C9D-4D26-A343-EB7E8E06A996}">
      <dsp:nvSpPr>
        <dsp:cNvPr id="0" name=""/>
        <dsp:cNvSpPr/>
      </dsp:nvSpPr>
      <dsp:spPr>
        <a:xfrm>
          <a:off x="4778" y="1642096"/>
          <a:ext cx="1466192" cy="1944257"/>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D5A6BAC2-671C-410A-9505-EFF4AE58FA6F}">
      <dsp:nvSpPr>
        <dsp:cNvPr id="0" name=""/>
        <dsp:cNvSpPr/>
      </dsp:nvSpPr>
      <dsp:spPr>
        <a:xfrm>
          <a:off x="134322" y="1765162"/>
          <a:ext cx="1466192" cy="1944257"/>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pl-PL" sz="1200" b="1" kern="1200" dirty="0" smtClean="0">
            <a:latin typeface="Times New Roman" pitchFamily="18" charset="0"/>
            <a:cs typeface="Times New Roman" pitchFamily="18" charset="0"/>
          </a:endParaRPr>
        </a:p>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KONKURSY</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38 </a:t>
          </a:r>
          <a:r>
            <a:rPr lang="pl-PL" sz="1100" kern="1200" dirty="0" smtClean="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67,22 mln EUR </a:t>
          </a:r>
          <a:r>
            <a:rPr lang="pl-PL" sz="1100" kern="1200" dirty="0" smtClean="0">
              <a:latin typeface="Times New Roman" pitchFamily="18" charset="0"/>
              <a:cs typeface="Times New Roman" pitchFamily="18" charset="0"/>
            </a:rPr>
            <a:t/>
          </a:r>
          <a:br>
            <a:rPr lang="pl-PL" sz="1100" kern="1200" dirty="0" smtClean="0">
              <a:latin typeface="Times New Roman" pitchFamily="18" charset="0"/>
              <a:cs typeface="Times New Roman" pitchFamily="18" charset="0"/>
            </a:rPr>
          </a:br>
          <a:r>
            <a:rPr lang="pl-PL" sz="1100" kern="1200" dirty="0" smtClean="0">
              <a:latin typeface="Times New Roman" pitchFamily="18" charset="0"/>
              <a:cs typeface="Times New Roman" pitchFamily="18" charset="0"/>
            </a:rPr>
            <a:t>wartość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43,50 mln EUR (34%) </a:t>
          </a: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5,87 mln EUR </a:t>
          </a:r>
          <a:r>
            <a:rPr lang="pl-PL" sz="1100" b="0" kern="1200" dirty="0" smtClean="0">
              <a:latin typeface="Times New Roman" pitchFamily="18" charset="0"/>
              <a:cs typeface="Times New Roman" pitchFamily="18" charset="0"/>
            </a:rPr>
            <a:t>płatności</a:t>
          </a:r>
        </a:p>
        <a:p>
          <a:pPr lvl="0" algn="ctr" defTabSz="533400">
            <a:lnSpc>
              <a:spcPct val="90000"/>
            </a:lnSpc>
            <a:spcBef>
              <a:spcPct val="0"/>
            </a:spcBef>
            <a:spcAft>
              <a:spcPct val="35000"/>
            </a:spcAft>
          </a:pPr>
          <a:endParaRPr lang="pl-PL" sz="1200" b="1" kern="1200" dirty="0" smtClean="0">
            <a:latin typeface="Times New Roman" pitchFamily="18" charset="0"/>
            <a:cs typeface="Times New Roman" pitchFamily="18" charset="0"/>
          </a:endParaRPr>
        </a:p>
        <a:p>
          <a:pPr lvl="0" algn="ctr" defTabSz="533400">
            <a:lnSpc>
              <a:spcPct val="90000"/>
            </a:lnSpc>
            <a:spcBef>
              <a:spcPct val="0"/>
            </a:spcBef>
            <a:spcAft>
              <a:spcPct val="35000"/>
            </a:spcAft>
          </a:pPr>
          <a:endParaRPr lang="pl-PL" sz="1200" b="1" kern="1200" dirty="0">
            <a:latin typeface="Times New Roman" pitchFamily="18" charset="0"/>
            <a:cs typeface="Times New Roman" pitchFamily="18" charset="0"/>
          </a:endParaRPr>
        </a:p>
      </dsp:txBody>
      <dsp:txXfrm>
        <a:off x="177265" y="1808105"/>
        <a:ext cx="1380306" cy="1858371"/>
      </dsp:txXfrm>
    </dsp:sp>
    <dsp:sp modelId="{3C65DEDE-82B1-497B-AFF2-165152FF352B}">
      <dsp:nvSpPr>
        <dsp:cNvPr id="0" name=""/>
        <dsp:cNvSpPr/>
      </dsp:nvSpPr>
      <dsp:spPr>
        <a:xfrm>
          <a:off x="1710693" y="1608277"/>
          <a:ext cx="1267279" cy="2013679"/>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814AA9A0-4B4D-4570-B280-0D2D27369AAD}">
      <dsp:nvSpPr>
        <dsp:cNvPr id="0" name=""/>
        <dsp:cNvSpPr/>
      </dsp:nvSpPr>
      <dsp:spPr>
        <a:xfrm>
          <a:off x="1840236" y="1731343"/>
          <a:ext cx="1267279" cy="2013679"/>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PK</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5</a:t>
          </a:r>
          <a:r>
            <a:rPr lang="pl-PL" sz="1100" kern="1200" dirty="0" smtClean="0">
              <a:latin typeface="Times New Roman" pitchFamily="18" charset="0"/>
              <a:cs typeface="Times New Roman" pitchFamily="18" charset="0"/>
            </a:rPr>
            <a:t> umów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250,03 mln EUR </a:t>
          </a:r>
          <a:r>
            <a:rPr lang="pl-PL" sz="1100" kern="1200" dirty="0" smtClean="0">
              <a:latin typeface="Times New Roman" pitchFamily="18" charset="0"/>
              <a:cs typeface="Times New Roman" pitchFamily="18" charset="0"/>
            </a:rPr>
            <a:t/>
          </a:r>
          <a:br>
            <a:rPr lang="pl-PL" sz="1100" kern="1200" dirty="0" smtClean="0">
              <a:latin typeface="Times New Roman" pitchFamily="18" charset="0"/>
              <a:cs typeface="Times New Roman" pitchFamily="18" charset="0"/>
            </a:rPr>
          </a:br>
          <a:r>
            <a:rPr lang="pl-PL" sz="1100" kern="1200" dirty="0" smtClean="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129,95 mln EUR (89%) </a:t>
          </a: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16,47 mln EUR </a:t>
          </a:r>
          <a:r>
            <a:rPr lang="pl-PL" sz="1100" b="0" kern="1200" dirty="0" smtClean="0">
              <a:latin typeface="Times New Roman" pitchFamily="18" charset="0"/>
              <a:cs typeface="Times New Roman" pitchFamily="18" charset="0"/>
            </a:rPr>
            <a:t>płatności </a:t>
          </a:r>
        </a:p>
        <a:p>
          <a:pPr lvl="0" algn="ctr" defTabSz="533400">
            <a:lnSpc>
              <a:spcPct val="90000"/>
            </a:lnSpc>
            <a:spcBef>
              <a:spcPct val="0"/>
            </a:spcBef>
            <a:spcAft>
              <a:spcPct val="35000"/>
            </a:spcAft>
          </a:pPr>
          <a:endParaRPr lang="pl-PL" sz="1200" b="1" kern="1200" dirty="0" smtClean="0">
            <a:latin typeface="Times New Roman" pitchFamily="18" charset="0"/>
            <a:cs typeface="Times New Roman" pitchFamily="18" charset="0"/>
          </a:endParaRPr>
        </a:p>
      </dsp:txBody>
      <dsp:txXfrm>
        <a:off x="1877353" y="1768460"/>
        <a:ext cx="1193045" cy="1939445"/>
      </dsp:txXfrm>
    </dsp:sp>
    <dsp:sp modelId="{63651AB7-1BFF-4160-A702-17D9C41E3A29}">
      <dsp:nvSpPr>
        <dsp:cNvPr id="0" name=""/>
        <dsp:cNvSpPr/>
      </dsp:nvSpPr>
      <dsp:spPr>
        <a:xfrm>
          <a:off x="3259014" y="1626504"/>
          <a:ext cx="1165893" cy="1990588"/>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5BF28909-8113-4A0A-B169-1F5AEE505A9A}">
      <dsp:nvSpPr>
        <dsp:cNvPr id="0" name=""/>
        <dsp:cNvSpPr/>
      </dsp:nvSpPr>
      <dsp:spPr>
        <a:xfrm>
          <a:off x="3388557" y="1749570"/>
          <a:ext cx="1165893" cy="1990588"/>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PRS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29</a:t>
          </a:r>
          <a:r>
            <a:rPr lang="pl-PL" sz="1100" kern="1200" dirty="0" smtClean="0">
              <a:latin typeface="Times New Roman" pitchFamily="18" charset="0"/>
              <a:cs typeface="Times New Roman" pitchFamily="18" charset="0"/>
            </a:rPr>
            <a:t> umów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68,12 mln EUR </a:t>
          </a:r>
          <a:r>
            <a:rPr lang="pl-PL" sz="1100" kern="1200" dirty="0" smtClean="0">
              <a:latin typeface="Times New Roman" pitchFamily="18" charset="0"/>
              <a:cs typeface="Times New Roman" pitchFamily="18" charset="0"/>
            </a:rPr>
            <a:t/>
          </a:r>
          <a:br>
            <a:rPr lang="pl-PL" sz="1100" kern="1200" dirty="0" smtClean="0">
              <a:latin typeface="Times New Roman" pitchFamily="18" charset="0"/>
              <a:cs typeface="Times New Roman" pitchFamily="18" charset="0"/>
            </a:rPr>
          </a:br>
          <a:r>
            <a:rPr lang="pl-PL" sz="1100" kern="1200" dirty="0" smtClean="0">
              <a:latin typeface="Times New Roman" pitchFamily="18" charset="0"/>
              <a:cs typeface="Times New Roman" pitchFamily="18" charset="0"/>
            </a:rPr>
            <a:t>wartość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33,52 mln EUR (84%) </a:t>
          </a: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23,88 mln EUR </a:t>
          </a:r>
          <a:r>
            <a:rPr lang="pl-PL" sz="1100" b="0" kern="1200" dirty="0" smtClean="0">
              <a:latin typeface="Times New Roman" pitchFamily="18" charset="0"/>
              <a:cs typeface="Times New Roman" pitchFamily="18" charset="0"/>
            </a:rPr>
            <a:t>płatności</a:t>
          </a:r>
          <a:endParaRPr lang="pl-PL" sz="1100" b="0" kern="1200" dirty="0">
            <a:latin typeface="Times New Roman" pitchFamily="18" charset="0"/>
            <a:cs typeface="Times New Roman" pitchFamily="18" charset="0"/>
          </a:endParaRPr>
        </a:p>
      </dsp:txBody>
      <dsp:txXfrm>
        <a:off x="3422705" y="1783718"/>
        <a:ext cx="1097597" cy="1922292"/>
      </dsp:txXfrm>
    </dsp:sp>
    <dsp:sp modelId="{B3E716BF-24A8-40DB-89C2-38A357949589}">
      <dsp:nvSpPr>
        <dsp:cNvPr id="0" name=""/>
        <dsp:cNvSpPr/>
      </dsp:nvSpPr>
      <dsp:spPr>
        <a:xfrm>
          <a:off x="4657121" y="1626504"/>
          <a:ext cx="1165893" cy="2018136"/>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88DC67A7-995A-4863-89DE-C1BF841310A3}">
      <dsp:nvSpPr>
        <dsp:cNvPr id="0" name=""/>
        <dsp:cNvSpPr/>
      </dsp:nvSpPr>
      <dsp:spPr>
        <a:xfrm>
          <a:off x="4786664" y="1749570"/>
          <a:ext cx="1165893" cy="2018136"/>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JESSICA</a:t>
          </a:r>
        </a:p>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1</a:t>
          </a:r>
          <a:r>
            <a:rPr lang="pl-PL" sz="1200" kern="1200" dirty="0" smtClean="0">
              <a:latin typeface="Times New Roman" pitchFamily="18" charset="0"/>
              <a:cs typeface="Times New Roman" pitchFamily="18" charset="0"/>
            </a:rPr>
            <a:t> umowa </a:t>
          </a:r>
        </a:p>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55,14 mln EUR </a:t>
          </a:r>
          <a:r>
            <a:rPr lang="pl-PL" sz="1200" kern="1200" dirty="0" smtClean="0">
              <a:latin typeface="Times New Roman" pitchFamily="18" charset="0"/>
              <a:cs typeface="Times New Roman" pitchFamily="18" charset="0"/>
            </a:rPr>
            <a:t/>
          </a:r>
          <a:br>
            <a:rPr lang="pl-PL" sz="1200" kern="1200" dirty="0" smtClean="0">
              <a:latin typeface="Times New Roman" pitchFamily="18" charset="0"/>
              <a:cs typeface="Times New Roman" pitchFamily="18" charset="0"/>
            </a:rPr>
          </a:br>
          <a:r>
            <a:rPr lang="pl-PL" sz="1200" kern="1200" dirty="0" smtClean="0">
              <a:latin typeface="Times New Roman" pitchFamily="18" charset="0"/>
              <a:cs typeface="Times New Roman" pitchFamily="18" charset="0"/>
            </a:rPr>
            <a:t>dofinansowanie</a:t>
          </a:r>
          <a:endParaRPr lang="pl-PL" sz="1200" b="1" kern="1200" dirty="0" smtClean="0">
            <a:latin typeface="Times New Roman" pitchFamily="18" charset="0"/>
            <a:cs typeface="Times New Roman" pitchFamily="18" charset="0"/>
          </a:endParaRPr>
        </a:p>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55,14 mln EUR </a:t>
          </a:r>
          <a:r>
            <a:rPr lang="pl-PL" sz="1200" b="0" kern="1200" dirty="0" smtClean="0">
              <a:latin typeface="Times New Roman" pitchFamily="18" charset="0"/>
              <a:cs typeface="Times New Roman" pitchFamily="18" charset="0"/>
            </a:rPr>
            <a:t>płatności</a:t>
          </a:r>
        </a:p>
        <a:p>
          <a:pPr lvl="0" algn="ctr" defTabSz="533400">
            <a:lnSpc>
              <a:spcPct val="90000"/>
            </a:lnSpc>
            <a:spcBef>
              <a:spcPct val="0"/>
            </a:spcBef>
            <a:spcAft>
              <a:spcPct val="35000"/>
            </a:spcAft>
          </a:pPr>
          <a:endParaRPr lang="pl-PL" sz="1400" kern="1200" dirty="0">
            <a:latin typeface="Times New Roman" pitchFamily="18" charset="0"/>
            <a:cs typeface="Times New Roman" pitchFamily="18" charset="0"/>
          </a:endParaRPr>
        </a:p>
      </dsp:txBody>
      <dsp:txXfrm>
        <a:off x="4820812" y="1783718"/>
        <a:ext cx="1097597" cy="194984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1717CF-46C5-4059-BE21-3A85AA1C76DD}">
      <dsp:nvSpPr>
        <dsp:cNvPr id="0" name=""/>
        <dsp:cNvSpPr/>
      </dsp:nvSpPr>
      <dsp:spPr>
        <a:xfrm>
          <a:off x="2846412" y="1189874"/>
          <a:ext cx="1921192" cy="295410"/>
        </a:xfrm>
        <a:custGeom>
          <a:avLst/>
          <a:gdLst/>
          <a:ahLst/>
          <a:cxnLst/>
          <a:rect l="0" t="0" r="0" b="0"/>
          <a:pathLst>
            <a:path>
              <a:moveTo>
                <a:pt x="0" y="0"/>
              </a:moveTo>
              <a:lnTo>
                <a:pt x="0" y="195793"/>
              </a:lnTo>
              <a:lnTo>
                <a:pt x="1921192" y="195793"/>
              </a:lnTo>
              <a:lnTo>
                <a:pt x="1921192" y="29541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98FF5D-036E-4488-AFD3-770CDE76F8ED}">
      <dsp:nvSpPr>
        <dsp:cNvPr id="0" name=""/>
        <dsp:cNvSpPr/>
      </dsp:nvSpPr>
      <dsp:spPr>
        <a:xfrm>
          <a:off x="2846412" y="1189874"/>
          <a:ext cx="186999" cy="304751"/>
        </a:xfrm>
        <a:custGeom>
          <a:avLst/>
          <a:gdLst/>
          <a:ahLst/>
          <a:cxnLst/>
          <a:rect l="0" t="0" r="0" b="0"/>
          <a:pathLst>
            <a:path>
              <a:moveTo>
                <a:pt x="0" y="0"/>
              </a:moveTo>
              <a:lnTo>
                <a:pt x="0" y="205134"/>
              </a:lnTo>
              <a:lnTo>
                <a:pt x="186999" y="205134"/>
              </a:lnTo>
              <a:lnTo>
                <a:pt x="186999" y="304751"/>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0BBDE4-7335-4021-BFAE-019E56A023B2}">
      <dsp:nvSpPr>
        <dsp:cNvPr id="0" name=""/>
        <dsp:cNvSpPr/>
      </dsp:nvSpPr>
      <dsp:spPr>
        <a:xfrm>
          <a:off x="1110638" y="1189874"/>
          <a:ext cx="1735773" cy="277895"/>
        </a:xfrm>
        <a:custGeom>
          <a:avLst/>
          <a:gdLst/>
          <a:ahLst/>
          <a:cxnLst/>
          <a:rect l="0" t="0" r="0" b="0"/>
          <a:pathLst>
            <a:path>
              <a:moveTo>
                <a:pt x="1735773" y="0"/>
              </a:moveTo>
              <a:lnTo>
                <a:pt x="1735773" y="178278"/>
              </a:lnTo>
              <a:lnTo>
                <a:pt x="0" y="178278"/>
              </a:lnTo>
              <a:lnTo>
                <a:pt x="0" y="277895"/>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153A06A-C339-4EB3-A189-6786FB6DA1EE}">
      <dsp:nvSpPr>
        <dsp:cNvPr id="0" name=""/>
        <dsp:cNvSpPr/>
      </dsp:nvSpPr>
      <dsp:spPr>
        <a:xfrm>
          <a:off x="1287581" y="9044"/>
          <a:ext cx="3117663" cy="1180829"/>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B771203E-8DF7-4205-8E32-8B8FADE1CC3D}">
      <dsp:nvSpPr>
        <dsp:cNvPr id="0" name=""/>
        <dsp:cNvSpPr/>
      </dsp:nvSpPr>
      <dsp:spPr>
        <a:xfrm>
          <a:off x="1407061" y="122551"/>
          <a:ext cx="3117663" cy="1180829"/>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PRIORYTET VII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162</a:t>
          </a:r>
          <a:r>
            <a:rPr lang="pl-PL" sz="1100" kern="1200" dirty="0" smtClean="0">
              <a:latin typeface="Times New Roman" pitchFamily="18" charset="0"/>
              <a:cs typeface="Times New Roman" pitchFamily="18" charset="0"/>
            </a:rPr>
            <a:t> umowy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458,18 EUR </a:t>
          </a:r>
          <a:r>
            <a:rPr lang="pl-PL" sz="1100" kern="1200" dirty="0" smtClean="0">
              <a:latin typeface="Times New Roman" pitchFamily="18" charset="0"/>
              <a:cs typeface="Times New Roman" pitchFamily="18" charset="0"/>
            </a:rPr>
            <a:t>wartość</a:t>
          </a:r>
          <a:br>
            <a:rPr lang="pl-PL" sz="1100" kern="1200" dirty="0" smtClean="0">
              <a:latin typeface="Times New Roman" pitchFamily="18" charset="0"/>
              <a:cs typeface="Times New Roman" pitchFamily="18" charset="0"/>
            </a:rPr>
          </a:br>
          <a:r>
            <a:rPr lang="pl-PL" sz="1100" b="1" kern="1200" dirty="0" smtClean="0">
              <a:latin typeface="Times New Roman" pitchFamily="18" charset="0"/>
              <a:cs typeface="Times New Roman" pitchFamily="18" charset="0"/>
            </a:rPr>
            <a:t>296,75 mln EUR </a:t>
          </a: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185,68 mln EUR </a:t>
          </a:r>
          <a:r>
            <a:rPr lang="pl-PL" sz="1100" b="0" kern="1200" dirty="0" smtClean="0">
              <a:latin typeface="Times New Roman" pitchFamily="18" charset="0"/>
              <a:cs typeface="Times New Roman" pitchFamily="18" charset="0"/>
            </a:rPr>
            <a:t>płatności</a:t>
          </a:r>
          <a:endParaRPr lang="pl-PL" sz="1100" b="0" kern="1200" dirty="0">
            <a:latin typeface="Times New Roman" pitchFamily="18" charset="0"/>
            <a:cs typeface="Times New Roman" pitchFamily="18" charset="0"/>
          </a:endParaRPr>
        </a:p>
      </dsp:txBody>
      <dsp:txXfrm>
        <a:off x="1441646" y="157136"/>
        <a:ext cx="3048493" cy="1111659"/>
      </dsp:txXfrm>
    </dsp:sp>
    <dsp:sp modelId="{43525AA2-7C9D-4D26-A343-EB7E8E06A996}">
      <dsp:nvSpPr>
        <dsp:cNvPr id="0" name=""/>
        <dsp:cNvSpPr/>
      </dsp:nvSpPr>
      <dsp:spPr>
        <a:xfrm>
          <a:off x="263292" y="1467770"/>
          <a:ext cx="1694693" cy="1793227"/>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D5A6BAC2-671C-410A-9505-EFF4AE58FA6F}">
      <dsp:nvSpPr>
        <dsp:cNvPr id="0" name=""/>
        <dsp:cNvSpPr/>
      </dsp:nvSpPr>
      <dsp:spPr>
        <a:xfrm>
          <a:off x="382772" y="1581276"/>
          <a:ext cx="1694693" cy="1793227"/>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pl-PL" sz="1200" b="1" kern="1200" dirty="0" smtClean="0">
            <a:latin typeface="Times New Roman" pitchFamily="18" charset="0"/>
            <a:cs typeface="Times New Roman" pitchFamily="18" charset="0"/>
          </a:endParaRPr>
        </a:p>
        <a:p>
          <a:pPr lvl="0" algn="ctr" defTabSz="533400">
            <a:lnSpc>
              <a:spcPct val="90000"/>
            </a:lnSpc>
            <a:spcBef>
              <a:spcPct val="0"/>
            </a:spcBef>
            <a:spcAft>
              <a:spcPct val="35000"/>
            </a:spcAft>
          </a:pPr>
          <a:endParaRPr lang="pl-PL" sz="1200" b="1" kern="1200" dirty="0" smtClean="0">
            <a:latin typeface="Times New Roman" pitchFamily="18" charset="0"/>
            <a:cs typeface="Times New Roman" pitchFamily="18" charset="0"/>
          </a:endParaRPr>
        </a:p>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KONKURSY</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98</a:t>
          </a:r>
          <a:r>
            <a:rPr lang="pl-PL" sz="1100" kern="1200" dirty="0" smtClean="0">
              <a:latin typeface="Times New Roman" pitchFamily="18" charset="0"/>
              <a:cs typeface="Times New Roman" pitchFamily="18" charset="0"/>
            </a:rPr>
            <a:t> umowy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206,21 mln EUR </a:t>
          </a:r>
          <a:r>
            <a:rPr lang="pl-PL" sz="1100" kern="1200" dirty="0" smtClean="0">
              <a:latin typeface="Times New Roman" pitchFamily="18" charset="0"/>
              <a:cs typeface="Times New Roman" pitchFamily="18" charset="0"/>
            </a:rPr>
            <a:t/>
          </a:r>
          <a:br>
            <a:rPr lang="pl-PL" sz="1100" kern="1200" dirty="0" smtClean="0">
              <a:latin typeface="Times New Roman" pitchFamily="18" charset="0"/>
              <a:cs typeface="Times New Roman" pitchFamily="18" charset="0"/>
            </a:rPr>
          </a:br>
          <a:r>
            <a:rPr lang="pl-PL" sz="1100" kern="1200" dirty="0" smtClean="0">
              <a:latin typeface="Times New Roman" pitchFamily="18" charset="0"/>
              <a:cs typeface="Times New Roman" pitchFamily="18" charset="0"/>
            </a:rPr>
            <a:t>wartość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137,84 mln EUR (72%) </a:t>
          </a: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91,44 mln EUR </a:t>
          </a:r>
          <a:r>
            <a:rPr lang="pl-PL" sz="1100" b="0" kern="1200" dirty="0" smtClean="0">
              <a:latin typeface="Times New Roman" pitchFamily="18" charset="0"/>
              <a:cs typeface="Times New Roman" pitchFamily="18" charset="0"/>
            </a:rPr>
            <a:t>płatności</a:t>
          </a:r>
        </a:p>
        <a:p>
          <a:pPr lvl="0" algn="ctr" defTabSz="533400">
            <a:lnSpc>
              <a:spcPct val="90000"/>
            </a:lnSpc>
            <a:spcBef>
              <a:spcPct val="0"/>
            </a:spcBef>
            <a:spcAft>
              <a:spcPct val="35000"/>
            </a:spcAft>
          </a:pPr>
          <a:endParaRPr lang="pl-PL" sz="1200" b="1" kern="1200" dirty="0" smtClean="0">
            <a:latin typeface="Times New Roman" pitchFamily="18" charset="0"/>
            <a:cs typeface="Times New Roman" pitchFamily="18" charset="0"/>
          </a:endParaRPr>
        </a:p>
        <a:p>
          <a:pPr lvl="0" algn="ctr" defTabSz="533400">
            <a:lnSpc>
              <a:spcPct val="90000"/>
            </a:lnSpc>
            <a:spcBef>
              <a:spcPct val="0"/>
            </a:spcBef>
            <a:spcAft>
              <a:spcPct val="35000"/>
            </a:spcAft>
          </a:pPr>
          <a:endParaRPr lang="pl-PL" sz="1200" b="1" kern="1200" dirty="0">
            <a:latin typeface="Times New Roman" pitchFamily="18" charset="0"/>
            <a:cs typeface="Times New Roman" pitchFamily="18" charset="0"/>
          </a:endParaRPr>
        </a:p>
      </dsp:txBody>
      <dsp:txXfrm>
        <a:off x="432408" y="1630912"/>
        <a:ext cx="1595421" cy="1693955"/>
      </dsp:txXfrm>
    </dsp:sp>
    <dsp:sp modelId="{3C65DEDE-82B1-497B-AFF2-165152FF352B}">
      <dsp:nvSpPr>
        <dsp:cNvPr id="0" name=""/>
        <dsp:cNvSpPr/>
      </dsp:nvSpPr>
      <dsp:spPr>
        <a:xfrm>
          <a:off x="2285403" y="1494626"/>
          <a:ext cx="1496016" cy="1817748"/>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814AA9A0-4B4D-4570-B280-0D2D27369AAD}">
      <dsp:nvSpPr>
        <dsp:cNvPr id="0" name=""/>
        <dsp:cNvSpPr/>
      </dsp:nvSpPr>
      <dsp:spPr>
        <a:xfrm>
          <a:off x="2404884" y="1608132"/>
          <a:ext cx="1496016" cy="1817748"/>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pl-PL" sz="1200" b="1" kern="1200" dirty="0" smtClean="0">
            <a:latin typeface="Times New Roman" pitchFamily="18" charset="0"/>
            <a:cs typeface="Times New Roman" pitchFamily="18" charset="0"/>
          </a:endParaRPr>
        </a:p>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PK</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18 </a:t>
          </a:r>
          <a:r>
            <a:rPr lang="pl-PL" sz="1100" kern="1200" dirty="0" smtClean="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182,60 mln EUR </a:t>
          </a:r>
          <a:r>
            <a:rPr lang="pl-PL" sz="1100" kern="1200" dirty="0" smtClean="0">
              <a:latin typeface="Times New Roman" pitchFamily="18" charset="0"/>
              <a:cs typeface="Times New Roman" pitchFamily="18" charset="0"/>
            </a:rPr>
            <a:t>wartość</a:t>
          </a:r>
          <a:br>
            <a:rPr lang="pl-PL" sz="1100" kern="1200" dirty="0" smtClean="0">
              <a:latin typeface="Times New Roman" pitchFamily="18" charset="0"/>
              <a:cs typeface="Times New Roman" pitchFamily="18" charset="0"/>
            </a:rPr>
          </a:br>
          <a:r>
            <a:rPr lang="pl-PL" sz="1100" b="1" kern="1200" dirty="0" smtClean="0">
              <a:latin typeface="Times New Roman" pitchFamily="18" charset="0"/>
              <a:cs typeface="Times New Roman" pitchFamily="18" charset="0"/>
            </a:rPr>
            <a:t>116,85 mln EUR (53%) </a:t>
          </a: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65,48 mln EUR </a:t>
          </a:r>
          <a:r>
            <a:rPr lang="pl-PL" sz="1100" b="0" kern="1200" dirty="0" smtClean="0">
              <a:latin typeface="Times New Roman" pitchFamily="18" charset="0"/>
              <a:cs typeface="Times New Roman" pitchFamily="18" charset="0"/>
            </a:rPr>
            <a:t>płatnośći</a:t>
          </a:r>
        </a:p>
        <a:p>
          <a:pPr lvl="0" algn="ctr" defTabSz="533400">
            <a:lnSpc>
              <a:spcPct val="90000"/>
            </a:lnSpc>
            <a:spcBef>
              <a:spcPct val="0"/>
            </a:spcBef>
            <a:spcAft>
              <a:spcPct val="35000"/>
            </a:spcAft>
          </a:pPr>
          <a:endParaRPr lang="pl-PL" sz="1200" b="1" kern="1200" dirty="0" smtClean="0">
            <a:latin typeface="Times New Roman" pitchFamily="18" charset="0"/>
            <a:cs typeface="Times New Roman" pitchFamily="18" charset="0"/>
          </a:endParaRPr>
        </a:p>
      </dsp:txBody>
      <dsp:txXfrm>
        <a:off x="2448701" y="1651949"/>
        <a:ext cx="1408382" cy="1730114"/>
      </dsp:txXfrm>
    </dsp:sp>
    <dsp:sp modelId="{63651AB7-1BFF-4160-A702-17D9C41E3A29}">
      <dsp:nvSpPr>
        <dsp:cNvPr id="0" name=""/>
        <dsp:cNvSpPr/>
      </dsp:nvSpPr>
      <dsp:spPr>
        <a:xfrm>
          <a:off x="4061900" y="1485284"/>
          <a:ext cx="1411409" cy="1765538"/>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5BF28909-8113-4A0A-B169-1F5AEE505A9A}">
      <dsp:nvSpPr>
        <dsp:cNvPr id="0" name=""/>
        <dsp:cNvSpPr/>
      </dsp:nvSpPr>
      <dsp:spPr>
        <a:xfrm>
          <a:off x="4181381" y="1598791"/>
          <a:ext cx="1411409" cy="1765538"/>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PRS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46</a:t>
          </a:r>
          <a:r>
            <a:rPr lang="pl-PL" sz="1100" kern="1200" dirty="0" smtClean="0">
              <a:latin typeface="Times New Roman" pitchFamily="18" charset="0"/>
              <a:cs typeface="Times New Roman" pitchFamily="18" charset="0"/>
            </a:rPr>
            <a:t> umów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69,37 mln EUR </a:t>
          </a:r>
          <a:r>
            <a:rPr lang="pl-PL" sz="1100" kern="1200" dirty="0" smtClean="0">
              <a:latin typeface="Times New Roman" pitchFamily="18" charset="0"/>
              <a:cs typeface="Times New Roman" pitchFamily="18" charset="0"/>
            </a:rPr>
            <a:t/>
          </a:r>
          <a:br>
            <a:rPr lang="pl-PL" sz="1100" kern="1200" dirty="0" smtClean="0">
              <a:latin typeface="Times New Roman" pitchFamily="18" charset="0"/>
              <a:cs typeface="Times New Roman" pitchFamily="18" charset="0"/>
            </a:rPr>
          </a:br>
          <a:r>
            <a:rPr lang="pl-PL" sz="1100" kern="1200" dirty="0" smtClean="0">
              <a:latin typeface="Times New Roman" pitchFamily="18" charset="0"/>
              <a:cs typeface="Times New Roman" pitchFamily="18" charset="0"/>
            </a:rPr>
            <a:t>wartość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42,06 mln EUR (86%) </a:t>
          </a: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28,76 mln EUR </a:t>
          </a:r>
          <a:r>
            <a:rPr lang="pl-PL" sz="1100" b="0" kern="1200" dirty="0" smtClean="0">
              <a:latin typeface="Times New Roman" pitchFamily="18" charset="0"/>
              <a:cs typeface="Times New Roman" pitchFamily="18" charset="0"/>
            </a:rPr>
            <a:t>płatności</a:t>
          </a:r>
          <a:endParaRPr lang="pl-PL" sz="1100" b="0" kern="1200" dirty="0">
            <a:latin typeface="Times New Roman" pitchFamily="18" charset="0"/>
            <a:cs typeface="Times New Roman" pitchFamily="18" charset="0"/>
          </a:endParaRPr>
        </a:p>
      </dsp:txBody>
      <dsp:txXfrm>
        <a:off x="4222720" y="1640130"/>
        <a:ext cx="1328731" cy="168286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42C7D-82FB-4FBA-9AB9-43B672FF0AD0}">
      <dsp:nvSpPr>
        <dsp:cNvPr id="0" name=""/>
        <dsp:cNvSpPr/>
      </dsp:nvSpPr>
      <dsp:spPr>
        <a:xfrm>
          <a:off x="2758022" y="1184895"/>
          <a:ext cx="1414050" cy="572687"/>
        </a:xfrm>
        <a:custGeom>
          <a:avLst/>
          <a:gdLst/>
          <a:ahLst/>
          <a:cxnLst/>
          <a:rect l="0" t="0" r="0" b="0"/>
          <a:pathLst>
            <a:path>
              <a:moveTo>
                <a:pt x="0" y="0"/>
              </a:moveTo>
              <a:lnTo>
                <a:pt x="0" y="390269"/>
              </a:lnTo>
              <a:lnTo>
                <a:pt x="1414050" y="390269"/>
              </a:lnTo>
              <a:lnTo>
                <a:pt x="1414050" y="572687"/>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551095-1900-4D96-ACFD-9E74E765AD33}">
      <dsp:nvSpPr>
        <dsp:cNvPr id="0" name=""/>
        <dsp:cNvSpPr/>
      </dsp:nvSpPr>
      <dsp:spPr>
        <a:xfrm>
          <a:off x="1047018" y="1184895"/>
          <a:ext cx="1711003" cy="575813"/>
        </a:xfrm>
        <a:custGeom>
          <a:avLst/>
          <a:gdLst/>
          <a:ahLst/>
          <a:cxnLst/>
          <a:rect l="0" t="0" r="0" b="0"/>
          <a:pathLst>
            <a:path>
              <a:moveTo>
                <a:pt x="1711003" y="0"/>
              </a:moveTo>
              <a:lnTo>
                <a:pt x="1711003" y="393395"/>
              </a:lnTo>
              <a:lnTo>
                <a:pt x="0" y="393395"/>
              </a:lnTo>
              <a:lnTo>
                <a:pt x="0" y="575813"/>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62D4FE-EA64-49E2-8232-8039E1E81435}">
      <dsp:nvSpPr>
        <dsp:cNvPr id="0" name=""/>
        <dsp:cNvSpPr/>
      </dsp:nvSpPr>
      <dsp:spPr>
        <a:xfrm>
          <a:off x="911712" y="118046"/>
          <a:ext cx="3692620" cy="1066848"/>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2B75CD9B-75AC-469E-A566-F7D66F856908}">
      <dsp:nvSpPr>
        <dsp:cNvPr id="0" name=""/>
        <dsp:cNvSpPr/>
      </dsp:nvSpPr>
      <dsp:spPr>
        <a:xfrm>
          <a:off x="1130503" y="325898"/>
          <a:ext cx="3692620" cy="1066848"/>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PRIORYTET VIII    </a:t>
          </a:r>
        </a:p>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77</a:t>
          </a:r>
          <a:r>
            <a:rPr lang="pl-PL" sz="1200" kern="1200" dirty="0" smtClean="0">
              <a:latin typeface="Times New Roman" pitchFamily="18" charset="0"/>
              <a:cs typeface="Times New Roman" pitchFamily="18" charset="0"/>
            </a:rPr>
            <a:t> umów </a:t>
          </a:r>
        </a:p>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87,68 mln EUR </a:t>
          </a:r>
          <a:r>
            <a:rPr lang="pl-PL" sz="1200" kern="1200" dirty="0" smtClean="0">
              <a:latin typeface="Times New Roman" pitchFamily="18" charset="0"/>
              <a:cs typeface="Times New Roman" pitchFamily="18" charset="0"/>
            </a:rPr>
            <a:t>wartość</a:t>
          </a:r>
          <a:br>
            <a:rPr lang="pl-PL" sz="1200" kern="1200" dirty="0" smtClean="0">
              <a:latin typeface="Times New Roman" pitchFamily="18" charset="0"/>
              <a:cs typeface="Times New Roman" pitchFamily="18" charset="0"/>
            </a:rPr>
          </a:br>
          <a:r>
            <a:rPr lang="pl-PL" sz="1200" b="1" kern="1200" dirty="0" smtClean="0">
              <a:latin typeface="Times New Roman" pitchFamily="18" charset="0"/>
              <a:cs typeface="Times New Roman" pitchFamily="18" charset="0"/>
            </a:rPr>
            <a:t>69,65 mln EUR </a:t>
          </a:r>
          <a:r>
            <a:rPr lang="pl-PL" sz="12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41,76 mln EUR </a:t>
          </a:r>
          <a:r>
            <a:rPr lang="pl-PL" sz="1200" b="0" kern="1200" dirty="0" smtClean="0">
              <a:latin typeface="Times New Roman" pitchFamily="18" charset="0"/>
              <a:cs typeface="Times New Roman" pitchFamily="18" charset="0"/>
            </a:rPr>
            <a:t>płatności</a:t>
          </a:r>
          <a:endParaRPr lang="pl-PL" sz="1200" b="0" kern="1200">
            <a:latin typeface="Times New Roman" pitchFamily="18" charset="0"/>
            <a:cs typeface="Times New Roman" pitchFamily="18" charset="0"/>
          </a:endParaRPr>
        </a:p>
      </dsp:txBody>
      <dsp:txXfrm>
        <a:off x="1161750" y="357145"/>
        <a:ext cx="3630126" cy="1004354"/>
      </dsp:txXfrm>
    </dsp:sp>
    <dsp:sp modelId="{2B06B423-2E98-4C1C-BB14-8CFB3FAC68C0}">
      <dsp:nvSpPr>
        <dsp:cNvPr id="0" name=""/>
        <dsp:cNvSpPr/>
      </dsp:nvSpPr>
      <dsp:spPr>
        <a:xfrm>
          <a:off x="-135933" y="1760708"/>
          <a:ext cx="2365903" cy="1250394"/>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BF04710E-19CD-41F0-9DF3-DF17AD83F590}">
      <dsp:nvSpPr>
        <dsp:cNvPr id="0" name=""/>
        <dsp:cNvSpPr/>
      </dsp:nvSpPr>
      <dsp:spPr>
        <a:xfrm>
          <a:off x="82858" y="1968560"/>
          <a:ext cx="2365903" cy="1250394"/>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KONKURSY</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75 </a:t>
          </a:r>
          <a:r>
            <a:rPr lang="pl-PL" sz="1100" kern="1200" dirty="0" smtClean="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77,35 mln EUR </a:t>
          </a:r>
          <a:r>
            <a:rPr lang="pl-PL" sz="1100" kern="1200" dirty="0" smtClean="0">
              <a:latin typeface="Times New Roman" pitchFamily="18" charset="0"/>
              <a:cs typeface="Times New Roman" pitchFamily="18" charset="0"/>
            </a:rPr>
            <a:t>wartość </a:t>
          </a:r>
          <a:br>
            <a:rPr lang="pl-PL" sz="1100" kern="1200" dirty="0" smtClean="0">
              <a:latin typeface="Times New Roman" pitchFamily="18" charset="0"/>
              <a:cs typeface="Times New Roman" pitchFamily="18" charset="0"/>
            </a:rPr>
          </a:br>
          <a:r>
            <a:rPr lang="pl-PL" sz="1100" b="1" kern="1200" dirty="0" smtClean="0">
              <a:latin typeface="Times New Roman" pitchFamily="18" charset="0"/>
              <a:cs typeface="Times New Roman" pitchFamily="18" charset="0"/>
            </a:rPr>
            <a:t>60,95 mln EUR (84%) </a:t>
          </a: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39,54 mln EUR </a:t>
          </a:r>
          <a:r>
            <a:rPr lang="pl-PL" sz="1100" b="0" kern="1200" dirty="0" smtClean="0">
              <a:latin typeface="Times New Roman" pitchFamily="18" charset="0"/>
              <a:cs typeface="Times New Roman" pitchFamily="18" charset="0"/>
            </a:rPr>
            <a:t>płatności</a:t>
          </a:r>
          <a:endParaRPr lang="pl-PL" sz="1100" b="0" kern="1200">
            <a:latin typeface="Times New Roman" pitchFamily="18" charset="0"/>
            <a:cs typeface="Times New Roman" pitchFamily="18" charset="0"/>
          </a:endParaRPr>
        </a:p>
      </dsp:txBody>
      <dsp:txXfrm>
        <a:off x="119481" y="2005183"/>
        <a:ext cx="2292657" cy="1177148"/>
      </dsp:txXfrm>
    </dsp:sp>
    <dsp:sp modelId="{DCC235DF-4F14-4BF4-B1F1-93023C721E72}">
      <dsp:nvSpPr>
        <dsp:cNvPr id="0" name=""/>
        <dsp:cNvSpPr/>
      </dsp:nvSpPr>
      <dsp:spPr>
        <a:xfrm>
          <a:off x="2805923" y="1757582"/>
          <a:ext cx="2732298" cy="1250394"/>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122B4FAF-F0B9-4835-96F3-326424C825F2}">
      <dsp:nvSpPr>
        <dsp:cNvPr id="0" name=""/>
        <dsp:cNvSpPr/>
      </dsp:nvSpPr>
      <dsp:spPr>
        <a:xfrm>
          <a:off x="3024714" y="1965434"/>
          <a:ext cx="2732298" cy="1250394"/>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dirty="0" smtClean="0">
              <a:latin typeface="Times New Roman" pitchFamily="18" charset="0"/>
              <a:cs typeface="Times New Roman" pitchFamily="18" charset="0"/>
            </a:rPr>
            <a:t>PK</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2 </a:t>
          </a:r>
          <a:r>
            <a:rPr lang="pl-PL" sz="1100" kern="1200" dirty="0" smtClean="0">
              <a:latin typeface="Times New Roman" pitchFamily="18" charset="0"/>
              <a:cs typeface="Times New Roman" pitchFamily="18" charset="0"/>
            </a:rPr>
            <a:t>umowy </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10,33 mln EUR </a:t>
          </a:r>
          <a:r>
            <a:rPr lang="pl-PL" sz="1100" kern="1200" dirty="0" smtClean="0">
              <a:latin typeface="Times New Roman" pitchFamily="18" charset="0"/>
              <a:cs typeface="Times New Roman" pitchFamily="18" charset="0"/>
            </a:rPr>
            <a:t>wartość</a:t>
          </a:r>
          <a:br>
            <a:rPr lang="pl-PL" sz="1100" kern="1200" dirty="0" smtClean="0">
              <a:latin typeface="Times New Roman" pitchFamily="18" charset="0"/>
              <a:cs typeface="Times New Roman" pitchFamily="18" charset="0"/>
            </a:rPr>
          </a:br>
          <a:r>
            <a:rPr lang="pl-PL" sz="1100" b="1" kern="1200" dirty="0" smtClean="0">
              <a:latin typeface="Times New Roman" pitchFamily="18" charset="0"/>
              <a:cs typeface="Times New Roman" pitchFamily="18" charset="0"/>
            </a:rPr>
            <a:t>8,70 mln EUR (87%)</a:t>
          </a:r>
        </a:p>
        <a:p>
          <a:pPr lvl="0" algn="ctr" defTabSz="533400">
            <a:lnSpc>
              <a:spcPct val="90000"/>
            </a:lnSpc>
            <a:spcBef>
              <a:spcPct val="0"/>
            </a:spcBef>
            <a:spcAft>
              <a:spcPct val="35000"/>
            </a:spcAft>
          </a:pPr>
          <a:r>
            <a:rPr lang="pl-PL" sz="1100" b="0" kern="1200" dirty="0" smtClean="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dirty="0" smtClean="0">
              <a:latin typeface="Times New Roman" pitchFamily="18" charset="0"/>
              <a:cs typeface="Times New Roman" pitchFamily="18" charset="0"/>
            </a:rPr>
            <a:t>2,22 mln EUR </a:t>
          </a:r>
          <a:r>
            <a:rPr lang="pl-PL" sz="1100" b="0" kern="1200" dirty="0" smtClean="0">
              <a:latin typeface="Times New Roman" pitchFamily="18" charset="0"/>
              <a:cs typeface="Times New Roman" pitchFamily="18" charset="0"/>
            </a:rPr>
            <a:t>płatności</a:t>
          </a:r>
          <a:endParaRPr lang="pl-PL" sz="1100" b="0" kern="1200">
            <a:latin typeface="Times New Roman" pitchFamily="18" charset="0"/>
            <a:cs typeface="Times New Roman" pitchFamily="18" charset="0"/>
          </a:endParaRPr>
        </a:p>
      </dsp:txBody>
      <dsp:txXfrm>
        <a:off x="3061337" y="2002057"/>
        <a:ext cx="2659052" cy="117714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FBC98-A96E-4EB7-969B-416F229941FF}">
      <dsp:nvSpPr>
        <dsp:cNvPr id="0" name=""/>
        <dsp:cNvSpPr/>
      </dsp:nvSpPr>
      <dsp:spPr>
        <a:xfrm rot="10800000">
          <a:off x="0" y="0"/>
          <a:ext cx="50291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0"/>
              <a:satOff val="0"/>
              <a:lumOff val="0"/>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Transport- 26.34%</a:t>
          </a:r>
        </a:p>
      </dsp:txBody>
      <dsp:txXfrm rot="-10800000">
        <a:off x="880109" y="0"/>
        <a:ext cx="3268979" cy="531283"/>
      </dsp:txXfrm>
    </dsp:sp>
    <dsp:sp modelId="{C35BEE18-518B-4CC7-8F34-6EF4D7083621}">
      <dsp:nvSpPr>
        <dsp:cNvPr id="0" name=""/>
        <dsp:cNvSpPr/>
      </dsp:nvSpPr>
      <dsp:spPr>
        <a:xfrm rot="10800000">
          <a:off x="303853" y="531283"/>
          <a:ext cx="4421492" cy="531283"/>
        </a:xfrm>
        <a:prstGeom prst="trapezoid">
          <a:avLst>
            <a:gd name="adj" fmla="val 52590"/>
          </a:avLst>
        </a:prstGeom>
        <a:solidFill>
          <a:schemeClr val="bg1">
            <a:lumMod val="75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2552880"/>
              <a:satOff val="-2998"/>
              <a:lumOff val="1152"/>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Sustainable urban development 17.90%</a:t>
          </a:r>
        </a:p>
      </dsp:txBody>
      <dsp:txXfrm rot="-10800000">
        <a:off x="1077614" y="531283"/>
        <a:ext cx="2873970" cy="531283"/>
      </dsp:txXfrm>
    </dsp:sp>
    <dsp:sp modelId="{B281C17F-906E-48A1-8B5D-1D1496DF6A37}">
      <dsp:nvSpPr>
        <dsp:cNvPr id="0" name=""/>
        <dsp:cNvSpPr/>
      </dsp:nvSpPr>
      <dsp:spPr>
        <a:xfrm rot="10800000">
          <a:off x="558799" y="1062566"/>
          <a:ext cx="39115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5105759"/>
              <a:satOff val="-5996"/>
              <a:lumOff val="2304"/>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R+D, Innovation, Enterprise- 16.96%</a:t>
          </a:r>
        </a:p>
      </dsp:txBody>
      <dsp:txXfrm rot="-10800000">
        <a:off x="1243329" y="1062566"/>
        <a:ext cx="2542539" cy="531283"/>
      </dsp:txXfrm>
    </dsp:sp>
    <dsp:sp modelId="{D5EF1B7A-7846-4FE3-925B-0BEB7077EF79}">
      <dsp:nvSpPr>
        <dsp:cNvPr id="0" name=""/>
        <dsp:cNvSpPr/>
      </dsp:nvSpPr>
      <dsp:spPr>
        <a:xfrm rot="10800000">
          <a:off x="838199" y="1593849"/>
          <a:ext cx="3352799" cy="531283"/>
        </a:xfrm>
        <a:prstGeom prst="trapezoid">
          <a:avLst>
            <a:gd name="adj" fmla="val 52590"/>
          </a:avLst>
        </a:prstGeom>
        <a:solidFill>
          <a:schemeClr val="tx2">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7658639"/>
              <a:satOff val="-8995"/>
              <a:lumOff val="3456"/>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Environment- 10.34%</a:t>
          </a:r>
        </a:p>
      </dsp:txBody>
      <dsp:txXfrm rot="-10800000">
        <a:off x="1424939" y="1593849"/>
        <a:ext cx="2179319" cy="531283"/>
      </dsp:txXfrm>
    </dsp:sp>
    <dsp:sp modelId="{62FF0D7C-2A3D-4233-B565-77842EEEC5A1}">
      <dsp:nvSpPr>
        <dsp:cNvPr id="0" name=""/>
        <dsp:cNvSpPr/>
      </dsp:nvSpPr>
      <dsp:spPr>
        <a:xfrm rot="10800000">
          <a:off x="1117599" y="2125132"/>
          <a:ext cx="27939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10211518"/>
              <a:satOff val="-11993"/>
              <a:lumOff val="4608"/>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Information society - 8.59%</a:t>
          </a:r>
        </a:p>
      </dsp:txBody>
      <dsp:txXfrm rot="-10800000">
        <a:off x="1606549" y="2125132"/>
        <a:ext cx="1816099" cy="531283"/>
      </dsp:txXfrm>
    </dsp:sp>
    <dsp:sp modelId="{0EE56840-546E-4A6F-9FB6-A9D7F55D5B75}">
      <dsp:nvSpPr>
        <dsp:cNvPr id="0" name=""/>
        <dsp:cNvSpPr/>
      </dsp:nvSpPr>
      <dsp:spPr>
        <a:xfrm rot="10800000">
          <a:off x="1396999" y="2656416"/>
          <a:ext cx="2235199" cy="531283"/>
        </a:xfrm>
        <a:prstGeom prst="trapezoid">
          <a:avLst>
            <a:gd name="adj" fmla="val 52590"/>
          </a:avLst>
        </a:prstGeom>
        <a:solidFill>
          <a:schemeClr val="bg1">
            <a:lumMod val="75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12764398"/>
              <a:satOff val="-14991"/>
              <a:lumOff val="5760"/>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Tourism - 6.32%</a:t>
          </a:r>
        </a:p>
      </dsp:txBody>
      <dsp:txXfrm rot="-10800000">
        <a:off x="1788159" y="2656416"/>
        <a:ext cx="1452879" cy="531283"/>
      </dsp:txXfrm>
    </dsp:sp>
    <dsp:sp modelId="{E1FE3F6E-31EA-41DF-A48D-894C82F58AE9}">
      <dsp:nvSpPr>
        <dsp:cNvPr id="0" name=""/>
        <dsp:cNvSpPr/>
      </dsp:nvSpPr>
      <dsp:spPr>
        <a:xfrm rot="10800000">
          <a:off x="1676399" y="3187699"/>
          <a:ext cx="16763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15317278"/>
              <a:satOff val="-17989"/>
              <a:lumOff val="6912"/>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Education- 4.72%</a:t>
          </a:r>
        </a:p>
      </dsp:txBody>
      <dsp:txXfrm rot="-10800000">
        <a:off x="1969769" y="3187699"/>
        <a:ext cx="1089659" cy="531283"/>
      </dsp:txXfrm>
    </dsp:sp>
    <dsp:sp modelId="{A24C2AEE-249A-49C5-B222-65CBF4F6A9B1}">
      <dsp:nvSpPr>
        <dsp:cNvPr id="0" name=""/>
        <dsp:cNvSpPr/>
      </dsp:nvSpPr>
      <dsp:spPr>
        <a:xfrm rot="10800000">
          <a:off x="1955799" y="3718982"/>
          <a:ext cx="1117599" cy="531283"/>
        </a:xfrm>
        <a:prstGeom prst="trapezoid">
          <a:avLst>
            <a:gd name="adj" fmla="val 52590"/>
          </a:avLst>
        </a:prstGeom>
        <a:solidFill>
          <a:schemeClr val="bg1">
            <a:lumMod val="75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17870156"/>
              <a:satOff val="-20988"/>
              <a:lumOff val="8064"/>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Health- 3.31%</a:t>
          </a:r>
        </a:p>
      </dsp:txBody>
      <dsp:txXfrm rot="-10800000">
        <a:off x="2151379" y="3718982"/>
        <a:ext cx="726439" cy="531283"/>
      </dsp:txXfrm>
    </dsp:sp>
    <dsp:sp modelId="{F1B8EAC3-53FD-4311-B83A-0A05E3810910}">
      <dsp:nvSpPr>
        <dsp:cNvPr id="0" name=""/>
        <dsp:cNvSpPr/>
      </dsp:nvSpPr>
      <dsp:spPr>
        <a:xfrm rot="10800000">
          <a:off x="2235199" y="4250265"/>
          <a:ext cx="558799" cy="531283"/>
        </a:xfrm>
        <a:prstGeom prst="trapezoid">
          <a:avLst>
            <a:gd name="adj" fmla="val 52590"/>
          </a:avLst>
        </a:prstGeom>
        <a:solidFill>
          <a:schemeClr val="accent1">
            <a:lumMod val="40000"/>
            <a:lumOff val="60000"/>
          </a:schemeClr>
        </a:solidFill>
        <a:ln>
          <a:noFill/>
        </a:ln>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accent4">
              <a:hueOff val="20423036"/>
              <a:satOff val="-23986"/>
              <a:lumOff val="9216"/>
              <a:alphaOff val="0"/>
              <a:tint val="10000"/>
              <a:satMod val="13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Culture 3.05%</a:t>
          </a:r>
        </a:p>
      </dsp:txBody>
      <dsp:txXfrm rot="-10800000">
        <a:off x="2235199" y="4250265"/>
        <a:ext cx="558799" cy="53128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CD916-12A7-479E-BEB4-53D4C704D89E}">
      <dsp:nvSpPr>
        <dsp:cNvPr id="0" name=""/>
        <dsp:cNvSpPr/>
      </dsp:nvSpPr>
      <dsp:spPr>
        <a:xfrm>
          <a:off x="4448221" y="1837620"/>
          <a:ext cx="3584401" cy="957672"/>
        </a:xfrm>
        <a:custGeom>
          <a:avLst/>
          <a:gdLst/>
          <a:ahLst/>
          <a:cxnLst/>
          <a:rect l="0" t="0" r="0" b="0"/>
          <a:pathLst>
            <a:path>
              <a:moveTo>
                <a:pt x="0" y="0"/>
              </a:moveTo>
              <a:lnTo>
                <a:pt x="0" y="793641"/>
              </a:lnTo>
              <a:lnTo>
                <a:pt x="3584401" y="793641"/>
              </a:lnTo>
              <a:lnTo>
                <a:pt x="3584401" y="957672"/>
              </a:lnTo>
            </a:path>
          </a:pathLst>
        </a:custGeom>
        <a:noFill/>
        <a:ln w="12700" cap="flat" cmpd="sng" algn="ctr">
          <a:solidFill>
            <a:schemeClr val="accent3">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D2D65C-5BA4-41B7-8263-A0346E3190A5}">
      <dsp:nvSpPr>
        <dsp:cNvPr id="0" name=""/>
        <dsp:cNvSpPr/>
      </dsp:nvSpPr>
      <dsp:spPr>
        <a:xfrm>
          <a:off x="4448221" y="1837620"/>
          <a:ext cx="1276793" cy="957672"/>
        </a:xfrm>
        <a:custGeom>
          <a:avLst/>
          <a:gdLst/>
          <a:ahLst/>
          <a:cxnLst/>
          <a:rect l="0" t="0" r="0" b="0"/>
          <a:pathLst>
            <a:path>
              <a:moveTo>
                <a:pt x="0" y="0"/>
              </a:moveTo>
              <a:lnTo>
                <a:pt x="0" y="793641"/>
              </a:lnTo>
              <a:lnTo>
                <a:pt x="1276793" y="793641"/>
              </a:lnTo>
              <a:lnTo>
                <a:pt x="1276793" y="957672"/>
              </a:lnTo>
            </a:path>
          </a:pathLst>
        </a:custGeom>
        <a:noFill/>
        <a:ln w="12700" cap="flat" cmpd="sng" algn="ctr">
          <a:solidFill>
            <a:schemeClr val="accent3">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283C57-586A-4B4F-A41B-88E8E5F53462}">
      <dsp:nvSpPr>
        <dsp:cNvPr id="0" name=""/>
        <dsp:cNvSpPr/>
      </dsp:nvSpPr>
      <dsp:spPr>
        <a:xfrm>
          <a:off x="3234029" y="1837620"/>
          <a:ext cx="1214192" cy="957672"/>
        </a:xfrm>
        <a:custGeom>
          <a:avLst/>
          <a:gdLst/>
          <a:ahLst/>
          <a:cxnLst/>
          <a:rect l="0" t="0" r="0" b="0"/>
          <a:pathLst>
            <a:path>
              <a:moveTo>
                <a:pt x="1214192" y="0"/>
              </a:moveTo>
              <a:lnTo>
                <a:pt x="1214192" y="793641"/>
              </a:lnTo>
              <a:lnTo>
                <a:pt x="0" y="793641"/>
              </a:lnTo>
              <a:lnTo>
                <a:pt x="0" y="957672"/>
              </a:lnTo>
            </a:path>
          </a:pathLst>
        </a:custGeom>
        <a:noFill/>
        <a:ln w="12700" cap="flat" cmpd="sng" algn="ctr">
          <a:solidFill>
            <a:schemeClr val="accent3">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E744FF-7BF8-4594-8EEE-101F666CC27E}">
      <dsp:nvSpPr>
        <dsp:cNvPr id="0" name=""/>
        <dsp:cNvSpPr/>
      </dsp:nvSpPr>
      <dsp:spPr>
        <a:xfrm>
          <a:off x="886520" y="1837620"/>
          <a:ext cx="3561701" cy="957672"/>
        </a:xfrm>
        <a:custGeom>
          <a:avLst/>
          <a:gdLst/>
          <a:ahLst/>
          <a:cxnLst/>
          <a:rect l="0" t="0" r="0" b="0"/>
          <a:pathLst>
            <a:path>
              <a:moveTo>
                <a:pt x="3561701" y="0"/>
              </a:moveTo>
              <a:lnTo>
                <a:pt x="3561701" y="793641"/>
              </a:lnTo>
              <a:lnTo>
                <a:pt x="0" y="793641"/>
              </a:lnTo>
              <a:lnTo>
                <a:pt x="0" y="957672"/>
              </a:lnTo>
            </a:path>
          </a:pathLst>
        </a:custGeom>
        <a:noFill/>
        <a:ln w="12700" cap="flat" cmpd="sng" algn="ctr">
          <a:solidFill>
            <a:schemeClr val="accent3">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7F50A69-018D-46C3-AE9C-AC68943FAF3A}">
      <dsp:nvSpPr>
        <dsp:cNvPr id="0" name=""/>
        <dsp:cNvSpPr/>
      </dsp:nvSpPr>
      <dsp:spPr>
        <a:xfrm>
          <a:off x="2117466" y="485729"/>
          <a:ext cx="4661510" cy="1351891"/>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279A664-0485-467D-ACA4-6F38EC03A809}">
      <dsp:nvSpPr>
        <dsp:cNvPr id="0" name=""/>
        <dsp:cNvSpPr/>
      </dsp:nvSpPr>
      <dsp:spPr>
        <a:xfrm>
          <a:off x="2314205" y="672631"/>
          <a:ext cx="4661510" cy="1351891"/>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latin typeface="Times New Roman" pitchFamily="18" charset="0"/>
              <a:cs typeface="Times New Roman" pitchFamily="18" charset="0"/>
            </a:rPr>
            <a:t>ROP SW</a:t>
          </a:r>
        </a:p>
        <a:p>
          <a:pPr lvl="0" algn="ctr" defTabSz="577850">
            <a:lnSpc>
              <a:spcPct val="90000"/>
            </a:lnSpc>
            <a:spcBef>
              <a:spcPct val="0"/>
            </a:spcBef>
            <a:spcAft>
              <a:spcPct val="35000"/>
            </a:spcAft>
          </a:pPr>
          <a:r>
            <a:rPr lang="pl-PL" sz="1100" b="1" kern="1200">
              <a:latin typeface="Times New Roman" pitchFamily="18" charset="0"/>
              <a:cs typeface="Times New Roman" pitchFamily="18" charset="0"/>
            </a:rPr>
            <a:t>3120 </a:t>
          </a:r>
          <a:r>
            <a:rPr lang="pl-PL" sz="1100" b="0" kern="1200">
              <a:latin typeface="Times New Roman" pitchFamily="18" charset="0"/>
              <a:cs typeface="Times New Roman" pitchFamily="18" charset="0"/>
            </a:rPr>
            <a:t>contracts </a:t>
          </a:r>
        </a:p>
        <a:p>
          <a:pPr lvl="0" algn="ctr" defTabSz="577850">
            <a:lnSpc>
              <a:spcPct val="90000"/>
            </a:lnSpc>
            <a:spcBef>
              <a:spcPct val="0"/>
            </a:spcBef>
            <a:spcAft>
              <a:spcPct val="35000"/>
            </a:spcAft>
          </a:pPr>
          <a:r>
            <a:rPr lang="pl-PL" sz="1100" b="1" kern="1200">
              <a:latin typeface="Times New Roman" pitchFamily="18" charset="0"/>
              <a:cs typeface="Times New Roman" pitchFamily="18" charset="0"/>
            </a:rPr>
            <a:t>EUR 1953.07 m </a:t>
          </a:r>
          <a:r>
            <a:rPr lang="pl-PL" sz="1100" b="0" kern="1200">
              <a:latin typeface="Times New Roman" pitchFamily="18" charset="0"/>
              <a:cs typeface="Times New Roman" pitchFamily="18" charset="0"/>
            </a:rPr>
            <a:t>value</a:t>
          </a:r>
        </a:p>
        <a:p>
          <a:pPr lvl="0" algn="ctr" defTabSz="577850">
            <a:lnSpc>
              <a:spcPct val="90000"/>
            </a:lnSpc>
            <a:spcBef>
              <a:spcPct val="0"/>
            </a:spcBef>
            <a:spcAft>
              <a:spcPct val="35000"/>
            </a:spcAft>
          </a:pPr>
          <a:r>
            <a:rPr lang="pl-PL" sz="1100" b="1" kern="1200">
              <a:latin typeface="Times New Roman" pitchFamily="18" charset="0"/>
              <a:cs typeface="Times New Roman" pitchFamily="18" charset="0"/>
            </a:rPr>
            <a:t>EUR 1,172.29  m </a:t>
          </a:r>
          <a:r>
            <a:rPr lang="pl-PL" sz="1100" b="0" kern="1200">
              <a:latin typeface="Times New Roman" pitchFamily="18" charset="0"/>
              <a:cs typeface="Times New Roman" pitchFamily="18" charset="0"/>
            </a:rPr>
            <a:t>subsidy</a:t>
          </a:r>
        </a:p>
        <a:p>
          <a:pPr lvl="0" algn="ctr" defTabSz="577850">
            <a:lnSpc>
              <a:spcPct val="90000"/>
            </a:lnSpc>
            <a:spcBef>
              <a:spcPct val="0"/>
            </a:spcBef>
            <a:spcAft>
              <a:spcPct val="35000"/>
            </a:spcAft>
          </a:pPr>
          <a:r>
            <a:rPr lang="pl-PL" sz="1100" b="1" kern="1200">
              <a:latin typeface="Times New Roman" pitchFamily="18" charset="0"/>
              <a:cs typeface="Times New Roman" pitchFamily="18" charset="0"/>
            </a:rPr>
            <a:t>EUR 588.58 m </a:t>
          </a:r>
          <a:r>
            <a:rPr lang="pl-PL" sz="1100" b="0" kern="1200">
              <a:latin typeface="Times New Roman" pitchFamily="18" charset="0"/>
              <a:cs typeface="Times New Roman" pitchFamily="18" charset="0"/>
            </a:rPr>
            <a:t>payments</a:t>
          </a:r>
        </a:p>
      </dsp:txBody>
      <dsp:txXfrm>
        <a:off x="2353801" y="712227"/>
        <a:ext cx="4582318" cy="1272699"/>
      </dsp:txXfrm>
    </dsp:sp>
    <dsp:sp modelId="{308675C2-C4AA-463D-BCF5-6361AD763858}">
      <dsp:nvSpPr>
        <dsp:cNvPr id="0" name=""/>
        <dsp:cNvSpPr/>
      </dsp:nvSpPr>
      <dsp:spPr>
        <a:xfrm>
          <a:off x="1193" y="2795293"/>
          <a:ext cx="1770653" cy="1259389"/>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9E9D205-5D8A-46A6-A798-DD97FD7E3290}">
      <dsp:nvSpPr>
        <dsp:cNvPr id="0" name=""/>
        <dsp:cNvSpPr/>
      </dsp:nvSpPr>
      <dsp:spPr>
        <a:xfrm>
          <a:off x="197932" y="2982195"/>
          <a:ext cx="1770653" cy="1259389"/>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JESSICA</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1 </a:t>
          </a:r>
          <a:r>
            <a:rPr lang="pl-PL" sz="1100" b="0" kern="1200">
              <a:latin typeface="Times New Roman" pitchFamily="18" charset="0"/>
              <a:cs typeface="Times New Roman" pitchFamily="18" charset="0"/>
            </a:rPr>
            <a:t>contract for the sum of</a:t>
          </a:r>
          <a:r>
            <a:rPr lang="pl-PL" sz="1100" b="1" kern="1200">
              <a:latin typeface="Times New Roman" pitchFamily="18" charset="0"/>
              <a:cs typeface="Times New Roman" pitchFamily="18" charset="0"/>
            </a:rPr>
            <a:t> EUR 55.14 m</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EUR 55.14 m </a:t>
          </a:r>
          <a:r>
            <a:rPr lang="pl-PL" sz="1100" b="0" kern="1200">
              <a:latin typeface="Times New Roman" pitchFamily="18" charset="0"/>
              <a:cs typeface="Times New Roman" pitchFamily="18" charset="0"/>
            </a:rPr>
            <a:t>payments</a:t>
          </a:r>
        </a:p>
      </dsp:txBody>
      <dsp:txXfrm>
        <a:off x="234818" y="3019081"/>
        <a:ext cx="1696881" cy="1185617"/>
      </dsp:txXfrm>
    </dsp:sp>
    <dsp:sp modelId="{95A42560-94C2-49BF-AF1C-FC794A69EC15}">
      <dsp:nvSpPr>
        <dsp:cNvPr id="0" name=""/>
        <dsp:cNvSpPr/>
      </dsp:nvSpPr>
      <dsp:spPr>
        <a:xfrm>
          <a:off x="2165325" y="2795293"/>
          <a:ext cx="2137408" cy="1373749"/>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6E19100-C668-4BD9-A3CD-975BA100B88F}">
      <dsp:nvSpPr>
        <dsp:cNvPr id="0" name=""/>
        <dsp:cNvSpPr/>
      </dsp:nvSpPr>
      <dsp:spPr>
        <a:xfrm>
          <a:off x="2362064" y="2982195"/>
          <a:ext cx="2137408" cy="1373749"/>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COMPETITIONS</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2836 </a:t>
          </a:r>
          <a:r>
            <a:rPr lang="pl-PL" sz="1100" b="0" kern="1200">
              <a:latin typeface="Times New Roman" pitchFamily="18" charset="0"/>
              <a:cs typeface="Times New Roman" pitchFamily="18" charset="0"/>
            </a:rPr>
            <a:t>contracts </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EUR 1056.09 m </a:t>
          </a:r>
          <a:r>
            <a:rPr lang="pl-PL" sz="1100" b="0" kern="1200">
              <a:latin typeface="Times New Roman" pitchFamily="18" charset="0"/>
              <a:cs typeface="Times New Roman" pitchFamily="18" charset="0"/>
            </a:rPr>
            <a:t>value </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EUR 545.23 m </a:t>
          </a:r>
          <a:r>
            <a:rPr lang="pl-PL" sz="1100" b="0" kern="1200">
              <a:latin typeface="Times New Roman" pitchFamily="18" charset="0"/>
              <a:cs typeface="Times New Roman" pitchFamily="18" charset="0"/>
            </a:rPr>
            <a:t>subsidy</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EUR 304.08 m </a:t>
          </a:r>
          <a:r>
            <a:rPr lang="pl-PL" sz="1100" b="0" kern="1200">
              <a:latin typeface="Times New Roman" pitchFamily="18" charset="0"/>
              <a:cs typeface="Times New Roman" pitchFamily="18" charset="0"/>
            </a:rPr>
            <a:t>payments</a:t>
          </a:r>
        </a:p>
        <a:p>
          <a:pPr lvl="0" algn="ctr" defTabSz="488950">
            <a:lnSpc>
              <a:spcPct val="90000"/>
            </a:lnSpc>
            <a:spcBef>
              <a:spcPct val="0"/>
            </a:spcBef>
            <a:spcAft>
              <a:spcPct val="35000"/>
            </a:spcAft>
          </a:pPr>
          <a:endParaRPr lang="pl-PL" sz="1100" b="1" kern="1200">
            <a:latin typeface="Times New Roman" pitchFamily="18" charset="0"/>
            <a:cs typeface="Times New Roman" pitchFamily="18" charset="0"/>
          </a:endParaRPr>
        </a:p>
      </dsp:txBody>
      <dsp:txXfrm>
        <a:off x="2402300" y="3022431"/>
        <a:ext cx="2056936" cy="1293277"/>
      </dsp:txXfrm>
    </dsp:sp>
    <dsp:sp modelId="{C5A16536-3AC6-4E75-B31C-0D347DCC77FE}">
      <dsp:nvSpPr>
        <dsp:cNvPr id="0" name=""/>
        <dsp:cNvSpPr/>
      </dsp:nvSpPr>
      <dsp:spPr>
        <a:xfrm>
          <a:off x="4696212" y="2795293"/>
          <a:ext cx="2057605" cy="1345370"/>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1720316-F9D4-4D14-BB70-2EA78EB62115}">
      <dsp:nvSpPr>
        <dsp:cNvPr id="0" name=""/>
        <dsp:cNvSpPr/>
      </dsp:nvSpPr>
      <dsp:spPr>
        <a:xfrm>
          <a:off x="4892952" y="2982195"/>
          <a:ext cx="2057605" cy="1345370"/>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SDP</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215 </a:t>
          </a:r>
          <a:r>
            <a:rPr lang="pl-PL" sz="1100" b="0" kern="1200">
              <a:latin typeface="Times New Roman" pitchFamily="18" charset="0"/>
              <a:cs typeface="Times New Roman" pitchFamily="18" charset="0"/>
            </a:rPr>
            <a:t>contracts</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EUR 273.99 m </a:t>
          </a:r>
          <a:r>
            <a:rPr lang="pl-PL" sz="1100" b="0" kern="1200">
              <a:latin typeface="Times New Roman" pitchFamily="18" charset="0"/>
              <a:cs typeface="Times New Roman" pitchFamily="18" charset="0"/>
            </a:rPr>
            <a:t>value</a:t>
          </a:r>
        </a:p>
        <a:p>
          <a:pPr lvl="0" algn="ctr" defTabSz="488950">
            <a:lnSpc>
              <a:spcPct val="90000"/>
            </a:lnSpc>
            <a:spcBef>
              <a:spcPct val="0"/>
            </a:spcBef>
            <a:spcAft>
              <a:spcPct val="35000"/>
            </a:spcAft>
          </a:pPr>
          <a:r>
            <a:rPr lang="pl-PL" sz="1100" b="0" kern="1200">
              <a:latin typeface="Times New Roman" pitchFamily="18" charset="0"/>
              <a:cs typeface="Times New Roman" pitchFamily="18" charset="0"/>
            </a:rPr>
            <a:t> </a:t>
          </a:r>
          <a:r>
            <a:rPr lang="pl-PL" sz="1100" b="1" kern="1200">
              <a:latin typeface="Times New Roman" pitchFamily="18" charset="0"/>
              <a:cs typeface="Times New Roman" pitchFamily="18" charset="0"/>
            </a:rPr>
            <a:t>EUR 224.55 m </a:t>
          </a:r>
          <a:r>
            <a:rPr lang="pl-PL" sz="1100" b="0" kern="1200">
              <a:latin typeface="Times New Roman" pitchFamily="18" charset="0"/>
              <a:cs typeface="Times New Roman" pitchFamily="18" charset="0"/>
            </a:rPr>
            <a:t>subsidy</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EUR 95.18 m </a:t>
          </a:r>
          <a:r>
            <a:rPr lang="pl-PL" sz="1100" b="0" kern="1200">
              <a:latin typeface="Times New Roman" pitchFamily="18" charset="0"/>
              <a:cs typeface="Times New Roman" pitchFamily="18" charset="0"/>
            </a:rPr>
            <a:t>payments</a:t>
          </a:r>
        </a:p>
      </dsp:txBody>
      <dsp:txXfrm>
        <a:off x="4932357" y="3021600"/>
        <a:ext cx="1978795" cy="1266560"/>
      </dsp:txXfrm>
    </dsp:sp>
    <dsp:sp modelId="{289ED444-2079-46DF-A3E6-ECF06A110263}">
      <dsp:nvSpPr>
        <dsp:cNvPr id="0" name=""/>
        <dsp:cNvSpPr/>
      </dsp:nvSpPr>
      <dsp:spPr>
        <a:xfrm>
          <a:off x="7147296" y="2795293"/>
          <a:ext cx="1770653" cy="1312561"/>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3596107-DC59-4F16-82A4-265B86B44BDE}">
      <dsp:nvSpPr>
        <dsp:cNvPr id="0" name=""/>
        <dsp:cNvSpPr/>
      </dsp:nvSpPr>
      <dsp:spPr>
        <a:xfrm>
          <a:off x="7344036" y="2982195"/>
          <a:ext cx="1770653" cy="1312561"/>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KP</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68 </a:t>
          </a:r>
          <a:r>
            <a:rPr lang="pl-PL" sz="1100" b="0" kern="1200">
              <a:latin typeface="Times New Roman" pitchFamily="18" charset="0"/>
              <a:cs typeface="Times New Roman" pitchFamily="18" charset="0"/>
            </a:rPr>
            <a:t>contracts</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EUR 562.99 m </a:t>
          </a:r>
          <a:r>
            <a:rPr lang="pl-PL" sz="1100" b="0" kern="1200">
              <a:latin typeface="Times New Roman" pitchFamily="18" charset="0"/>
              <a:cs typeface="Times New Roman" pitchFamily="18" charset="0"/>
            </a:rPr>
            <a:t>value</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EUR 347.37 m </a:t>
          </a:r>
          <a:r>
            <a:rPr lang="pl-PL" sz="1100" b="0" kern="1200">
              <a:latin typeface="Times New Roman" pitchFamily="18" charset="0"/>
              <a:cs typeface="Times New Roman" pitchFamily="18" charset="0"/>
            </a:rPr>
            <a:t>subsidy</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EUR 129.32 m </a:t>
          </a:r>
          <a:r>
            <a:rPr lang="pl-PL" sz="1100" b="0" kern="1200">
              <a:latin typeface="Times New Roman" pitchFamily="18" charset="0"/>
              <a:cs typeface="Times New Roman" pitchFamily="18" charset="0"/>
            </a:rPr>
            <a:t>payments</a:t>
          </a:r>
        </a:p>
      </dsp:txBody>
      <dsp:txXfrm>
        <a:off x="7382480" y="3020639"/>
        <a:ext cx="1693765" cy="12356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026840-7B39-483B-9F38-2C15C2CB4864}">
      <dsp:nvSpPr>
        <dsp:cNvPr id="0" name=""/>
        <dsp:cNvSpPr/>
      </dsp:nvSpPr>
      <dsp:spPr>
        <a:xfrm>
          <a:off x="7425" y="0"/>
          <a:ext cx="9079424" cy="653745"/>
        </a:xfrm>
        <a:prstGeom prst="round2SameRect">
          <a:avLst/>
        </a:prstGeom>
        <a:solidFill>
          <a:schemeClr val="accent1">
            <a:lumMod val="40000"/>
            <a:lumOff val="60000"/>
          </a:schemeClr>
        </a:solidFill>
        <a:ln w="127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b="1" kern="1200">
              <a:solidFill>
                <a:sysClr val="windowText" lastClr="000000"/>
              </a:solidFill>
              <a:latin typeface="Times New Roman" pitchFamily="18" charset="0"/>
              <a:cs typeface="Times New Roman" pitchFamily="18" charset="0"/>
            </a:rPr>
            <a:t>DOKUMENTY</a:t>
          </a:r>
        </a:p>
      </dsp:txBody>
      <dsp:txXfrm>
        <a:off x="39338" y="31913"/>
        <a:ext cx="9015598" cy="621832"/>
      </dsp:txXfrm>
    </dsp:sp>
    <dsp:sp modelId="{4B27C010-AECA-4D85-B365-29AF38CA3C0E}">
      <dsp:nvSpPr>
        <dsp:cNvPr id="0" name=""/>
        <dsp:cNvSpPr/>
      </dsp:nvSpPr>
      <dsp:spPr>
        <a:xfrm>
          <a:off x="3712" y="845785"/>
          <a:ext cx="2212960" cy="1581349"/>
        </a:xfrm>
        <a:prstGeom prst="roundRect">
          <a:avLst>
            <a:gd name="adj" fmla="val 10000"/>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PROGRAMOWANIE</a:t>
          </a:r>
        </a:p>
      </dsp:txBody>
      <dsp:txXfrm>
        <a:off x="50028" y="892101"/>
        <a:ext cx="2120328" cy="1488717"/>
      </dsp:txXfrm>
    </dsp:sp>
    <dsp:sp modelId="{569BD355-4C5E-4A99-9326-8310C89402F8}">
      <dsp:nvSpPr>
        <dsp:cNvPr id="0" name=""/>
        <dsp:cNvSpPr/>
      </dsp:nvSpPr>
      <dsp:spPr>
        <a:xfrm>
          <a:off x="3712" y="2618704"/>
          <a:ext cx="1083722" cy="1581349"/>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RPO WSL</a:t>
          </a:r>
        </a:p>
      </dsp:txBody>
      <dsp:txXfrm>
        <a:off x="35453" y="2650445"/>
        <a:ext cx="1020240" cy="1517867"/>
      </dsp:txXfrm>
    </dsp:sp>
    <dsp:sp modelId="{4D85E698-CA5D-4D80-82C5-47D159FB7013}">
      <dsp:nvSpPr>
        <dsp:cNvPr id="0" name=""/>
        <dsp:cNvSpPr/>
      </dsp:nvSpPr>
      <dsp:spPr>
        <a:xfrm>
          <a:off x="1132951" y="2618704"/>
          <a:ext cx="1083722" cy="1581349"/>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URPO WSL</a:t>
          </a:r>
        </a:p>
      </dsp:txBody>
      <dsp:txXfrm>
        <a:off x="1164692" y="2650445"/>
        <a:ext cx="1020240" cy="1517867"/>
      </dsp:txXfrm>
    </dsp:sp>
    <dsp:sp modelId="{8D06874B-0820-4A3C-B709-F61AF17A70BF}">
      <dsp:nvSpPr>
        <dsp:cNvPr id="0" name=""/>
        <dsp:cNvSpPr/>
      </dsp:nvSpPr>
      <dsp:spPr>
        <a:xfrm>
          <a:off x="2307706" y="845785"/>
          <a:ext cx="3342199" cy="1581349"/>
        </a:xfrm>
        <a:prstGeom prst="roundRect">
          <a:avLst>
            <a:gd name="adj" fmla="val 10000"/>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ZARZĄDZANIE</a:t>
          </a:r>
        </a:p>
      </dsp:txBody>
      <dsp:txXfrm>
        <a:off x="2354022" y="892101"/>
        <a:ext cx="3249567" cy="1488717"/>
      </dsp:txXfrm>
    </dsp:sp>
    <dsp:sp modelId="{950A61BF-7F26-4FB5-9F44-6C19AEA6E56A}">
      <dsp:nvSpPr>
        <dsp:cNvPr id="0" name=""/>
        <dsp:cNvSpPr/>
      </dsp:nvSpPr>
      <dsp:spPr>
        <a:xfrm>
          <a:off x="2307706" y="2618704"/>
          <a:ext cx="1083722" cy="1581349"/>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OSZiK</a:t>
          </a:r>
        </a:p>
      </dsp:txBody>
      <dsp:txXfrm>
        <a:off x="2339447" y="2650445"/>
        <a:ext cx="1020240" cy="1517867"/>
      </dsp:txXfrm>
    </dsp:sp>
    <dsp:sp modelId="{8944A22B-BF51-41DB-95B1-51C431D4DF09}">
      <dsp:nvSpPr>
        <dsp:cNvPr id="0" name=""/>
        <dsp:cNvSpPr/>
      </dsp:nvSpPr>
      <dsp:spPr>
        <a:xfrm>
          <a:off x="3436944" y="2618704"/>
          <a:ext cx="1083722" cy="1581349"/>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Times New Roman" pitchFamily="18" charset="0"/>
              <a:cs typeface="Times New Roman" pitchFamily="18" charset="0"/>
            </a:rPr>
            <a:t>POROZUMIENIE Z IP2 RPO WSL</a:t>
          </a:r>
        </a:p>
      </dsp:txBody>
      <dsp:txXfrm>
        <a:off x="3468685" y="2650445"/>
        <a:ext cx="1020240" cy="1517867"/>
      </dsp:txXfrm>
    </dsp:sp>
    <dsp:sp modelId="{E649F64C-1EAF-4B4F-87BD-E9BEAD401063}">
      <dsp:nvSpPr>
        <dsp:cNvPr id="0" name=""/>
        <dsp:cNvSpPr/>
      </dsp:nvSpPr>
      <dsp:spPr>
        <a:xfrm>
          <a:off x="4566183" y="2618704"/>
          <a:ext cx="1083722" cy="1581349"/>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KONTRAKT WOJEWÓDZKI</a:t>
          </a:r>
        </a:p>
      </dsp:txBody>
      <dsp:txXfrm>
        <a:off x="4597924" y="2650445"/>
        <a:ext cx="1020240" cy="1517867"/>
      </dsp:txXfrm>
    </dsp:sp>
    <dsp:sp modelId="{B7324BE1-7F0E-4032-B7CB-F5BFEDC26143}">
      <dsp:nvSpPr>
        <dsp:cNvPr id="0" name=""/>
        <dsp:cNvSpPr/>
      </dsp:nvSpPr>
      <dsp:spPr>
        <a:xfrm>
          <a:off x="5740938" y="845785"/>
          <a:ext cx="3342199" cy="1581349"/>
        </a:xfrm>
        <a:prstGeom prst="roundRect">
          <a:avLst>
            <a:gd name="adj" fmla="val 10000"/>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WDRAŻANIE</a:t>
          </a:r>
        </a:p>
      </dsp:txBody>
      <dsp:txXfrm>
        <a:off x="5787254" y="892101"/>
        <a:ext cx="3249567" cy="1488717"/>
      </dsp:txXfrm>
    </dsp:sp>
    <dsp:sp modelId="{99394EE1-5764-4C79-8749-11855583F7E0}">
      <dsp:nvSpPr>
        <dsp:cNvPr id="0" name=""/>
        <dsp:cNvSpPr/>
      </dsp:nvSpPr>
      <dsp:spPr>
        <a:xfrm>
          <a:off x="5740938" y="2618704"/>
          <a:ext cx="1083722" cy="1581349"/>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latin typeface="Times New Roman" pitchFamily="18" charset="0"/>
              <a:cs typeface="Times New Roman" pitchFamily="18" charset="0"/>
            </a:rPr>
            <a:t>PODRĘCZNIK PROCEDUR IZ RPO WSL</a:t>
          </a:r>
        </a:p>
      </dsp:txBody>
      <dsp:txXfrm>
        <a:off x="5772679" y="2650445"/>
        <a:ext cx="1020240" cy="1517867"/>
      </dsp:txXfrm>
    </dsp:sp>
    <dsp:sp modelId="{1484D3D2-7F05-4228-9A14-A5890AB669E6}">
      <dsp:nvSpPr>
        <dsp:cNvPr id="0" name=""/>
        <dsp:cNvSpPr/>
      </dsp:nvSpPr>
      <dsp:spPr>
        <a:xfrm>
          <a:off x="6870176" y="2618704"/>
          <a:ext cx="1083722" cy="1581349"/>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latin typeface="Times New Roman" pitchFamily="18" charset="0"/>
              <a:cs typeface="Times New Roman" pitchFamily="18" charset="0"/>
            </a:rPr>
            <a:t>PODRĘCZNIK PROCEDUR IP2 RPO WSL</a:t>
          </a:r>
        </a:p>
      </dsp:txBody>
      <dsp:txXfrm>
        <a:off x="6901917" y="2650445"/>
        <a:ext cx="1020240" cy="1517867"/>
      </dsp:txXfrm>
    </dsp:sp>
    <dsp:sp modelId="{4AA103ED-4A6B-417A-AB81-D447A11990D7}">
      <dsp:nvSpPr>
        <dsp:cNvPr id="0" name=""/>
        <dsp:cNvSpPr/>
      </dsp:nvSpPr>
      <dsp:spPr>
        <a:xfrm>
          <a:off x="7999415" y="2618704"/>
          <a:ext cx="1083722" cy="1581349"/>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WYTYCZNE IZ </a:t>
          </a:r>
          <a:r>
            <a:rPr lang="pl-PL" sz="1000" b="1" kern="1200">
              <a:latin typeface="Times New Roman" pitchFamily="18" charset="0"/>
              <a:cs typeface="Times New Roman" pitchFamily="18" charset="0"/>
            </a:rPr>
            <a:t>RPO</a:t>
          </a:r>
          <a:r>
            <a:rPr lang="pl-PL" sz="1200" b="1" kern="1200">
              <a:latin typeface="Times New Roman" pitchFamily="18" charset="0"/>
              <a:cs typeface="Times New Roman" pitchFamily="18" charset="0"/>
            </a:rPr>
            <a:t> WSL</a:t>
          </a:r>
        </a:p>
      </dsp:txBody>
      <dsp:txXfrm>
        <a:off x="8031156" y="2650445"/>
        <a:ext cx="1020240" cy="15178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0CD916-12A7-479E-BEB4-53D4C704D89E}">
      <dsp:nvSpPr>
        <dsp:cNvPr id="0" name=""/>
        <dsp:cNvSpPr/>
      </dsp:nvSpPr>
      <dsp:spPr>
        <a:xfrm>
          <a:off x="4448221" y="1837620"/>
          <a:ext cx="3584401" cy="957672"/>
        </a:xfrm>
        <a:custGeom>
          <a:avLst/>
          <a:gdLst/>
          <a:ahLst/>
          <a:cxnLst/>
          <a:rect l="0" t="0" r="0" b="0"/>
          <a:pathLst>
            <a:path>
              <a:moveTo>
                <a:pt x="0" y="0"/>
              </a:moveTo>
              <a:lnTo>
                <a:pt x="0" y="793641"/>
              </a:lnTo>
              <a:lnTo>
                <a:pt x="3584401" y="793641"/>
              </a:lnTo>
              <a:lnTo>
                <a:pt x="3584401" y="957672"/>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D2D65C-5BA4-41B7-8263-A0346E3190A5}">
      <dsp:nvSpPr>
        <dsp:cNvPr id="0" name=""/>
        <dsp:cNvSpPr/>
      </dsp:nvSpPr>
      <dsp:spPr>
        <a:xfrm>
          <a:off x="4448221" y="1837620"/>
          <a:ext cx="1276793" cy="957672"/>
        </a:xfrm>
        <a:custGeom>
          <a:avLst/>
          <a:gdLst/>
          <a:ahLst/>
          <a:cxnLst/>
          <a:rect l="0" t="0" r="0" b="0"/>
          <a:pathLst>
            <a:path>
              <a:moveTo>
                <a:pt x="0" y="0"/>
              </a:moveTo>
              <a:lnTo>
                <a:pt x="0" y="793641"/>
              </a:lnTo>
              <a:lnTo>
                <a:pt x="1276793" y="793641"/>
              </a:lnTo>
              <a:lnTo>
                <a:pt x="1276793" y="957672"/>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283C57-586A-4B4F-A41B-88E8E5F53462}">
      <dsp:nvSpPr>
        <dsp:cNvPr id="0" name=""/>
        <dsp:cNvSpPr/>
      </dsp:nvSpPr>
      <dsp:spPr>
        <a:xfrm>
          <a:off x="3234029" y="1837620"/>
          <a:ext cx="1214192" cy="957672"/>
        </a:xfrm>
        <a:custGeom>
          <a:avLst/>
          <a:gdLst/>
          <a:ahLst/>
          <a:cxnLst/>
          <a:rect l="0" t="0" r="0" b="0"/>
          <a:pathLst>
            <a:path>
              <a:moveTo>
                <a:pt x="1214192" y="0"/>
              </a:moveTo>
              <a:lnTo>
                <a:pt x="1214192" y="793641"/>
              </a:lnTo>
              <a:lnTo>
                <a:pt x="0" y="793641"/>
              </a:lnTo>
              <a:lnTo>
                <a:pt x="0" y="957672"/>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FE744FF-7BF8-4594-8EEE-101F666CC27E}">
      <dsp:nvSpPr>
        <dsp:cNvPr id="0" name=""/>
        <dsp:cNvSpPr/>
      </dsp:nvSpPr>
      <dsp:spPr>
        <a:xfrm>
          <a:off x="886520" y="1837620"/>
          <a:ext cx="3561701" cy="957672"/>
        </a:xfrm>
        <a:custGeom>
          <a:avLst/>
          <a:gdLst/>
          <a:ahLst/>
          <a:cxnLst/>
          <a:rect l="0" t="0" r="0" b="0"/>
          <a:pathLst>
            <a:path>
              <a:moveTo>
                <a:pt x="3561701" y="0"/>
              </a:moveTo>
              <a:lnTo>
                <a:pt x="3561701" y="793641"/>
              </a:lnTo>
              <a:lnTo>
                <a:pt x="0" y="793641"/>
              </a:lnTo>
              <a:lnTo>
                <a:pt x="0" y="957672"/>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7F50A69-018D-46C3-AE9C-AC68943FAF3A}">
      <dsp:nvSpPr>
        <dsp:cNvPr id="0" name=""/>
        <dsp:cNvSpPr/>
      </dsp:nvSpPr>
      <dsp:spPr>
        <a:xfrm>
          <a:off x="2117466" y="485729"/>
          <a:ext cx="4661510" cy="1351891"/>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A279A664-0485-467D-ACA4-6F38EC03A809}">
      <dsp:nvSpPr>
        <dsp:cNvPr id="0" name=""/>
        <dsp:cNvSpPr/>
      </dsp:nvSpPr>
      <dsp:spPr>
        <a:xfrm>
          <a:off x="2314205" y="672631"/>
          <a:ext cx="4661510" cy="1351891"/>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latin typeface="Times New Roman" pitchFamily="18" charset="0"/>
              <a:cs typeface="Times New Roman" pitchFamily="18" charset="0"/>
            </a:rPr>
            <a:t>RPO WSL</a:t>
          </a:r>
        </a:p>
        <a:p>
          <a:pPr lvl="0" algn="ctr" defTabSz="577850">
            <a:lnSpc>
              <a:spcPct val="90000"/>
            </a:lnSpc>
            <a:spcBef>
              <a:spcPct val="0"/>
            </a:spcBef>
            <a:spcAft>
              <a:spcPct val="35000"/>
            </a:spcAft>
          </a:pPr>
          <a:r>
            <a:rPr lang="pl-PL" sz="1100" b="1" kern="1200">
              <a:latin typeface="Times New Roman" pitchFamily="18" charset="0"/>
              <a:cs typeface="Times New Roman" pitchFamily="18" charset="0"/>
            </a:rPr>
            <a:t>3120 </a:t>
          </a:r>
          <a:r>
            <a:rPr lang="pl-PL" sz="1100" b="0" kern="1200">
              <a:latin typeface="Times New Roman" pitchFamily="18" charset="0"/>
              <a:cs typeface="Times New Roman" pitchFamily="18" charset="0"/>
            </a:rPr>
            <a:t>umów </a:t>
          </a:r>
        </a:p>
        <a:p>
          <a:pPr lvl="0" algn="ctr" defTabSz="577850">
            <a:lnSpc>
              <a:spcPct val="90000"/>
            </a:lnSpc>
            <a:spcBef>
              <a:spcPct val="0"/>
            </a:spcBef>
            <a:spcAft>
              <a:spcPct val="35000"/>
            </a:spcAft>
          </a:pPr>
          <a:r>
            <a:rPr lang="pl-PL" sz="1100" b="1" kern="1200">
              <a:latin typeface="Times New Roman" pitchFamily="18" charset="0"/>
              <a:cs typeface="Times New Roman" pitchFamily="18" charset="0"/>
            </a:rPr>
            <a:t>1953,07 mln EUR </a:t>
          </a:r>
          <a:r>
            <a:rPr lang="pl-PL" sz="1100" b="0" kern="1200">
              <a:latin typeface="Times New Roman" pitchFamily="18" charset="0"/>
              <a:cs typeface="Times New Roman" pitchFamily="18" charset="0"/>
            </a:rPr>
            <a:t>wartość</a:t>
          </a:r>
        </a:p>
        <a:p>
          <a:pPr lvl="0" algn="ctr" defTabSz="577850">
            <a:lnSpc>
              <a:spcPct val="90000"/>
            </a:lnSpc>
            <a:spcBef>
              <a:spcPct val="0"/>
            </a:spcBef>
            <a:spcAft>
              <a:spcPct val="35000"/>
            </a:spcAft>
          </a:pPr>
          <a:r>
            <a:rPr lang="pl-PL" sz="1100" b="1" kern="1200">
              <a:latin typeface="Times New Roman" pitchFamily="18" charset="0"/>
              <a:cs typeface="Times New Roman" pitchFamily="18" charset="0"/>
            </a:rPr>
            <a:t>1 172,29  mln EUR </a:t>
          </a:r>
          <a:r>
            <a:rPr lang="pl-PL" sz="1100" b="0" kern="1200">
              <a:latin typeface="Times New Roman" pitchFamily="18" charset="0"/>
              <a:cs typeface="Times New Roman" pitchFamily="18" charset="0"/>
            </a:rPr>
            <a:t>dofinansowanie</a:t>
          </a:r>
        </a:p>
        <a:p>
          <a:pPr lvl="0" algn="ctr" defTabSz="577850">
            <a:lnSpc>
              <a:spcPct val="90000"/>
            </a:lnSpc>
            <a:spcBef>
              <a:spcPct val="0"/>
            </a:spcBef>
            <a:spcAft>
              <a:spcPct val="35000"/>
            </a:spcAft>
          </a:pPr>
          <a:r>
            <a:rPr lang="pl-PL" sz="1100" b="1" kern="1200">
              <a:solidFill>
                <a:sysClr val="windowText" lastClr="000000"/>
              </a:solidFill>
              <a:latin typeface="Times New Roman" pitchFamily="18" charset="0"/>
              <a:cs typeface="Times New Roman" pitchFamily="18" charset="0"/>
            </a:rPr>
            <a:t>588,58 mln EUR </a:t>
          </a:r>
          <a:r>
            <a:rPr lang="pl-PL" sz="1100" b="0" kern="1200">
              <a:solidFill>
                <a:sysClr val="windowText" lastClr="000000"/>
              </a:solidFill>
              <a:latin typeface="Times New Roman" pitchFamily="18" charset="0"/>
              <a:cs typeface="Times New Roman" pitchFamily="18" charset="0"/>
            </a:rPr>
            <a:t>płatności</a:t>
          </a:r>
        </a:p>
      </dsp:txBody>
      <dsp:txXfrm>
        <a:off x="2353801" y="712227"/>
        <a:ext cx="4582318" cy="1272699"/>
      </dsp:txXfrm>
    </dsp:sp>
    <dsp:sp modelId="{308675C2-C4AA-463D-BCF5-6361AD763858}">
      <dsp:nvSpPr>
        <dsp:cNvPr id="0" name=""/>
        <dsp:cNvSpPr/>
      </dsp:nvSpPr>
      <dsp:spPr>
        <a:xfrm>
          <a:off x="1193" y="2795293"/>
          <a:ext cx="1770653" cy="1259389"/>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49E9D205-5D8A-46A6-A798-DD97FD7E3290}">
      <dsp:nvSpPr>
        <dsp:cNvPr id="0" name=""/>
        <dsp:cNvSpPr/>
      </dsp:nvSpPr>
      <dsp:spPr>
        <a:xfrm>
          <a:off x="197932" y="2982195"/>
          <a:ext cx="1770653" cy="1259389"/>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JESSICA</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1 </a:t>
          </a:r>
          <a:r>
            <a:rPr lang="pl-PL" sz="1100" b="0" kern="1200">
              <a:latin typeface="Times New Roman" pitchFamily="18" charset="0"/>
              <a:cs typeface="Times New Roman" pitchFamily="18" charset="0"/>
            </a:rPr>
            <a:t>umowa na kwotę</a:t>
          </a:r>
          <a:r>
            <a:rPr lang="pl-PL" sz="1100" b="1" kern="1200">
              <a:latin typeface="Times New Roman" pitchFamily="18" charset="0"/>
              <a:cs typeface="Times New Roman" pitchFamily="18" charset="0"/>
            </a:rPr>
            <a:t> 55,14 mln EUR</a:t>
          </a:r>
        </a:p>
        <a:p>
          <a:pPr lvl="0" algn="ctr" defTabSz="488950">
            <a:lnSpc>
              <a:spcPct val="90000"/>
            </a:lnSpc>
            <a:spcBef>
              <a:spcPct val="0"/>
            </a:spcBef>
            <a:spcAft>
              <a:spcPct val="35000"/>
            </a:spcAft>
          </a:pPr>
          <a:r>
            <a:rPr lang="pl-PL" sz="1100" b="1" kern="1200">
              <a:solidFill>
                <a:sysClr val="windowText" lastClr="000000"/>
              </a:solidFill>
              <a:latin typeface="Times New Roman" pitchFamily="18" charset="0"/>
              <a:cs typeface="Times New Roman" pitchFamily="18" charset="0"/>
            </a:rPr>
            <a:t>55,14 mln EUR </a:t>
          </a:r>
          <a:r>
            <a:rPr lang="pl-PL" sz="1100" b="0" kern="1200">
              <a:solidFill>
                <a:sysClr val="windowText" lastClr="000000"/>
              </a:solidFill>
              <a:latin typeface="Times New Roman" pitchFamily="18" charset="0"/>
              <a:cs typeface="Times New Roman" pitchFamily="18" charset="0"/>
            </a:rPr>
            <a:t>płatności</a:t>
          </a:r>
        </a:p>
      </dsp:txBody>
      <dsp:txXfrm>
        <a:off x="234818" y="3019081"/>
        <a:ext cx="1696881" cy="1185617"/>
      </dsp:txXfrm>
    </dsp:sp>
    <dsp:sp modelId="{95A42560-94C2-49BF-AF1C-FC794A69EC15}">
      <dsp:nvSpPr>
        <dsp:cNvPr id="0" name=""/>
        <dsp:cNvSpPr/>
      </dsp:nvSpPr>
      <dsp:spPr>
        <a:xfrm>
          <a:off x="2165325" y="2795293"/>
          <a:ext cx="2137408" cy="1373749"/>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B6E19100-C668-4BD9-A3CD-975BA100B88F}">
      <dsp:nvSpPr>
        <dsp:cNvPr id="0" name=""/>
        <dsp:cNvSpPr/>
      </dsp:nvSpPr>
      <dsp:spPr>
        <a:xfrm>
          <a:off x="2362064" y="2982195"/>
          <a:ext cx="2137408" cy="1373749"/>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KONKURSY</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2836 </a:t>
          </a:r>
          <a:r>
            <a:rPr lang="pl-PL" sz="1100" b="0" kern="1200">
              <a:latin typeface="Times New Roman" pitchFamily="18" charset="0"/>
              <a:cs typeface="Times New Roman" pitchFamily="18" charset="0"/>
            </a:rPr>
            <a:t>umów </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1056,09 mln EUR </a:t>
          </a:r>
          <a:r>
            <a:rPr lang="pl-PL" sz="1100" b="0" kern="1200">
              <a:latin typeface="Times New Roman" pitchFamily="18" charset="0"/>
              <a:cs typeface="Times New Roman" pitchFamily="18" charset="0"/>
            </a:rPr>
            <a:t>wartość </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545,23 mln EUR </a:t>
          </a:r>
          <a:r>
            <a:rPr lang="pl-PL" sz="1100" b="0" kern="1200">
              <a:latin typeface="Times New Roman" pitchFamily="18" charset="0"/>
              <a:cs typeface="Times New Roman" pitchFamily="18" charset="0"/>
            </a:rPr>
            <a:t>dofinansowanie</a:t>
          </a:r>
        </a:p>
        <a:p>
          <a:pPr lvl="0" algn="ctr" defTabSz="488950">
            <a:lnSpc>
              <a:spcPct val="90000"/>
            </a:lnSpc>
            <a:spcBef>
              <a:spcPct val="0"/>
            </a:spcBef>
            <a:spcAft>
              <a:spcPct val="35000"/>
            </a:spcAft>
          </a:pPr>
          <a:r>
            <a:rPr lang="pl-PL" sz="1100" b="1" kern="1200">
              <a:solidFill>
                <a:sysClr val="windowText" lastClr="000000"/>
              </a:solidFill>
              <a:latin typeface="Times New Roman" pitchFamily="18" charset="0"/>
              <a:cs typeface="Times New Roman" pitchFamily="18" charset="0"/>
            </a:rPr>
            <a:t>304,08 mln EUR </a:t>
          </a:r>
          <a:r>
            <a:rPr lang="pl-PL" sz="1100" b="0" kern="1200">
              <a:solidFill>
                <a:sysClr val="windowText" lastClr="000000"/>
              </a:solidFill>
              <a:latin typeface="Times New Roman" pitchFamily="18" charset="0"/>
              <a:cs typeface="Times New Roman" pitchFamily="18" charset="0"/>
            </a:rPr>
            <a:t>płatności</a:t>
          </a:r>
        </a:p>
        <a:p>
          <a:pPr lvl="0" algn="ctr" defTabSz="488950">
            <a:lnSpc>
              <a:spcPct val="90000"/>
            </a:lnSpc>
            <a:spcBef>
              <a:spcPct val="0"/>
            </a:spcBef>
            <a:spcAft>
              <a:spcPct val="35000"/>
            </a:spcAft>
          </a:pPr>
          <a:endParaRPr lang="pl-PL" sz="1100" b="1" kern="1200">
            <a:latin typeface="Times New Roman" pitchFamily="18" charset="0"/>
            <a:cs typeface="Times New Roman" pitchFamily="18" charset="0"/>
          </a:endParaRPr>
        </a:p>
      </dsp:txBody>
      <dsp:txXfrm>
        <a:off x="2402300" y="3022431"/>
        <a:ext cx="2056936" cy="1293277"/>
      </dsp:txXfrm>
    </dsp:sp>
    <dsp:sp modelId="{C5A16536-3AC6-4E75-B31C-0D347DCC77FE}">
      <dsp:nvSpPr>
        <dsp:cNvPr id="0" name=""/>
        <dsp:cNvSpPr/>
      </dsp:nvSpPr>
      <dsp:spPr>
        <a:xfrm>
          <a:off x="4696212" y="2795293"/>
          <a:ext cx="2057605" cy="1345370"/>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E1720316-F9D4-4D14-BB70-2EA78EB62115}">
      <dsp:nvSpPr>
        <dsp:cNvPr id="0" name=""/>
        <dsp:cNvSpPr/>
      </dsp:nvSpPr>
      <dsp:spPr>
        <a:xfrm>
          <a:off x="4892952" y="2982195"/>
          <a:ext cx="2057605" cy="1345370"/>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PRS</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215 </a:t>
          </a:r>
          <a:r>
            <a:rPr lang="pl-PL" sz="1100" b="0" kern="1200">
              <a:latin typeface="Times New Roman" pitchFamily="18" charset="0"/>
              <a:cs typeface="Times New Roman" pitchFamily="18" charset="0"/>
            </a:rPr>
            <a:t>umów </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273,99 mln EUR </a:t>
          </a:r>
          <a:r>
            <a:rPr lang="pl-PL" sz="1100" b="0" kern="1200">
              <a:latin typeface="Times New Roman" pitchFamily="18" charset="0"/>
              <a:cs typeface="Times New Roman" pitchFamily="18" charset="0"/>
            </a:rPr>
            <a:t>wartość</a:t>
          </a:r>
        </a:p>
        <a:p>
          <a:pPr lvl="0" algn="ctr" defTabSz="488950">
            <a:lnSpc>
              <a:spcPct val="90000"/>
            </a:lnSpc>
            <a:spcBef>
              <a:spcPct val="0"/>
            </a:spcBef>
            <a:spcAft>
              <a:spcPct val="35000"/>
            </a:spcAft>
          </a:pPr>
          <a:r>
            <a:rPr lang="pl-PL" sz="1100" b="0" kern="1200">
              <a:latin typeface="Times New Roman" pitchFamily="18" charset="0"/>
              <a:cs typeface="Times New Roman" pitchFamily="18" charset="0"/>
            </a:rPr>
            <a:t> </a:t>
          </a:r>
          <a:r>
            <a:rPr lang="pl-PL" sz="1100" b="1" kern="1200">
              <a:latin typeface="Times New Roman" pitchFamily="18" charset="0"/>
              <a:cs typeface="Times New Roman" pitchFamily="18" charset="0"/>
            </a:rPr>
            <a:t>224,55 mln EUR </a:t>
          </a:r>
          <a:r>
            <a:rPr lang="pl-PL" sz="1100" b="0" kern="1200">
              <a:latin typeface="Times New Roman" pitchFamily="18" charset="0"/>
              <a:cs typeface="Times New Roman" pitchFamily="18" charset="0"/>
            </a:rPr>
            <a:t>dofinansowanie</a:t>
          </a:r>
        </a:p>
        <a:p>
          <a:pPr lvl="0" algn="ctr" defTabSz="488950">
            <a:lnSpc>
              <a:spcPct val="90000"/>
            </a:lnSpc>
            <a:spcBef>
              <a:spcPct val="0"/>
            </a:spcBef>
            <a:spcAft>
              <a:spcPct val="35000"/>
            </a:spcAft>
          </a:pPr>
          <a:r>
            <a:rPr lang="pl-PL" sz="1100" b="1" kern="1200">
              <a:solidFill>
                <a:sysClr val="windowText" lastClr="000000"/>
              </a:solidFill>
              <a:latin typeface="Times New Roman" pitchFamily="18" charset="0"/>
              <a:cs typeface="Times New Roman" pitchFamily="18" charset="0"/>
            </a:rPr>
            <a:t>95,18 mln EUR </a:t>
          </a:r>
          <a:r>
            <a:rPr lang="pl-PL" sz="1100" b="0" kern="1200">
              <a:solidFill>
                <a:sysClr val="windowText" lastClr="000000"/>
              </a:solidFill>
              <a:latin typeface="Times New Roman" pitchFamily="18" charset="0"/>
              <a:cs typeface="Times New Roman" pitchFamily="18" charset="0"/>
            </a:rPr>
            <a:t>płatności</a:t>
          </a:r>
        </a:p>
      </dsp:txBody>
      <dsp:txXfrm>
        <a:off x="4932357" y="3021600"/>
        <a:ext cx="1978795" cy="1266560"/>
      </dsp:txXfrm>
    </dsp:sp>
    <dsp:sp modelId="{289ED444-2079-46DF-A3E6-ECF06A110263}">
      <dsp:nvSpPr>
        <dsp:cNvPr id="0" name=""/>
        <dsp:cNvSpPr/>
      </dsp:nvSpPr>
      <dsp:spPr>
        <a:xfrm>
          <a:off x="7147296" y="2795293"/>
          <a:ext cx="1770653" cy="1312561"/>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F3596107-DC59-4F16-82A4-265B86B44BDE}">
      <dsp:nvSpPr>
        <dsp:cNvPr id="0" name=""/>
        <dsp:cNvSpPr/>
      </dsp:nvSpPr>
      <dsp:spPr>
        <a:xfrm>
          <a:off x="7344036" y="2982195"/>
          <a:ext cx="1770653" cy="1312561"/>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PK</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68 </a:t>
          </a:r>
          <a:r>
            <a:rPr lang="pl-PL" sz="1100" b="0" kern="1200">
              <a:latin typeface="Times New Roman" pitchFamily="18" charset="0"/>
              <a:cs typeface="Times New Roman" pitchFamily="18" charset="0"/>
            </a:rPr>
            <a:t>umów </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562,99 mln EUR </a:t>
          </a:r>
          <a:r>
            <a:rPr lang="pl-PL" sz="1100" b="0" kern="1200">
              <a:latin typeface="Times New Roman" pitchFamily="18" charset="0"/>
              <a:cs typeface="Times New Roman" pitchFamily="18" charset="0"/>
            </a:rPr>
            <a:t>wartość</a:t>
          </a:r>
        </a:p>
        <a:p>
          <a:pPr lvl="0" algn="ctr" defTabSz="488950">
            <a:lnSpc>
              <a:spcPct val="90000"/>
            </a:lnSpc>
            <a:spcBef>
              <a:spcPct val="0"/>
            </a:spcBef>
            <a:spcAft>
              <a:spcPct val="35000"/>
            </a:spcAft>
          </a:pPr>
          <a:r>
            <a:rPr lang="pl-PL" sz="1100" b="1" kern="1200">
              <a:latin typeface="Times New Roman" pitchFamily="18" charset="0"/>
              <a:cs typeface="Times New Roman" pitchFamily="18" charset="0"/>
            </a:rPr>
            <a:t>347,37 mln EUR </a:t>
          </a:r>
          <a:r>
            <a:rPr lang="pl-PL" sz="1100" b="0" kern="1200">
              <a:latin typeface="Times New Roman" pitchFamily="18" charset="0"/>
              <a:cs typeface="Times New Roman" pitchFamily="18" charset="0"/>
            </a:rPr>
            <a:t>dofinansowanie</a:t>
          </a:r>
        </a:p>
        <a:p>
          <a:pPr lvl="0" algn="ctr" defTabSz="488950">
            <a:lnSpc>
              <a:spcPct val="90000"/>
            </a:lnSpc>
            <a:spcBef>
              <a:spcPct val="0"/>
            </a:spcBef>
            <a:spcAft>
              <a:spcPct val="35000"/>
            </a:spcAft>
          </a:pPr>
          <a:r>
            <a:rPr lang="pl-PL" sz="1100" b="1" kern="1200">
              <a:solidFill>
                <a:sysClr val="windowText" lastClr="000000"/>
              </a:solidFill>
              <a:latin typeface="Times New Roman" pitchFamily="18" charset="0"/>
              <a:cs typeface="Times New Roman" pitchFamily="18" charset="0"/>
            </a:rPr>
            <a:t>129,32 mln EUR </a:t>
          </a:r>
          <a:r>
            <a:rPr lang="pl-PL" sz="1100" b="0" kern="1200">
              <a:solidFill>
                <a:sysClr val="windowText" lastClr="000000"/>
              </a:solidFill>
              <a:latin typeface="Times New Roman" pitchFamily="18" charset="0"/>
              <a:cs typeface="Times New Roman" pitchFamily="18" charset="0"/>
            </a:rPr>
            <a:t>płatności</a:t>
          </a:r>
        </a:p>
      </dsp:txBody>
      <dsp:txXfrm>
        <a:off x="7382480" y="3020639"/>
        <a:ext cx="1693765" cy="12356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54FF9F-1BEA-47B8-8DB2-667C34020993}">
      <dsp:nvSpPr>
        <dsp:cNvPr id="0" name=""/>
        <dsp:cNvSpPr/>
      </dsp:nvSpPr>
      <dsp:spPr>
        <a:xfrm rot="5400000">
          <a:off x="-239207" y="243682"/>
          <a:ext cx="1594716" cy="1116301"/>
        </a:xfrm>
        <a:prstGeom prst="chevron">
          <a:avLst/>
        </a:prstGeom>
        <a:solidFill>
          <a:srgbClr val="92D050"/>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solidFill>
                <a:sysClr val="windowText" lastClr="000000"/>
              </a:solidFill>
              <a:latin typeface="Times New Roman" pitchFamily="18" charset="0"/>
              <a:cs typeface="Times New Roman" pitchFamily="18" charset="0"/>
            </a:rPr>
            <a:t>Priorytet KPR:</a:t>
          </a:r>
        </a:p>
        <a:p>
          <a:pPr lvl="0" algn="ctr" defTabSz="444500">
            <a:lnSpc>
              <a:spcPct val="90000"/>
            </a:lnSpc>
            <a:spcBef>
              <a:spcPct val="0"/>
            </a:spcBef>
            <a:spcAft>
              <a:spcPct val="35000"/>
            </a:spcAft>
          </a:pPr>
          <a:r>
            <a:rPr lang="pl-PL" sz="1000" b="1" kern="1200">
              <a:solidFill>
                <a:sysClr val="windowText" lastClr="000000"/>
              </a:solidFill>
              <a:latin typeface="Times New Roman" pitchFamily="18" charset="0"/>
              <a:cs typeface="Times New Roman" pitchFamily="18" charset="0"/>
            </a:rPr>
            <a:t>Innowacyjność dla wzrostu inteligentnego</a:t>
          </a:r>
        </a:p>
      </dsp:txBody>
      <dsp:txXfrm rot="-5400000">
        <a:off x="1" y="562626"/>
        <a:ext cx="1116301" cy="478415"/>
      </dsp:txXfrm>
    </dsp:sp>
    <dsp:sp modelId="{3D7CE693-B73E-4DA2-A009-CEC64B63A548}">
      <dsp:nvSpPr>
        <dsp:cNvPr id="0" name=""/>
        <dsp:cNvSpPr/>
      </dsp:nvSpPr>
      <dsp:spPr>
        <a:xfrm rot="5400000">
          <a:off x="2570216" y="-1217667"/>
          <a:ext cx="573563" cy="3481394"/>
        </a:xfrm>
        <a:prstGeom prst="round2SameRect">
          <a:avLst/>
        </a:prstGeom>
        <a:solidFill>
          <a:schemeClr val="lt1">
            <a:alpha val="90000"/>
            <a:hueOff val="0"/>
            <a:satOff val="0"/>
            <a:lumOff val="0"/>
            <a:alphaOff val="0"/>
          </a:schemeClr>
        </a:solidFill>
        <a:ln w="34925" cap="flat" cmpd="sng" algn="ctr">
          <a:solidFill>
            <a:schemeClr val="accent2">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pl-PL" sz="1100" b="1" i="0" kern="1200">
              <a:latin typeface="Times New Roman" pitchFamily="18" charset="0"/>
              <a:cs typeface="Times New Roman" pitchFamily="18" charset="0"/>
            </a:rPr>
            <a:t>Oś priorytetowa I </a:t>
          </a:r>
          <a:r>
            <a:rPr lang="pl-PL" sz="1100" b="0" i="1" kern="1200">
              <a:latin typeface="Times New Roman" pitchFamily="18" charset="0"/>
              <a:cs typeface="Times New Roman" pitchFamily="18" charset="0"/>
            </a:rPr>
            <a:t>B+R, innowacje i przedsiebiorczość,</a:t>
          </a:r>
          <a:endParaRPr lang="pl-PL" sz="1100" kern="1200"/>
        </a:p>
        <a:p>
          <a:pPr marL="57150" lvl="1" indent="-57150" algn="ctr" defTabSz="488950">
            <a:lnSpc>
              <a:spcPct val="90000"/>
            </a:lnSpc>
            <a:spcBef>
              <a:spcPct val="0"/>
            </a:spcBef>
            <a:spcAft>
              <a:spcPct val="15000"/>
            </a:spcAft>
            <a:buChar char="••"/>
          </a:pPr>
          <a:r>
            <a:rPr lang="pl-PL" sz="1100" b="1" kern="1200">
              <a:latin typeface="Times New Roman" pitchFamily="18" charset="0"/>
              <a:cs typeface="Times New Roman" pitchFamily="18" charset="0"/>
            </a:rPr>
            <a:t>Oś priorytetowa VIII </a:t>
          </a:r>
          <a:r>
            <a:rPr lang="pl-PL" sz="1100" i="1" kern="1200">
              <a:latin typeface="Times New Roman" pitchFamily="18" charset="0"/>
              <a:cs typeface="Times New Roman" pitchFamily="18" charset="0"/>
            </a:rPr>
            <a:t>Edukacja</a:t>
          </a:r>
        </a:p>
      </dsp:txBody>
      <dsp:txXfrm rot="-5400000">
        <a:off x="1116301" y="264247"/>
        <a:ext cx="3453395" cy="517565"/>
      </dsp:txXfrm>
    </dsp:sp>
    <dsp:sp modelId="{CE87AD98-EA4A-4100-8079-805D38FE36DA}">
      <dsp:nvSpPr>
        <dsp:cNvPr id="0" name=""/>
        <dsp:cNvSpPr/>
      </dsp:nvSpPr>
      <dsp:spPr>
        <a:xfrm rot="5400000">
          <a:off x="-239207" y="1595867"/>
          <a:ext cx="1594716" cy="1116301"/>
        </a:xfrm>
        <a:prstGeom prst="chevron">
          <a:avLst/>
        </a:prstGeom>
        <a:solidFill>
          <a:schemeClr val="accent4">
            <a:hueOff val="20423036"/>
            <a:satOff val="-23986"/>
            <a:lumOff val="9216"/>
            <a:alphaOff val="0"/>
          </a:schemeClr>
        </a:solidFill>
        <a:ln w="12700" cap="flat" cmpd="sng" algn="ctr">
          <a:solidFill>
            <a:schemeClr val="accent4">
              <a:hueOff val="20423036"/>
              <a:satOff val="-23986"/>
              <a:lumOff val="921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solidFill>
                <a:sysClr val="windowText" lastClr="000000"/>
              </a:solidFill>
              <a:latin typeface="Times New Roman" pitchFamily="18" charset="0"/>
              <a:cs typeface="Times New Roman" pitchFamily="18" charset="0"/>
            </a:rPr>
            <a:t>Priorytet KPR:</a:t>
          </a:r>
        </a:p>
        <a:p>
          <a:pPr lvl="0" algn="ctr" defTabSz="444500">
            <a:lnSpc>
              <a:spcPct val="90000"/>
            </a:lnSpc>
            <a:spcBef>
              <a:spcPct val="0"/>
            </a:spcBef>
            <a:spcAft>
              <a:spcPct val="35000"/>
            </a:spcAft>
          </a:pPr>
          <a:r>
            <a:rPr lang="pl-PL" sz="1000" b="1" kern="1200">
              <a:solidFill>
                <a:sysClr val="windowText" lastClr="000000"/>
              </a:solidFill>
              <a:latin typeface="Times New Roman" pitchFamily="18" charset="0"/>
              <a:cs typeface="Times New Roman" pitchFamily="18" charset="0"/>
            </a:rPr>
            <a:t>Infrastruktura dla wzrostu zrównoważonego</a:t>
          </a:r>
        </a:p>
      </dsp:txBody>
      <dsp:txXfrm rot="-5400000">
        <a:off x="1" y="1914811"/>
        <a:ext cx="1116301" cy="478415"/>
      </dsp:txXfrm>
    </dsp:sp>
    <dsp:sp modelId="{44BB47CD-3272-4353-A85D-8B8E0CE0057A}">
      <dsp:nvSpPr>
        <dsp:cNvPr id="0" name=""/>
        <dsp:cNvSpPr/>
      </dsp:nvSpPr>
      <dsp:spPr>
        <a:xfrm rot="5400000">
          <a:off x="2292241" y="134245"/>
          <a:ext cx="1129514" cy="3481394"/>
        </a:xfrm>
        <a:prstGeom prst="round2SameRect">
          <a:avLst/>
        </a:prstGeom>
        <a:solidFill>
          <a:schemeClr val="lt1">
            <a:alpha val="90000"/>
            <a:hueOff val="0"/>
            <a:satOff val="0"/>
            <a:lumOff val="0"/>
            <a:alphaOff val="0"/>
          </a:schemeClr>
        </a:solidFill>
        <a:ln w="28575" cap="flat" cmpd="sng" algn="ctr">
          <a:solidFill>
            <a:schemeClr val="accent2">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pl-PL" sz="1100" b="1" i="0" kern="1200">
              <a:latin typeface="Times New Roman" pitchFamily="18" charset="0"/>
              <a:cs typeface="Times New Roman" pitchFamily="18" charset="0"/>
            </a:rPr>
            <a:t>Oś priorytetowa I </a:t>
          </a:r>
          <a:r>
            <a:rPr lang="pl-PL" sz="1100" b="0" i="1" kern="1200">
              <a:latin typeface="Times New Roman" pitchFamily="18" charset="0"/>
              <a:cs typeface="Times New Roman" pitchFamily="18" charset="0"/>
            </a:rPr>
            <a:t>B+R, innowacje i przedsiebiorczość,</a:t>
          </a:r>
        </a:p>
        <a:p>
          <a:pPr marL="57150" lvl="1" indent="-57150" algn="ctr" defTabSz="488950">
            <a:lnSpc>
              <a:spcPct val="90000"/>
            </a:lnSpc>
            <a:spcBef>
              <a:spcPct val="0"/>
            </a:spcBef>
            <a:spcAft>
              <a:spcPct val="15000"/>
            </a:spcAft>
            <a:buChar char="••"/>
          </a:pPr>
          <a:r>
            <a:rPr lang="pl-PL" sz="1100" b="1" i="0" kern="1200">
              <a:latin typeface="Times New Roman" pitchFamily="18" charset="0"/>
              <a:cs typeface="Times New Roman" pitchFamily="18" charset="0"/>
            </a:rPr>
            <a:t>Oś priorytetowa II </a:t>
          </a:r>
          <a:r>
            <a:rPr lang="pl-PL" sz="1100" b="0" i="1" kern="1200">
              <a:latin typeface="Times New Roman" pitchFamily="18" charset="0"/>
              <a:cs typeface="Times New Roman" pitchFamily="18" charset="0"/>
            </a:rPr>
            <a:t>Społeczeństwo informacyjne,</a:t>
          </a:r>
        </a:p>
        <a:p>
          <a:pPr marL="57150" lvl="1" indent="-57150" algn="ctr" defTabSz="488950">
            <a:lnSpc>
              <a:spcPct val="90000"/>
            </a:lnSpc>
            <a:spcBef>
              <a:spcPct val="0"/>
            </a:spcBef>
            <a:spcAft>
              <a:spcPct val="15000"/>
            </a:spcAft>
            <a:buChar char="••"/>
          </a:pPr>
          <a:r>
            <a:rPr lang="pl-PL" sz="1100" b="1" kern="1200">
              <a:latin typeface="Times New Roman" pitchFamily="18" charset="0"/>
              <a:cs typeface="Times New Roman" pitchFamily="18" charset="0"/>
            </a:rPr>
            <a:t>Oś priorytetowa V </a:t>
          </a:r>
          <a:r>
            <a:rPr lang="pl-PL" sz="1100" b="0" i="1" kern="1200">
              <a:latin typeface="Times New Roman" pitchFamily="18" charset="0"/>
              <a:cs typeface="Times New Roman" pitchFamily="18" charset="0"/>
            </a:rPr>
            <a:t>Środowisko,</a:t>
          </a:r>
        </a:p>
        <a:p>
          <a:pPr marL="57150" lvl="1" indent="-57150" algn="ctr" defTabSz="488950">
            <a:lnSpc>
              <a:spcPct val="90000"/>
            </a:lnSpc>
            <a:spcBef>
              <a:spcPct val="0"/>
            </a:spcBef>
            <a:spcAft>
              <a:spcPct val="15000"/>
            </a:spcAft>
            <a:buChar char="••"/>
          </a:pPr>
          <a:r>
            <a:rPr lang="pl-PL" sz="1100" b="1" i="0" kern="1200">
              <a:latin typeface="Times New Roman" pitchFamily="18" charset="0"/>
              <a:cs typeface="Times New Roman" pitchFamily="18" charset="0"/>
            </a:rPr>
            <a:t>Oś priorytetowa VII</a:t>
          </a:r>
          <a:r>
            <a:rPr lang="pl-PL" sz="1100" b="0" i="0" kern="1200">
              <a:latin typeface="Times New Roman" pitchFamily="18" charset="0"/>
              <a:cs typeface="Times New Roman" pitchFamily="18" charset="0"/>
            </a:rPr>
            <a:t> </a:t>
          </a:r>
          <a:r>
            <a:rPr lang="pl-PL" sz="1100" b="0" i="1" kern="1200">
              <a:latin typeface="Times New Roman" pitchFamily="18" charset="0"/>
              <a:cs typeface="Times New Roman" pitchFamily="18" charset="0"/>
            </a:rPr>
            <a:t>Transport,</a:t>
          </a:r>
        </a:p>
      </dsp:txBody>
      <dsp:txXfrm rot="-5400000">
        <a:off x="1116301" y="1365323"/>
        <a:ext cx="3426256" cy="10192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42C7D-82FB-4FBA-9AB9-43B672FF0AD0}">
      <dsp:nvSpPr>
        <dsp:cNvPr id="0" name=""/>
        <dsp:cNvSpPr/>
      </dsp:nvSpPr>
      <dsp:spPr>
        <a:xfrm>
          <a:off x="2794237" y="1222292"/>
          <a:ext cx="1505088" cy="620817"/>
        </a:xfrm>
        <a:custGeom>
          <a:avLst/>
          <a:gdLst/>
          <a:ahLst/>
          <a:cxnLst/>
          <a:rect l="0" t="0" r="0" b="0"/>
          <a:pathLst>
            <a:path>
              <a:moveTo>
                <a:pt x="0" y="0"/>
              </a:moveTo>
              <a:lnTo>
                <a:pt x="0" y="423069"/>
              </a:lnTo>
              <a:lnTo>
                <a:pt x="1505088" y="423069"/>
              </a:lnTo>
              <a:lnTo>
                <a:pt x="1505088" y="620817"/>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551095-1900-4D96-ACFD-9E74E765AD33}">
      <dsp:nvSpPr>
        <dsp:cNvPr id="0" name=""/>
        <dsp:cNvSpPr/>
      </dsp:nvSpPr>
      <dsp:spPr>
        <a:xfrm>
          <a:off x="1257182" y="1222292"/>
          <a:ext cx="1537054" cy="620817"/>
        </a:xfrm>
        <a:custGeom>
          <a:avLst/>
          <a:gdLst/>
          <a:ahLst/>
          <a:cxnLst/>
          <a:rect l="0" t="0" r="0" b="0"/>
          <a:pathLst>
            <a:path>
              <a:moveTo>
                <a:pt x="1537054" y="0"/>
              </a:moveTo>
              <a:lnTo>
                <a:pt x="1537054" y="423069"/>
              </a:lnTo>
              <a:lnTo>
                <a:pt x="0" y="423069"/>
              </a:lnTo>
              <a:lnTo>
                <a:pt x="0" y="620817"/>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62D4FE-EA64-49E2-8232-8039E1E81435}">
      <dsp:nvSpPr>
        <dsp:cNvPr id="0" name=""/>
        <dsp:cNvSpPr/>
      </dsp:nvSpPr>
      <dsp:spPr>
        <a:xfrm>
          <a:off x="792756" y="65781"/>
          <a:ext cx="4002961" cy="1156510"/>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2B75CD9B-75AC-469E-A566-F7D66F856908}">
      <dsp:nvSpPr>
        <dsp:cNvPr id="0" name=""/>
        <dsp:cNvSpPr/>
      </dsp:nvSpPr>
      <dsp:spPr>
        <a:xfrm>
          <a:off x="1029935" y="291102"/>
          <a:ext cx="4002961" cy="1156510"/>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PRIORYTET I</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1936 </a:t>
          </a:r>
          <a:r>
            <a:rPr lang="pl-PL" sz="11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345,63 mln EUR </a:t>
          </a:r>
          <a:r>
            <a:rPr lang="pl-PL" sz="11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150,63 mln EUR </a:t>
          </a:r>
          <a:r>
            <a:rPr lang="pl-PL" sz="1100" b="0" kern="1200">
              <a:latin typeface="Times New Roman" pitchFamily="18" charset="0"/>
              <a:cs typeface="Times New Roman" pitchFamily="18" charset="0"/>
            </a:rPr>
            <a:t>dofinansowanie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79,34 mln EUR </a:t>
          </a:r>
          <a:r>
            <a:rPr lang="pl-PL" sz="1100" b="0" kern="1200">
              <a:latin typeface="Times New Roman" pitchFamily="18" charset="0"/>
              <a:cs typeface="Times New Roman" pitchFamily="18" charset="0"/>
            </a:rPr>
            <a:t>płatności</a:t>
          </a:r>
        </a:p>
      </dsp:txBody>
      <dsp:txXfrm>
        <a:off x="1063808" y="324975"/>
        <a:ext cx="3935215" cy="1088764"/>
      </dsp:txXfrm>
    </dsp:sp>
    <dsp:sp modelId="{2B06B423-2E98-4C1C-BB14-8CFB3FAC68C0}">
      <dsp:nvSpPr>
        <dsp:cNvPr id="0" name=""/>
        <dsp:cNvSpPr/>
      </dsp:nvSpPr>
      <dsp:spPr>
        <a:xfrm>
          <a:off x="2614" y="1843109"/>
          <a:ext cx="2509135" cy="1355481"/>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BF04710E-19CD-41F0-9DF3-DF17AD83F590}">
      <dsp:nvSpPr>
        <dsp:cNvPr id="0" name=""/>
        <dsp:cNvSpPr/>
      </dsp:nvSpPr>
      <dsp:spPr>
        <a:xfrm>
          <a:off x="239794" y="2068430"/>
          <a:ext cx="2509135" cy="1355481"/>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KONKURSY</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1928 </a:t>
          </a:r>
          <a:r>
            <a:rPr lang="pl-PL" sz="11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306,21 mln EUR </a:t>
          </a:r>
          <a:r>
            <a:rPr lang="pl-PL" sz="11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0" kern="1200">
              <a:latin typeface="Times New Roman" pitchFamily="18" charset="0"/>
              <a:cs typeface="Times New Roman" pitchFamily="18" charset="0"/>
            </a:rPr>
            <a:t> </a:t>
          </a:r>
          <a:r>
            <a:rPr lang="pl-PL" sz="1100" b="1" kern="1200">
              <a:latin typeface="Times New Roman" pitchFamily="18" charset="0"/>
              <a:cs typeface="Times New Roman" pitchFamily="18" charset="0"/>
            </a:rPr>
            <a:t>121,20 mln EUR (47%) </a:t>
          </a:r>
          <a:r>
            <a:rPr lang="pl-PL" sz="1100" b="0" kern="1200">
              <a:latin typeface="Times New Roman" pitchFamily="18" charset="0"/>
              <a:cs typeface="Times New Roman" pitchFamily="18" charset="0"/>
            </a:rPr>
            <a:t>dofinansowanie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70,89mln EUR </a:t>
          </a:r>
          <a:r>
            <a:rPr lang="pl-PL" sz="1100" b="0" i="0" kern="1200">
              <a:latin typeface="Times New Roman" pitchFamily="18" charset="0"/>
              <a:cs typeface="Times New Roman" pitchFamily="18" charset="0"/>
            </a:rPr>
            <a:t>płatności</a:t>
          </a:r>
        </a:p>
      </dsp:txBody>
      <dsp:txXfrm>
        <a:off x="279495" y="2108131"/>
        <a:ext cx="2429733" cy="1276079"/>
      </dsp:txXfrm>
    </dsp:sp>
    <dsp:sp modelId="{DCC235DF-4F14-4BF4-B1F1-93023C721E72}">
      <dsp:nvSpPr>
        <dsp:cNvPr id="0" name=""/>
        <dsp:cNvSpPr/>
      </dsp:nvSpPr>
      <dsp:spPr>
        <a:xfrm>
          <a:off x="2986109" y="1843109"/>
          <a:ext cx="2626432" cy="1355481"/>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122B4FAF-F0B9-4835-96F3-326424C825F2}">
      <dsp:nvSpPr>
        <dsp:cNvPr id="0" name=""/>
        <dsp:cNvSpPr/>
      </dsp:nvSpPr>
      <dsp:spPr>
        <a:xfrm>
          <a:off x="3223289" y="2068430"/>
          <a:ext cx="2626432" cy="1355481"/>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PK</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8 </a:t>
          </a:r>
          <a:r>
            <a:rPr lang="pl-PL" sz="11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39,42 mln EUR </a:t>
          </a:r>
          <a:r>
            <a:rPr lang="pl-PL" sz="1100" b="0" kern="1200">
              <a:latin typeface="Times New Roman" pitchFamily="18" charset="0"/>
              <a:cs typeface="Times New Roman" pitchFamily="18" charset="0"/>
            </a:rPr>
            <a:t>wartość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29,43 mln EUR (100%) </a:t>
          </a:r>
          <a:r>
            <a:rPr lang="pl-PL" sz="1100" b="0" kern="1200">
              <a:latin typeface="Times New Roman" pitchFamily="18" charset="0"/>
              <a:cs typeface="Times New Roman" pitchFamily="18" charset="0"/>
            </a:rPr>
            <a:t>dofinansowanie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8,45 mln EUR </a:t>
          </a:r>
          <a:r>
            <a:rPr lang="pl-PL" sz="1100" b="0" kern="1200">
              <a:latin typeface="Times New Roman" pitchFamily="18" charset="0"/>
              <a:cs typeface="Times New Roman" pitchFamily="18" charset="0"/>
            </a:rPr>
            <a:t>płatności</a:t>
          </a:r>
        </a:p>
      </dsp:txBody>
      <dsp:txXfrm>
        <a:off x="3262990" y="2108131"/>
        <a:ext cx="2547030" cy="127607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42C7D-82FB-4FBA-9AB9-43B672FF0AD0}">
      <dsp:nvSpPr>
        <dsp:cNvPr id="0" name=""/>
        <dsp:cNvSpPr/>
      </dsp:nvSpPr>
      <dsp:spPr>
        <a:xfrm>
          <a:off x="2833540" y="1190594"/>
          <a:ext cx="1440585" cy="573184"/>
        </a:xfrm>
        <a:custGeom>
          <a:avLst/>
          <a:gdLst/>
          <a:ahLst/>
          <a:cxnLst/>
          <a:rect l="0" t="0" r="0" b="0"/>
          <a:pathLst>
            <a:path>
              <a:moveTo>
                <a:pt x="0" y="0"/>
              </a:moveTo>
              <a:lnTo>
                <a:pt x="0" y="373919"/>
              </a:lnTo>
              <a:lnTo>
                <a:pt x="1440585" y="373919"/>
              </a:lnTo>
              <a:lnTo>
                <a:pt x="1440585" y="573184"/>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551095-1900-4D96-ACFD-9E74E765AD33}">
      <dsp:nvSpPr>
        <dsp:cNvPr id="0" name=""/>
        <dsp:cNvSpPr/>
      </dsp:nvSpPr>
      <dsp:spPr>
        <a:xfrm>
          <a:off x="1191461" y="1190594"/>
          <a:ext cx="1642079" cy="626180"/>
        </a:xfrm>
        <a:custGeom>
          <a:avLst/>
          <a:gdLst/>
          <a:ahLst/>
          <a:cxnLst/>
          <a:rect l="0" t="0" r="0" b="0"/>
          <a:pathLst>
            <a:path>
              <a:moveTo>
                <a:pt x="1642079" y="0"/>
              </a:moveTo>
              <a:lnTo>
                <a:pt x="1642079" y="426915"/>
              </a:lnTo>
              <a:lnTo>
                <a:pt x="0" y="426915"/>
              </a:lnTo>
              <a:lnTo>
                <a:pt x="0" y="62618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62D4FE-EA64-49E2-8232-8039E1E81435}">
      <dsp:nvSpPr>
        <dsp:cNvPr id="0" name=""/>
        <dsp:cNvSpPr/>
      </dsp:nvSpPr>
      <dsp:spPr>
        <a:xfrm>
          <a:off x="816707" y="25213"/>
          <a:ext cx="4033666" cy="1165381"/>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2B75CD9B-75AC-469E-A566-F7D66F856908}">
      <dsp:nvSpPr>
        <dsp:cNvPr id="0" name=""/>
        <dsp:cNvSpPr/>
      </dsp:nvSpPr>
      <dsp:spPr>
        <a:xfrm>
          <a:off x="1055706" y="252262"/>
          <a:ext cx="4033666" cy="1165381"/>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PRIORYTET II</a:t>
          </a:r>
        </a:p>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100 </a:t>
          </a:r>
          <a:r>
            <a:rPr lang="pl-PL" sz="12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106,97 mln EUR </a:t>
          </a:r>
          <a:r>
            <a:rPr lang="pl-PL" sz="12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76,66 mln EUR </a:t>
          </a:r>
          <a:r>
            <a:rPr lang="pl-PL" sz="12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11,99 mln EUR </a:t>
          </a:r>
          <a:r>
            <a:rPr lang="pl-PL" sz="1200" b="0" kern="1200">
              <a:latin typeface="Times New Roman" pitchFamily="18" charset="0"/>
              <a:cs typeface="Times New Roman" pitchFamily="18" charset="0"/>
            </a:rPr>
            <a:t>płatności </a:t>
          </a:r>
        </a:p>
      </dsp:txBody>
      <dsp:txXfrm>
        <a:off x="1089839" y="286395"/>
        <a:ext cx="3965400" cy="1097115"/>
      </dsp:txXfrm>
    </dsp:sp>
    <dsp:sp modelId="{2B06B423-2E98-4C1C-BB14-8CFB3FAC68C0}">
      <dsp:nvSpPr>
        <dsp:cNvPr id="0" name=""/>
        <dsp:cNvSpPr/>
      </dsp:nvSpPr>
      <dsp:spPr>
        <a:xfrm>
          <a:off x="-70051" y="1816775"/>
          <a:ext cx="2523025" cy="1365879"/>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BF04710E-19CD-41F0-9DF3-DF17AD83F590}">
      <dsp:nvSpPr>
        <dsp:cNvPr id="0" name=""/>
        <dsp:cNvSpPr/>
      </dsp:nvSpPr>
      <dsp:spPr>
        <a:xfrm>
          <a:off x="168947" y="2043824"/>
          <a:ext cx="2523025" cy="1365879"/>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KONKURSY</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72 </a:t>
          </a:r>
          <a:r>
            <a:rPr lang="pl-PL" sz="1100" b="0" kern="1200">
              <a:latin typeface="Times New Roman" pitchFamily="18" charset="0"/>
              <a:cs typeface="Times New Roman" pitchFamily="18" charset="0"/>
            </a:rPr>
            <a:t>umowy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31,33 mln EUR </a:t>
          </a:r>
          <a:r>
            <a:rPr lang="pl-PL" sz="1100" b="0" kern="1200">
              <a:latin typeface="Times New Roman" pitchFamily="18" charset="0"/>
              <a:cs typeface="Times New Roman" pitchFamily="18" charset="0"/>
            </a:rPr>
            <a:t>wartość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24,69 mln EUR (31%) </a:t>
          </a:r>
          <a:r>
            <a:rPr lang="pl-PL" sz="11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7,32 mln EUR </a:t>
          </a:r>
          <a:r>
            <a:rPr lang="pl-PL" sz="1100" b="0" kern="1200">
              <a:latin typeface="Times New Roman" pitchFamily="18" charset="0"/>
              <a:cs typeface="Times New Roman" pitchFamily="18" charset="0"/>
            </a:rPr>
            <a:t>płatności</a:t>
          </a:r>
        </a:p>
      </dsp:txBody>
      <dsp:txXfrm>
        <a:off x="208952" y="2083829"/>
        <a:ext cx="2443015" cy="1285869"/>
      </dsp:txXfrm>
    </dsp:sp>
    <dsp:sp modelId="{DCC235DF-4F14-4BF4-B1F1-93023C721E72}">
      <dsp:nvSpPr>
        <dsp:cNvPr id="0" name=""/>
        <dsp:cNvSpPr/>
      </dsp:nvSpPr>
      <dsp:spPr>
        <a:xfrm>
          <a:off x="2930972" y="1763779"/>
          <a:ext cx="2686307" cy="1365879"/>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122B4FAF-F0B9-4835-96F3-326424C825F2}">
      <dsp:nvSpPr>
        <dsp:cNvPr id="0" name=""/>
        <dsp:cNvSpPr/>
      </dsp:nvSpPr>
      <dsp:spPr>
        <a:xfrm>
          <a:off x="3169971" y="1990828"/>
          <a:ext cx="2686307" cy="1365879"/>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PRS</a:t>
          </a:r>
        </a:p>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28 </a:t>
          </a:r>
          <a:r>
            <a:rPr lang="pl-PL" sz="12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80,23 mln EUR </a:t>
          </a:r>
          <a:r>
            <a:rPr lang="pl-PL" sz="12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200" b="0" kern="1200">
              <a:latin typeface="Times New Roman" pitchFamily="18" charset="0"/>
              <a:cs typeface="Times New Roman" pitchFamily="18" charset="0"/>
            </a:rPr>
            <a:t> </a:t>
          </a:r>
          <a:r>
            <a:rPr lang="pl-PL" sz="1200" b="1" kern="1200">
              <a:latin typeface="Times New Roman" pitchFamily="18" charset="0"/>
              <a:cs typeface="Times New Roman" pitchFamily="18" charset="0"/>
            </a:rPr>
            <a:t>51,97 mln EUR (73%) </a:t>
          </a:r>
          <a:r>
            <a:rPr lang="pl-PL" sz="12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4,67 mln EUR </a:t>
          </a:r>
          <a:r>
            <a:rPr lang="pl-PL" sz="1200" b="0" kern="1200">
              <a:latin typeface="Times New Roman" pitchFamily="18" charset="0"/>
              <a:cs typeface="Times New Roman" pitchFamily="18" charset="0"/>
            </a:rPr>
            <a:t>płatności</a:t>
          </a:r>
        </a:p>
      </dsp:txBody>
      <dsp:txXfrm>
        <a:off x="3209976" y="2030833"/>
        <a:ext cx="2606297" cy="128586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42C7D-82FB-4FBA-9AB9-43B672FF0AD0}">
      <dsp:nvSpPr>
        <dsp:cNvPr id="0" name=""/>
        <dsp:cNvSpPr/>
      </dsp:nvSpPr>
      <dsp:spPr>
        <a:xfrm>
          <a:off x="2892727" y="1375025"/>
          <a:ext cx="2091372" cy="423924"/>
        </a:xfrm>
        <a:custGeom>
          <a:avLst/>
          <a:gdLst/>
          <a:ahLst/>
          <a:cxnLst/>
          <a:rect l="0" t="0" r="0" b="0"/>
          <a:pathLst>
            <a:path>
              <a:moveTo>
                <a:pt x="0" y="0"/>
              </a:moveTo>
              <a:lnTo>
                <a:pt x="0" y="288891"/>
              </a:lnTo>
              <a:lnTo>
                <a:pt x="2091372" y="288891"/>
              </a:lnTo>
              <a:lnTo>
                <a:pt x="2091372" y="423924"/>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86E8F4-1233-497D-B879-79927E39CB38}">
      <dsp:nvSpPr>
        <dsp:cNvPr id="0" name=""/>
        <dsp:cNvSpPr/>
      </dsp:nvSpPr>
      <dsp:spPr>
        <a:xfrm>
          <a:off x="2892727" y="1375025"/>
          <a:ext cx="123066" cy="423924"/>
        </a:xfrm>
        <a:custGeom>
          <a:avLst/>
          <a:gdLst/>
          <a:ahLst/>
          <a:cxnLst/>
          <a:rect l="0" t="0" r="0" b="0"/>
          <a:pathLst>
            <a:path>
              <a:moveTo>
                <a:pt x="0" y="0"/>
              </a:moveTo>
              <a:lnTo>
                <a:pt x="0" y="288891"/>
              </a:lnTo>
              <a:lnTo>
                <a:pt x="123066" y="288891"/>
              </a:lnTo>
              <a:lnTo>
                <a:pt x="123066" y="423924"/>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551095-1900-4D96-ACFD-9E74E765AD33}">
      <dsp:nvSpPr>
        <dsp:cNvPr id="0" name=""/>
        <dsp:cNvSpPr/>
      </dsp:nvSpPr>
      <dsp:spPr>
        <a:xfrm>
          <a:off x="933531" y="1375025"/>
          <a:ext cx="1959195" cy="423924"/>
        </a:xfrm>
        <a:custGeom>
          <a:avLst/>
          <a:gdLst/>
          <a:ahLst/>
          <a:cxnLst/>
          <a:rect l="0" t="0" r="0" b="0"/>
          <a:pathLst>
            <a:path>
              <a:moveTo>
                <a:pt x="1959195" y="0"/>
              </a:moveTo>
              <a:lnTo>
                <a:pt x="1959195" y="288891"/>
              </a:lnTo>
              <a:lnTo>
                <a:pt x="0" y="288891"/>
              </a:lnTo>
              <a:lnTo>
                <a:pt x="0" y="423924"/>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62D4FE-EA64-49E2-8232-8039E1E81435}">
      <dsp:nvSpPr>
        <dsp:cNvPr id="0" name=""/>
        <dsp:cNvSpPr/>
      </dsp:nvSpPr>
      <dsp:spPr>
        <a:xfrm>
          <a:off x="1398595" y="133228"/>
          <a:ext cx="2988263" cy="1241796"/>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2B75CD9B-75AC-469E-A566-F7D66F856908}">
      <dsp:nvSpPr>
        <dsp:cNvPr id="0" name=""/>
        <dsp:cNvSpPr/>
      </dsp:nvSpPr>
      <dsp:spPr>
        <a:xfrm>
          <a:off x="1560553" y="287088"/>
          <a:ext cx="2988263" cy="1241796"/>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PRIORYTET III</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308 </a:t>
          </a:r>
          <a:r>
            <a:rPr lang="pl-PL" sz="11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144,62 mln EUR </a:t>
          </a:r>
          <a:r>
            <a:rPr lang="pl-PL" sz="1100" b="0" kern="1200">
              <a:latin typeface="Times New Roman" pitchFamily="18" charset="0"/>
              <a:cs typeface="Times New Roman" pitchFamily="18" charset="0"/>
            </a:rPr>
            <a:t>wartość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69,44 mln EUR</a:t>
          </a:r>
          <a:r>
            <a:rPr lang="pl-PL" sz="1100" b="0" kern="1200">
              <a:latin typeface="Times New Roman" pitchFamily="18" charset="0"/>
              <a:cs typeface="Times New Roman" pitchFamily="18" charset="0"/>
            </a:rPr>
            <a:t> dofinansowanie</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35,71mln EUR </a:t>
          </a:r>
          <a:r>
            <a:rPr lang="pl-PL" sz="1100" b="0" kern="1200">
              <a:latin typeface="Times New Roman" pitchFamily="18" charset="0"/>
              <a:cs typeface="Times New Roman" pitchFamily="18" charset="0"/>
            </a:rPr>
            <a:t>płatności</a:t>
          </a:r>
        </a:p>
      </dsp:txBody>
      <dsp:txXfrm>
        <a:off x="1596924" y="323459"/>
        <a:ext cx="2915521" cy="1169054"/>
      </dsp:txXfrm>
    </dsp:sp>
    <dsp:sp modelId="{2B06B423-2E98-4C1C-BB14-8CFB3FAC68C0}">
      <dsp:nvSpPr>
        <dsp:cNvPr id="0" name=""/>
        <dsp:cNvSpPr/>
      </dsp:nvSpPr>
      <dsp:spPr>
        <a:xfrm>
          <a:off x="1268" y="1798949"/>
          <a:ext cx="1864527" cy="1220794"/>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BF04710E-19CD-41F0-9DF3-DF17AD83F590}">
      <dsp:nvSpPr>
        <dsp:cNvPr id="0" name=""/>
        <dsp:cNvSpPr/>
      </dsp:nvSpPr>
      <dsp:spPr>
        <a:xfrm>
          <a:off x="163225" y="1952809"/>
          <a:ext cx="1864527" cy="1220794"/>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KONKURSY</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252 </a:t>
          </a:r>
          <a:r>
            <a:rPr lang="pl-PL" sz="1000" b="0" kern="1200">
              <a:latin typeface="Times New Roman" pitchFamily="18" charset="0"/>
              <a:cs typeface="Times New Roman" pitchFamily="18" charset="0"/>
            </a:rPr>
            <a:t>umowy</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88,37 mln EUR </a:t>
          </a:r>
          <a:r>
            <a:rPr lang="pl-PL" sz="10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16,81 mln EUR (26%) </a:t>
          </a:r>
          <a:r>
            <a:rPr lang="pl-PL" sz="10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9,46 mln EUR </a:t>
          </a:r>
          <a:r>
            <a:rPr lang="pl-PL" sz="1000" b="0" kern="1200">
              <a:latin typeface="Times New Roman" pitchFamily="18" charset="0"/>
              <a:cs typeface="Times New Roman" pitchFamily="18" charset="0"/>
            </a:rPr>
            <a:t>płatności</a:t>
          </a:r>
        </a:p>
      </dsp:txBody>
      <dsp:txXfrm>
        <a:off x="198981" y="1988565"/>
        <a:ext cx="1793015" cy="1149282"/>
      </dsp:txXfrm>
    </dsp:sp>
    <dsp:sp modelId="{567789D0-8F0E-4276-A762-C5426E109BD7}">
      <dsp:nvSpPr>
        <dsp:cNvPr id="0" name=""/>
        <dsp:cNvSpPr/>
      </dsp:nvSpPr>
      <dsp:spPr>
        <a:xfrm>
          <a:off x="2189710" y="1798949"/>
          <a:ext cx="1652166" cy="1358910"/>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42847E85-4227-4A80-90A2-C1965907F459}">
      <dsp:nvSpPr>
        <dsp:cNvPr id="0" name=""/>
        <dsp:cNvSpPr/>
      </dsp:nvSpPr>
      <dsp:spPr>
        <a:xfrm>
          <a:off x="2351668" y="1952809"/>
          <a:ext cx="1652166" cy="1358910"/>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PK</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28</a:t>
          </a:r>
          <a:r>
            <a:rPr lang="pl-PL" sz="1000" b="0" kern="1200">
              <a:latin typeface="Times New Roman" pitchFamily="18" charset="0"/>
              <a:cs typeface="Times New Roman" pitchFamily="18" charset="0"/>
            </a:rPr>
            <a:t> umów </a:t>
          </a:r>
        </a:p>
        <a:p>
          <a:pPr lvl="0" algn="ctr" defTabSz="533400">
            <a:lnSpc>
              <a:spcPct val="90000"/>
            </a:lnSpc>
            <a:spcBef>
              <a:spcPct val="0"/>
            </a:spcBef>
            <a:spcAft>
              <a:spcPct val="35000"/>
            </a:spcAft>
          </a:pPr>
          <a:r>
            <a:rPr lang="pl-PL" sz="1000" b="0" kern="1200">
              <a:latin typeface="Times New Roman" pitchFamily="18" charset="0"/>
              <a:cs typeface="Times New Roman" pitchFamily="18" charset="0"/>
            </a:rPr>
            <a:t> </a:t>
          </a:r>
          <a:r>
            <a:rPr lang="pl-PL" sz="1000" b="1" kern="1200">
              <a:latin typeface="Times New Roman" pitchFamily="18" charset="0"/>
              <a:cs typeface="Times New Roman" pitchFamily="18" charset="0"/>
            </a:rPr>
            <a:t>48,16 mln EUR </a:t>
          </a:r>
          <a:r>
            <a:rPr lang="pl-PL" sz="10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31,91mln EUR (87%) </a:t>
          </a:r>
          <a:r>
            <a:rPr lang="pl-PL" sz="10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21,58 mln EUR </a:t>
          </a:r>
          <a:r>
            <a:rPr lang="pl-PL" sz="1000" b="0" kern="1200">
              <a:latin typeface="Times New Roman" pitchFamily="18" charset="0"/>
              <a:cs typeface="Times New Roman" pitchFamily="18" charset="0"/>
            </a:rPr>
            <a:t>płatności</a:t>
          </a:r>
          <a:endParaRPr lang="pl-PL" sz="1000" b="0" kern="1200"/>
        </a:p>
      </dsp:txBody>
      <dsp:txXfrm>
        <a:off x="2391469" y="1992610"/>
        <a:ext cx="1572564" cy="1279308"/>
      </dsp:txXfrm>
    </dsp:sp>
    <dsp:sp modelId="{DCC235DF-4F14-4BF4-B1F1-93023C721E72}">
      <dsp:nvSpPr>
        <dsp:cNvPr id="0" name=""/>
        <dsp:cNvSpPr/>
      </dsp:nvSpPr>
      <dsp:spPr>
        <a:xfrm>
          <a:off x="4165792" y="1798949"/>
          <a:ext cx="1636614" cy="1317361"/>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122B4FAF-F0B9-4835-96F3-326424C825F2}">
      <dsp:nvSpPr>
        <dsp:cNvPr id="0" name=""/>
        <dsp:cNvSpPr/>
      </dsp:nvSpPr>
      <dsp:spPr>
        <a:xfrm>
          <a:off x="4327750" y="1952809"/>
          <a:ext cx="1636614" cy="1317361"/>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PRS</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28 </a:t>
          </a:r>
          <a:r>
            <a:rPr lang="pl-PL" sz="10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8,09 mln EUR </a:t>
          </a:r>
          <a:r>
            <a:rPr lang="pl-PL" sz="10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20,72 mln EUR (80%) </a:t>
          </a:r>
          <a:r>
            <a:rPr lang="pl-PL" sz="10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000" b="1" kern="1200">
              <a:latin typeface="Times New Roman" pitchFamily="18" charset="0"/>
              <a:cs typeface="Times New Roman" pitchFamily="18" charset="0"/>
            </a:rPr>
            <a:t>4,67 mln EUR </a:t>
          </a:r>
          <a:r>
            <a:rPr lang="pl-PL" sz="1000" b="0" kern="1200">
              <a:latin typeface="Times New Roman" pitchFamily="18" charset="0"/>
              <a:cs typeface="Times New Roman" pitchFamily="18" charset="0"/>
            </a:rPr>
            <a:t>płatności</a:t>
          </a:r>
        </a:p>
      </dsp:txBody>
      <dsp:txXfrm>
        <a:off x="4366334" y="1991393"/>
        <a:ext cx="1559446" cy="124019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42C7D-82FB-4FBA-9AB9-43B672FF0AD0}">
      <dsp:nvSpPr>
        <dsp:cNvPr id="0" name=""/>
        <dsp:cNvSpPr/>
      </dsp:nvSpPr>
      <dsp:spPr>
        <a:xfrm>
          <a:off x="2705273" y="1413970"/>
          <a:ext cx="2071722" cy="414205"/>
        </a:xfrm>
        <a:custGeom>
          <a:avLst/>
          <a:gdLst/>
          <a:ahLst/>
          <a:cxnLst/>
          <a:rect l="0" t="0" r="0" b="0"/>
          <a:pathLst>
            <a:path>
              <a:moveTo>
                <a:pt x="0" y="0"/>
              </a:moveTo>
              <a:lnTo>
                <a:pt x="0" y="278916"/>
              </a:lnTo>
              <a:lnTo>
                <a:pt x="2071722" y="278916"/>
              </a:lnTo>
              <a:lnTo>
                <a:pt x="2071722" y="414205"/>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86E8F4-1233-497D-B879-79927E39CB38}">
      <dsp:nvSpPr>
        <dsp:cNvPr id="0" name=""/>
        <dsp:cNvSpPr/>
      </dsp:nvSpPr>
      <dsp:spPr>
        <a:xfrm>
          <a:off x="2705273" y="1413970"/>
          <a:ext cx="99671" cy="414205"/>
        </a:xfrm>
        <a:custGeom>
          <a:avLst/>
          <a:gdLst/>
          <a:ahLst/>
          <a:cxnLst/>
          <a:rect l="0" t="0" r="0" b="0"/>
          <a:pathLst>
            <a:path>
              <a:moveTo>
                <a:pt x="0" y="0"/>
              </a:moveTo>
              <a:lnTo>
                <a:pt x="0" y="278916"/>
              </a:lnTo>
              <a:lnTo>
                <a:pt x="99671" y="278916"/>
              </a:lnTo>
              <a:lnTo>
                <a:pt x="99671" y="414205"/>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551095-1900-4D96-ACFD-9E74E765AD33}">
      <dsp:nvSpPr>
        <dsp:cNvPr id="0" name=""/>
        <dsp:cNvSpPr/>
      </dsp:nvSpPr>
      <dsp:spPr>
        <a:xfrm>
          <a:off x="826541" y="1413970"/>
          <a:ext cx="1878731" cy="414205"/>
        </a:xfrm>
        <a:custGeom>
          <a:avLst/>
          <a:gdLst/>
          <a:ahLst/>
          <a:cxnLst/>
          <a:rect l="0" t="0" r="0" b="0"/>
          <a:pathLst>
            <a:path>
              <a:moveTo>
                <a:pt x="1878731" y="0"/>
              </a:moveTo>
              <a:lnTo>
                <a:pt x="1878731" y="278916"/>
              </a:lnTo>
              <a:lnTo>
                <a:pt x="0" y="278916"/>
              </a:lnTo>
              <a:lnTo>
                <a:pt x="0" y="414205"/>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62D4FE-EA64-49E2-8232-8039E1E81435}">
      <dsp:nvSpPr>
        <dsp:cNvPr id="0" name=""/>
        <dsp:cNvSpPr/>
      </dsp:nvSpPr>
      <dsp:spPr>
        <a:xfrm>
          <a:off x="1208298" y="149827"/>
          <a:ext cx="2993949" cy="1264143"/>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2B75CD9B-75AC-469E-A566-F7D66F856908}">
      <dsp:nvSpPr>
        <dsp:cNvPr id="0" name=""/>
        <dsp:cNvSpPr/>
      </dsp:nvSpPr>
      <dsp:spPr>
        <a:xfrm>
          <a:off x="1370564" y="303980"/>
          <a:ext cx="2993949" cy="1264143"/>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PRIORYTET IV</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126 </a:t>
          </a:r>
          <a:r>
            <a:rPr lang="pl-PL" sz="11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60,44 mln EUR </a:t>
          </a:r>
          <a:r>
            <a:rPr lang="pl-PL" sz="11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45,93 mln EUR </a:t>
          </a:r>
          <a:r>
            <a:rPr lang="pl-PL" sz="11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31,39 mln EUR </a:t>
          </a:r>
          <a:r>
            <a:rPr lang="pl-PL" sz="1100" b="0" kern="1200">
              <a:latin typeface="Times New Roman" pitchFamily="18" charset="0"/>
              <a:cs typeface="Times New Roman" pitchFamily="18" charset="0"/>
            </a:rPr>
            <a:t>płatności</a:t>
          </a:r>
        </a:p>
      </dsp:txBody>
      <dsp:txXfrm>
        <a:off x="1407589" y="341005"/>
        <a:ext cx="2919899" cy="1190093"/>
      </dsp:txXfrm>
    </dsp:sp>
    <dsp:sp modelId="{2B06B423-2E98-4C1C-BB14-8CFB3FAC68C0}">
      <dsp:nvSpPr>
        <dsp:cNvPr id="0" name=""/>
        <dsp:cNvSpPr/>
      </dsp:nvSpPr>
      <dsp:spPr>
        <a:xfrm>
          <a:off x="324" y="1828176"/>
          <a:ext cx="1652433" cy="1667094"/>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BF04710E-19CD-41F0-9DF3-DF17AD83F590}">
      <dsp:nvSpPr>
        <dsp:cNvPr id="0" name=""/>
        <dsp:cNvSpPr/>
      </dsp:nvSpPr>
      <dsp:spPr>
        <a:xfrm>
          <a:off x="162590" y="1982328"/>
          <a:ext cx="1652433" cy="1667094"/>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KONKURSY</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104 </a:t>
          </a:r>
          <a:r>
            <a:rPr lang="pl-PL" sz="1100" b="0" kern="1200">
              <a:latin typeface="Times New Roman" pitchFamily="18" charset="0"/>
              <a:cs typeface="Times New Roman" pitchFamily="18" charset="0"/>
            </a:rPr>
            <a:t>umowy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39,71 mln EUR </a:t>
          </a:r>
          <a:r>
            <a:rPr lang="pl-PL" sz="11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30,45 mln EUR (86%) </a:t>
          </a:r>
          <a:r>
            <a:rPr lang="pl-PL" sz="11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20,48 mln EUR </a:t>
          </a:r>
          <a:r>
            <a:rPr lang="pl-PL" sz="1100" b="0" kern="1200">
              <a:latin typeface="Times New Roman" pitchFamily="18" charset="0"/>
              <a:cs typeface="Times New Roman" pitchFamily="18" charset="0"/>
            </a:rPr>
            <a:t>płatności</a:t>
          </a:r>
        </a:p>
      </dsp:txBody>
      <dsp:txXfrm>
        <a:off x="210988" y="2030726"/>
        <a:ext cx="1555637" cy="1570298"/>
      </dsp:txXfrm>
    </dsp:sp>
    <dsp:sp modelId="{567789D0-8F0E-4276-A762-C5426E109BD7}">
      <dsp:nvSpPr>
        <dsp:cNvPr id="0" name=""/>
        <dsp:cNvSpPr/>
      </dsp:nvSpPr>
      <dsp:spPr>
        <a:xfrm>
          <a:off x="1977289" y="1828176"/>
          <a:ext cx="1655310" cy="1677870"/>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42847E85-4227-4A80-90A2-C1965907F459}">
      <dsp:nvSpPr>
        <dsp:cNvPr id="0" name=""/>
        <dsp:cNvSpPr/>
      </dsp:nvSpPr>
      <dsp:spPr>
        <a:xfrm>
          <a:off x="2139555" y="1982328"/>
          <a:ext cx="1655310" cy="1677870"/>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PK</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3</a:t>
          </a:r>
          <a:r>
            <a:rPr lang="pl-PL" sz="1100" b="0" kern="1200">
              <a:latin typeface="Times New Roman" pitchFamily="18" charset="0"/>
              <a:cs typeface="Times New Roman" pitchFamily="18" charset="0"/>
            </a:rPr>
            <a:t> umowy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9,41 mln EUR </a:t>
          </a:r>
          <a:r>
            <a:rPr lang="pl-PL" sz="11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7,78 mln EUR (90%) </a:t>
          </a:r>
          <a:r>
            <a:rPr lang="pl-PL" sz="11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6,56 mln EUR</a:t>
          </a:r>
          <a:r>
            <a:rPr lang="pl-PL" sz="1100" b="0" kern="1200">
              <a:latin typeface="Times New Roman" pitchFamily="18" charset="0"/>
              <a:cs typeface="Times New Roman" pitchFamily="18" charset="0"/>
            </a:rPr>
            <a:t> płatności</a:t>
          </a:r>
          <a:endParaRPr lang="pl-PL" sz="1100" b="0" kern="1200"/>
        </a:p>
      </dsp:txBody>
      <dsp:txXfrm>
        <a:off x="2188037" y="2030810"/>
        <a:ext cx="1558346" cy="1580906"/>
      </dsp:txXfrm>
    </dsp:sp>
    <dsp:sp modelId="{DCC235DF-4F14-4BF4-B1F1-93023C721E72}">
      <dsp:nvSpPr>
        <dsp:cNvPr id="0" name=""/>
        <dsp:cNvSpPr/>
      </dsp:nvSpPr>
      <dsp:spPr>
        <a:xfrm>
          <a:off x="3957131" y="1828176"/>
          <a:ext cx="1639727" cy="1698198"/>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122B4FAF-F0B9-4835-96F3-326424C825F2}">
      <dsp:nvSpPr>
        <dsp:cNvPr id="0" name=""/>
        <dsp:cNvSpPr/>
      </dsp:nvSpPr>
      <dsp:spPr>
        <a:xfrm>
          <a:off x="4119397" y="1982328"/>
          <a:ext cx="1639727" cy="1698198"/>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PRS</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19 </a:t>
          </a:r>
          <a:r>
            <a:rPr lang="pl-PL" sz="11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11,32 mln EUR </a:t>
          </a:r>
          <a:r>
            <a:rPr lang="pl-PL" sz="11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7,70 mln EUR (81%) </a:t>
          </a:r>
          <a:r>
            <a:rPr lang="pl-PL" sz="11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4,35 mln EUR </a:t>
          </a:r>
          <a:r>
            <a:rPr lang="pl-PL" sz="1100" b="0" kern="1200">
              <a:latin typeface="Times New Roman" pitchFamily="18" charset="0"/>
              <a:cs typeface="Times New Roman" pitchFamily="18" charset="0"/>
            </a:rPr>
            <a:t>płatność</a:t>
          </a:r>
        </a:p>
      </dsp:txBody>
      <dsp:txXfrm>
        <a:off x="4167423" y="2030354"/>
        <a:ext cx="1543675" cy="16021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42C7D-82FB-4FBA-9AB9-43B672FF0AD0}">
      <dsp:nvSpPr>
        <dsp:cNvPr id="0" name=""/>
        <dsp:cNvSpPr/>
      </dsp:nvSpPr>
      <dsp:spPr>
        <a:xfrm>
          <a:off x="2789464" y="1540345"/>
          <a:ext cx="1955161" cy="424730"/>
        </a:xfrm>
        <a:custGeom>
          <a:avLst/>
          <a:gdLst/>
          <a:ahLst/>
          <a:cxnLst/>
          <a:rect l="0" t="0" r="0" b="0"/>
          <a:pathLst>
            <a:path>
              <a:moveTo>
                <a:pt x="0" y="0"/>
              </a:moveTo>
              <a:lnTo>
                <a:pt x="0" y="289441"/>
              </a:lnTo>
              <a:lnTo>
                <a:pt x="1955161" y="289441"/>
              </a:lnTo>
              <a:lnTo>
                <a:pt x="1955161" y="42473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86E8F4-1233-497D-B879-79927E39CB38}">
      <dsp:nvSpPr>
        <dsp:cNvPr id="0" name=""/>
        <dsp:cNvSpPr/>
      </dsp:nvSpPr>
      <dsp:spPr>
        <a:xfrm>
          <a:off x="2726855" y="1540345"/>
          <a:ext cx="91440" cy="424730"/>
        </a:xfrm>
        <a:custGeom>
          <a:avLst/>
          <a:gdLst/>
          <a:ahLst/>
          <a:cxnLst/>
          <a:rect l="0" t="0" r="0" b="0"/>
          <a:pathLst>
            <a:path>
              <a:moveTo>
                <a:pt x="62609" y="0"/>
              </a:moveTo>
              <a:lnTo>
                <a:pt x="62609" y="289441"/>
              </a:lnTo>
              <a:lnTo>
                <a:pt x="45720" y="289441"/>
              </a:lnTo>
              <a:lnTo>
                <a:pt x="45720" y="42473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551095-1900-4D96-ACFD-9E74E765AD33}">
      <dsp:nvSpPr>
        <dsp:cNvPr id="0" name=""/>
        <dsp:cNvSpPr/>
      </dsp:nvSpPr>
      <dsp:spPr>
        <a:xfrm>
          <a:off x="826541" y="1540345"/>
          <a:ext cx="1962923" cy="424730"/>
        </a:xfrm>
        <a:custGeom>
          <a:avLst/>
          <a:gdLst/>
          <a:ahLst/>
          <a:cxnLst/>
          <a:rect l="0" t="0" r="0" b="0"/>
          <a:pathLst>
            <a:path>
              <a:moveTo>
                <a:pt x="1962923" y="0"/>
              </a:moveTo>
              <a:lnTo>
                <a:pt x="1962923" y="289441"/>
              </a:lnTo>
              <a:lnTo>
                <a:pt x="0" y="289441"/>
              </a:lnTo>
              <a:lnTo>
                <a:pt x="0" y="42473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62D4FE-EA64-49E2-8232-8039E1E81435}">
      <dsp:nvSpPr>
        <dsp:cNvPr id="0" name=""/>
        <dsp:cNvSpPr/>
      </dsp:nvSpPr>
      <dsp:spPr>
        <a:xfrm>
          <a:off x="1292490" y="2402"/>
          <a:ext cx="2993949" cy="1537943"/>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2B75CD9B-75AC-469E-A566-F7D66F856908}">
      <dsp:nvSpPr>
        <dsp:cNvPr id="0" name=""/>
        <dsp:cNvSpPr/>
      </dsp:nvSpPr>
      <dsp:spPr>
        <a:xfrm>
          <a:off x="1454755" y="156554"/>
          <a:ext cx="2993949" cy="1537943"/>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PRIORYTET V</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155 </a:t>
          </a:r>
          <a:r>
            <a:rPr lang="pl-PL" sz="11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195,13 mln EUR </a:t>
          </a:r>
          <a:r>
            <a:rPr lang="pl-PL" sz="11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134,02 mln EUR </a:t>
          </a:r>
          <a:r>
            <a:rPr lang="pl-PL" sz="1100" b="0" kern="1200">
              <a:latin typeface="Times New Roman" pitchFamily="18" charset="0"/>
              <a:cs typeface="Times New Roman" pitchFamily="18" charset="0"/>
            </a:rPr>
            <a:t>dofinansowanie</a:t>
          </a:r>
          <a:r>
            <a:rPr lang="pl-PL" sz="1100" b="1" kern="1200">
              <a:latin typeface="Times New Roman" pitchFamily="18" charset="0"/>
              <a:cs typeface="Times New Roman" pitchFamily="18" charset="0"/>
            </a:rPr>
            <a:t>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54,87 mln EUR</a:t>
          </a:r>
          <a:r>
            <a:rPr lang="pl-PL" sz="1100" b="0" kern="1200">
              <a:latin typeface="Times New Roman" pitchFamily="18" charset="0"/>
              <a:cs typeface="Times New Roman" pitchFamily="18" charset="0"/>
            </a:rPr>
            <a:t> płatności</a:t>
          </a:r>
        </a:p>
      </dsp:txBody>
      <dsp:txXfrm>
        <a:off x="1499800" y="201599"/>
        <a:ext cx="2903859" cy="1447853"/>
      </dsp:txXfrm>
    </dsp:sp>
    <dsp:sp modelId="{2B06B423-2E98-4C1C-BB14-8CFB3FAC68C0}">
      <dsp:nvSpPr>
        <dsp:cNvPr id="0" name=""/>
        <dsp:cNvSpPr/>
      </dsp:nvSpPr>
      <dsp:spPr>
        <a:xfrm>
          <a:off x="32694" y="1965076"/>
          <a:ext cx="1587694" cy="1667094"/>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BF04710E-19CD-41F0-9DF3-DF17AD83F590}">
      <dsp:nvSpPr>
        <dsp:cNvPr id="0" name=""/>
        <dsp:cNvSpPr/>
      </dsp:nvSpPr>
      <dsp:spPr>
        <a:xfrm>
          <a:off x="194960" y="2119228"/>
          <a:ext cx="1587694" cy="1667094"/>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KONKURSY</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98 </a:t>
          </a:r>
          <a:r>
            <a:rPr lang="pl-PL" sz="1100" b="0" kern="1200">
              <a:latin typeface="Times New Roman" pitchFamily="18" charset="0"/>
              <a:cs typeface="Times New Roman" pitchFamily="18" charset="0"/>
            </a:rPr>
            <a:t>umów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131,15 mln EUR </a:t>
          </a:r>
          <a:r>
            <a:rPr lang="pl-PL" sz="1100" b="0" kern="1200">
              <a:latin typeface="Times New Roman" pitchFamily="18" charset="0"/>
              <a:cs typeface="Times New Roman" pitchFamily="18" charset="0"/>
            </a:rPr>
            <a:t>wartość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88,83 mln EUR (70%) </a:t>
          </a:r>
          <a:r>
            <a:rPr lang="pl-PL" sz="11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 35,83 mln EUR </a:t>
          </a:r>
          <a:r>
            <a:rPr lang="pl-PL" sz="1100" b="0" kern="1200">
              <a:latin typeface="Times New Roman" pitchFamily="18" charset="0"/>
              <a:cs typeface="Times New Roman" pitchFamily="18" charset="0"/>
            </a:rPr>
            <a:t>płatności</a:t>
          </a:r>
        </a:p>
      </dsp:txBody>
      <dsp:txXfrm>
        <a:off x="241462" y="2165730"/>
        <a:ext cx="1494690" cy="1574090"/>
      </dsp:txXfrm>
    </dsp:sp>
    <dsp:sp modelId="{567789D0-8F0E-4276-A762-C5426E109BD7}">
      <dsp:nvSpPr>
        <dsp:cNvPr id="0" name=""/>
        <dsp:cNvSpPr/>
      </dsp:nvSpPr>
      <dsp:spPr>
        <a:xfrm>
          <a:off x="1944920" y="1965076"/>
          <a:ext cx="1655310" cy="1677870"/>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42847E85-4227-4A80-90A2-C1965907F459}">
      <dsp:nvSpPr>
        <dsp:cNvPr id="0" name=""/>
        <dsp:cNvSpPr/>
      </dsp:nvSpPr>
      <dsp:spPr>
        <a:xfrm>
          <a:off x="2107185" y="2119228"/>
          <a:ext cx="1655310" cy="1677870"/>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PK</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4</a:t>
          </a:r>
          <a:r>
            <a:rPr lang="pl-PL" sz="1100" b="0" kern="1200">
              <a:latin typeface="Times New Roman" pitchFamily="18" charset="0"/>
              <a:cs typeface="Times New Roman" pitchFamily="18" charset="0"/>
            </a:rPr>
            <a:t> umowy </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22,72 mln EUR </a:t>
          </a:r>
          <a:r>
            <a:rPr lang="pl-PL" sz="11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19,22 mln EUR (82%) </a:t>
          </a:r>
          <a:r>
            <a:rPr lang="pl-PL" sz="11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0,53 mln EUR </a:t>
          </a:r>
          <a:r>
            <a:rPr lang="pl-PL" sz="1100" b="0" kern="1200">
              <a:latin typeface="Times New Roman" pitchFamily="18" charset="0"/>
              <a:cs typeface="Times New Roman" pitchFamily="18" charset="0"/>
            </a:rPr>
            <a:t>płatności</a:t>
          </a:r>
          <a:endParaRPr lang="pl-PL" sz="1100" b="0" kern="1200"/>
        </a:p>
      </dsp:txBody>
      <dsp:txXfrm>
        <a:off x="2155667" y="2167710"/>
        <a:ext cx="1558346" cy="1580906"/>
      </dsp:txXfrm>
    </dsp:sp>
    <dsp:sp modelId="{DCC235DF-4F14-4BF4-B1F1-93023C721E72}">
      <dsp:nvSpPr>
        <dsp:cNvPr id="0" name=""/>
        <dsp:cNvSpPr/>
      </dsp:nvSpPr>
      <dsp:spPr>
        <a:xfrm>
          <a:off x="3924761" y="1965076"/>
          <a:ext cx="1639727" cy="1698198"/>
        </a:xfrm>
        <a:prstGeom prst="roundRect">
          <a:avLst>
            <a:gd name="adj" fmla="val 10000"/>
          </a:avLst>
        </a:prstGeom>
        <a:blipFill rotWithShape="0">
          <a:blip xmlns:r="http://schemas.openxmlformats.org/officeDocument/2006/relationships" r:embed="rId1">
            <a:duotone>
              <a:schemeClr val="lt1">
                <a:hueOff val="0"/>
                <a:satOff val="0"/>
                <a:lumOff val="0"/>
                <a:alphaOff val="0"/>
                <a:shade val="22000"/>
                <a:satMod val="160000"/>
              </a:schemeClr>
              <a:schemeClr val="l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sp>
    <dsp:sp modelId="{122B4FAF-F0B9-4835-96F3-326424C825F2}">
      <dsp:nvSpPr>
        <dsp:cNvPr id="0" name=""/>
        <dsp:cNvSpPr/>
      </dsp:nvSpPr>
      <dsp:spPr>
        <a:xfrm>
          <a:off x="4087027" y="2119228"/>
          <a:ext cx="1639727" cy="1698198"/>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latin typeface="Times New Roman" pitchFamily="18" charset="0"/>
              <a:cs typeface="Times New Roman" pitchFamily="18" charset="0"/>
            </a:rPr>
            <a:t>PRS</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53 </a:t>
          </a:r>
          <a:r>
            <a:rPr lang="pl-PL" sz="1100" b="0" kern="1200">
              <a:latin typeface="Times New Roman" pitchFamily="18" charset="0"/>
              <a:cs typeface="Times New Roman" pitchFamily="18" charset="0"/>
            </a:rPr>
            <a:t>umowy </a:t>
          </a:r>
        </a:p>
        <a:p>
          <a:pPr lvl="0" algn="ctr" defTabSz="533400">
            <a:lnSpc>
              <a:spcPct val="90000"/>
            </a:lnSpc>
            <a:spcBef>
              <a:spcPct val="0"/>
            </a:spcBef>
            <a:spcAft>
              <a:spcPct val="35000"/>
            </a:spcAft>
          </a:pPr>
          <a:r>
            <a:rPr lang="pl-PL" sz="1100" b="0" kern="1200">
              <a:latin typeface="Times New Roman" pitchFamily="18" charset="0"/>
              <a:cs typeface="Times New Roman" pitchFamily="18" charset="0"/>
            </a:rPr>
            <a:t> </a:t>
          </a:r>
          <a:r>
            <a:rPr lang="pl-PL" sz="1100" b="1" kern="1200">
              <a:latin typeface="Times New Roman" pitchFamily="18" charset="0"/>
              <a:cs typeface="Times New Roman" pitchFamily="18" charset="0"/>
            </a:rPr>
            <a:t>41,26 mln EUR </a:t>
          </a:r>
          <a:r>
            <a:rPr lang="pl-PL" sz="1100" b="0" kern="1200">
              <a:latin typeface="Times New Roman" pitchFamily="18" charset="0"/>
              <a:cs typeface="Times New Roman" pitchFamily="18" charset="0"/>
            </a:rPr>
            <a:t>wartość</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25,97 mln EUR (79%) </a:t>
          </a:r>
          <a:r>
            <a:rPr lang="pl-PL" sz="1100" b="0" kern="1200">
              <a:latin typeface="Times New Roman" pitchFamily="18" charset="0"/>
              <a:cs typeface="Times New Roman" pitchFamily="18" charset="0"/>
            </a:rPr>
            <a:t>dofinansowanie</a:t>
          </a:r>
        </a:p>
        <a:p>
          <a:pPr lvl="0" algn="ctr" defTabSz="533400">
            <a:lnSpc>
              <a:spcPct val="90000"/>
            </a:lnSpc>
            <a:spcBef>
              <a:spcPct val="0"/>
            </a:spcBef>
            <a:spcAft>
              <a:spcPct val="35000"/>
            </a:spcAft>
          </a:pPr>
          <a:r>
            <a:rPr lang="pl-PL" sz="1100" b="1" kern="1200">
              <a:latin typeface="Times New Roman" pitchFamily="18" charset="0"/>
              <a:cs typeface="Times New Roman" pitchFamily="18" charset="0"/>
            </a:rPr>
            <a:t>18,51 mln EUR </a:t>
          </a:r>
          <a:r>
            <a:rPr lang="pl-PL" sz="1100" b="0" kern="1200">
              <a:latin typeface="Times New Roman" pitchFamily="18" charset="0"/>
              <a:cs typeface="Times New Roman" pitchFamily="18" charset="0"/>
            </a:rPr>
            <a:t>płatności</a:t>
          </a:r>
        </a:p>
      </dsp:txBody>
      <dsp:txXfrm>
        <a:off x="4135053" y="2167254"/>
        <a:ext cx="1543675" cy="160214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0.00846</cdr:x>
      <cdr:y>0.59327</cdr:y>
    </cdr:from>
    <cdr:to>
      <cdr:x>0.14275</cdr:x>
      <cdr:y>0.66009</cdr:y>
    </cdr:to>
    <cdr:sp macro="" textlink="">
      <cdr:nvSpPr>
        <cdr:cNvPr id="2" name="pole tekstowe 1"/>
        <cdr:cNvSpPr txBox="1"/>
      </cdr:nvSpPr>
      <cdr:spPr>
        <a:xfrm xmlns:a="http://schemas.openxmlformats.org/drawingml/2006/main">
          <a:off x="57594" y="2171257"/>
          <a:ext cx="914400" cy="2445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latin typeface="Times New Roman" pitchFamily="18" charset="0"/>
              <a:cs typeface="Times New Roman" pitchFamily="18" charset="0"/>
            </a:rPr>
            <a:t>mln EUR</a:t>
          </a:r>
        </a:p>
      </cdr:txBody>
    </cdr:sp>
  </cdr:relSizeAnchor>
</c:userShapes>
</file>

<file path=word/drawings/drawing10.xml><?xml version="1.0" encoding="utf-8"?>
<c:userShapes xmlns:c="http://schemas.openxmlformats.org/drawingml/2006/chart">
  <cdr:relSizeAnchor xmlns:cdr="http://schemas.openxmlformats.org/drawingml/2006/chartDrawing">
    <cdr:from>
      <cdr:x>0.01942</cdr:x>
      <cdr:y>0.70021</cdr:y>
    </cdr:from>
    <cdr:to>
      <cdr:x>0.15395</cdr:x>
      <cdr:y>0.89008</cdr:y>
    </cdr:to>
    <cdr:sp macro="" textlink="">
      <cdr:nvSpPr>
        <cdr:cNvPr id="2" name="pole tekstowe 1"/>
        <cdr:cNvSpPr txBox="1"/>
      </cdr:nvSpPr>
      <cdr:spPr>
        <a:xfrm xmlns:a="http://schemas.openxmlformats.org/drawingml/2006/main">
          <a:off x="132022" y="2235052"/>
          <a:ext cx="914400" cy="6060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b="1">
              <a:latin typeface="Times New Roman" pitchFamily="18" charset="0"/>
              <a:cs typeface="Times New Roman" pitchFamily="18" charset="0"/>
            </a:rPr>
            <a:t>mln EUR</a:t>
          </a:r>
        </a:p>
      </cdr:txBody>
    </cdr:sp>
  </cdr:relSizeAnchor>
</c:userShapes>
</file>

<file path=word/drawings/drawing11.xml><?xml version="1.0" encoding="utf-8"?>
<c:userShapes xmlns:c="http://schemas.openxmlformats.org/drawingml/2006/chart">
  <cdr:relSizeAnchor xmlns:cdr="http://schemas.openxmlformats.org/drawingml/2006/chartDrawing">
    <cdr:from>
      <cdr:x>0.03006</cdr:x>
      <cdr:y>0.55102</cdr:y>
    </cdr:from>
    <cdr:to>
      <cdr:x>0.125</cdr:x>
      <cdr:y>0.65646</cdr:y>
    </cdr:to>
    <cdr:sp macro="" textlink="">
      <cdr:nvSpPr>
        <cdr:cNvPr id="2" name="pole tekstowe 1"/>
        <cdr:cNvSpPr txBox="1"/>
      </cdr:nvSpPr>
      <cdr:spPr>
        <a:xfrm xmlns:a="http://schemas.openxmlformats.org/drawingml/2006/main">
          <a:off x="180975" y="1543050"/>
          <a:ext cx="57150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b="1">
              <a:latin typeface="Times New Roman" pitchFamily="18" charset="0"/>
              <a:cs typeface="Times New Roman" pitchFamily="18" charset="0"/>
            </a:rPr>
            <a:t>m EUR</a:t>
          </a:r>
        </a:p>
      </cdr:txBody>
    </cdr:sp>
  </cdr:relSizeAnchor>
</c:userShapes>
</file>

<file path=word/drawings/drawing12.xml><?xml version="1.0" encoding="utf-8"?>
<c:userShapes xmlns:c="http://schemas.openxmlformats.org/drawingml/2006/chart">
  <cdr:relSizeAnchor xmlns:cdr="http://schemas.openxmlformats.org/drawingml/2006/chartDrawing">
    <cdr:from>
      <cdr:x>0.01757</cdr:x>
      <cdr:y>0.869</cdr:y>
    </cdr:from>
    <cdr:to>
      <cdr:x>0.17093</cdr:x>
      <cdr:y>0.98253</cdr:y>
    </cdr:to>
    <cdr:sp macro="" textlink="">
      <cdr:nvSpPr>
        <cdr:cNvPr id="2" name="pole tekstowe 1"/>
        <cdr:cNvSpPr txBox="1"/>
      </cdr:nvSpPr>
      <cdr:spPr>
        <a:xfrm xmlns:a="http://schemas.openxmlformats.org/drawingml/2006/main">
          <a:off x="104775" y="3790950"/>
          <a:ext cx="914400" cy="4953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b="1">
              <a:latin typeface="Times New Roman" pitchFamily="18" charset="0"/>
              <a:cs typeface="Times New Roman" pitchFamily="18" charset="0"/>
            </a:rPr>
            <a:t>bn EUR</a:t>
          </a:r>
        </a:p>
      </cdr:txBody>
    </cdr:sp>
  </cdr:relSizeAnchor>
</c:userShapes>
</file>

<file path=word/drawings/drawing13.xml><?xml version="1.0" encoding="utf-8"?>
<c:userShapes xmlns:c="http://schemas.openxmlformats.org/drawingml/2006/chart">
  <cdr:relSizeAnchor xmlns:cdr="http://schemas.openxmlformats.org/drawingml/2006/chartDrawing">
    <cdr:from>
      <cdr:x>0.44643</cdr:x>
      <cdr:y>0.52956</cdr:y>
    </cdr:from>
    <cdr:to>
      <cdr:x>0.74351</cdr:x>
      <cdr:y>0.60668</cdr:y>
    </cdr:to>
    <cdr:sp macro="" textlink="">
      <cdr:nvSpPr>
        <cdr:cNvPr id="2" name="pole tekstowe 1"/>
        <cdr:cNvSpPr txBox="1"/>
      </cdr:nvSpPr>
      <cdr:spPr>
        <a:xfrm xmlns:a="http://schemas.openxmlformats.org/drawingml/2006/main">
          <a:off x="2619374" y="1962150"/>
          <a:ext cx="174307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latin typeface="Times New Roman" pitchFamily="18" charset="0"/>
              <a:cs typeface="Times New Roman" pitchFamily="18" charset="0"/>
            </a:rPr>
            <a:t>70 applications approved</a:t>
          </a:r>
          <a:endParaRPr lang="pl-PL" sz="1100"/>
        </a:p>
      </cdr:txBody>
    </cdr:sp>
  </cdr:relSizeAnchor>
  <cdr:relSizeAnchor xmlns:cdr="http://schemas.openxmlformats.org/drawingml/2006/chartDrawing">
    <cdr:from>
      <cdr:x>0.41721</cdr:x>
      <cdr:y>0.33676</cdr:y>
    </cdr:from>
    <cdr:to>
      <cdr:x>0.68669</cdr:x>
      <cdr:y>0.41645</cdr:y>
    </cdr:to>
    <cdr:sp macro="" textlink="">
      <cdr:nvSpPr>
        <cdr:cNvPr id="3" name="pole tekstowe 2"/>
        <cdr:cNvSpPr txBox="1"/>
      </cdr:nvSpPr>
      <cdr:spPr>
        <a:xfrm xmlns:a="http://schemas.openxmlformats.org/drawingml/2006/main">
          <a:off x="2447925" y="1247775"/>
          <a:ext cx="15811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latin typeface="Times New Roman" pitchFamily="18" charset="0"/>
              <a:cs typeface="Times New Roman" pitchFamily="18" charset="0"/>
            </a:rPr>
            <a:t>68 contracts signed</a:t>
          </a:r>
          <a:endParaRPr lang="pl-PL" sz="1100"/>
        </a:p>
      </cdr:txBody>
    </cdr:sp>
  </cdr:relSizeAnchor>
  <cdr:relSizeAnchor xmlns:cdr="http://schemas.openxmlformats.org/drawingml/2006/chartDrawing">
    <cdr:from>
      <cdr:x>0.0276</cdr:x>
      <cdr:y>0.89203</cdr:y>
    </cdr:from>
    <cdr:to>
      <cdr:x>0.11851</cdr:x>
      <cdr:y>0.96658</cdr:y>
    </cdr:to>
    <cdr:sp macro="" textlink="">
      <cdr:nvSpPr>
        <cdr:cNvPr id="4" name="pole tekstowe 3"/>
        <cdr:cNvSpPr txBox="1"/>
      </cdr:nvSpPr>
      <cdr:spPr>
        <a:xfrm xmlns:a="http://schemas.openxmlformats.org/drawingml/2006/main">
          <a:off x="161925" y="3305175"/>
          <a:ext cx="533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latin typeface="Times New Roman" pitchFamily="18" charset="0"/>
              <a:cs typeface="Times New Roman" pitchFamily="18" charset="0"/>
            </a:rPr>
            <a:t>m</a:t>
          </a:r>
          <a:r>
            <a:rPr lang="pl-PL" sz="1100" b="1" baseline="0">
              <a:latin typeface="Times New Roman" pitchFamily="18" charset="0"/>
              <a:cs typeface="Times New Roman" pitchFamily="18" charset="0"/>
            </a:rPr>
            <a:t> EUR</a:t>
          </a:r>
          <a:endParaRPr lang="pl-PL" sz="1100" b="1">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0.656</cdr:x>
      <cdr:y>0</cdr:y>
    </cdr:from>
    <cdr:to>
      <cdr:x>1</cdr:x>
      <cdr:y>0.10985</cdr:y>
    </cdr:to>
    <cdr:sp macro="" textlink="">
      <cdr:nvSpPr>
        <cdr:cNvPr id="2" name="pole tekstowe 1"/>
        <cdr:cNvSpPr txBox="1"/>
      </cdr:nvSpPr>
      <cdr:spPr>
        <a:xfrm xmlns:a="http://schemas.openxmlformats.org/drawingml/2006/main">
          <a:off x="1850066" y="0"/>
          <a:ext cx="914400" cy="3083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t>m EUR</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0.83688</cdr:y>
    </cdr:from>
    <cdr:to>
      <cdr:x>0.15914</cdr:x>
      <cdr:y>0.88348</cdr:y>
    </cdr:to>
    <cdr:sp macro="" textlink="">
      <cdr:nvSpPr>
        <cdr:cNvPr id="2" name="pole tekstowe 1"/>
        <cdr:cNvSpPr txBox="1"/>
      </cdr:nvSpPr>
      <cdr:spPr>
        <a:xfrm xmlns:a="http://schemas.openxmlformats.org/drawingml/2006/main">
          <a:off x="0" y="3436530"/>
          <a:ext cx="914400" cy="1913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latin typeface="Times New Roman" pitchFamily="18" charset="0"/>
              <a:cs typeface="Times New Roman" pitchFamily="18" charset="0"/>
            </a:rPr>
            <a:t>mld EUR</a:t>
          </a:r>
        </a:p>
      </cdr:txBody>
    </cdr:sp>
  </cdr:relSizeAnchor>
</c:userShapes>
</file>

<file path=word/drawings/drawing3.xml><?xml version="1.0" encoding="utf-8"?>
<c:userShapes xmlns:c="http://schemas.openxmlformats.org/drawingml/2006/chart">
  <cdr:relSizeAnchor xmlns:cdr="http://schemas.openxmlformats.org/drawingml/2006/chartDrawing">
    <cdr:from>
      <cdr:x>0.13408</cdr:x>
      <cdr:y>0.9028</cdr:y>
    </cdr:from>
    <cdr:to>
      <cdr:x>0.29332</cdr:x>
      <cdr:y>0.99873</cdr:y>
    </cdr:to>
    <cdr:sp macro="" textlink="">
      <cdr:nvSpPr>
        <cdr:cNvPr id="2" name="pole tekstowe 1"/>
        <cdr:cNvSpPr txBox="1"/>
      </cdr:nvSpPr>
      <cdr:spPr>
        <a:xfrm xmlns:a="http://schemas.openxmlformats.org/drawingml/2006/main">
          <a:off x="769975" y="3160084"/>
          <a:ext cx="914400" cy="3357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latin typeface="Times New Roman" pitchFamily="18" charset="0"/>
              <a:cs typeface="Times New Roman" pitchFamily="18" charset="0"/>
            </a:rPr>
            <a:t>mln EUR</a:t>
          </a:r>
        </a:p>
      </cdr:txBody>
    </cdr:sp>
  </cdr:relSizeAnchor>
</c:userShapes>
</file>

<file path=word/drawings/drawing4.xml><?xml version="1.0" encoding="utf-8"?>
<c:userShapes xmlns:c="http://schemas.openxmlformats.org/drawingml/2006/chart">
  <cdr:relSizeAnchor xmlns:cdr="http://schemas.openxmlformats.org/drawingml/2006/chartDrawing">
    <cdr:from>
      <cdr:x>0.44466</cdr:x>
      <cdr:y>0.38179</cdr:y>
    </cdr:from>
    <cdr:to>
      <cdr:x>0.70012</cdr:x>
      <cdr:y>0.48264</cdr:y>
    </cdr:to>
    <cdr:sp macro="" textlink="">
      <cdr:nvSpPr>
        <cdr:cNvPr id="2" name="pole tekstowe 1"/>
        <cdr:cNvSpPr txBox="1"/>
      </cdr:nvSpPr>
      <cdr:spPr>
        <a:xfrm xmlns:a="http://schemas.openxmlformats.org/drawingml/2006/main">
          <a:off x="2554029" y="1127052"/>
          <a:ext cx="1467294" cy="2977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200" b="1">
              <a:latin typeface="Times New Roman" pitchFamily="18" charset="0"/>
              <a:cs typeface="Times New Roman" pitchFamily="18" charset="0"/>
            </a:rPr>
            <a:t>podpisano 68 umów</a:t>
          </a:r>
        </a:p>
      </cdr:txBody>
    </cdr:sp>
  </cdr:relSizeAnchor>
  <cdr:relSizeAnchor xmlns:cdr="http://schemas.openxmlformats.org/drawingml/2006/chartDrawing">
    <cdr:from>
      <cdr:x>0.45577</cdr:x>
      <cdr:y>0.54978</cdr:y>
    </cdr:from>
    <cdr:to>
      <cdr:x>0.75935</cdr:x>
      <cdr:y>0.62671</cdr:y>
    </cdr:to>
    <cdr:sp macro="" textlink="">
      <cdr:nvSpPr>
        <cdr:cNvPr id="3" name="pole tekstowe 2"/>
        <cdr:cNvSpPr txBox="1"/>
      </cdr:nvSpPr>
      <cdr:spPr>
        <a:xfrm xmlns:a="http://schemas.openxmlformats.org/drawingml/2006/main">
          <a:off x="2617826" y="1622971"/>
          <a:ext cx="1743740" cy="2270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200" b="1">
              <a:latin typeface="Times New Roman" pitchFamily="18" charset="0"/>
              <a:cs typeface="Times New Roman" pitchFamily="18" charset="0"/>
            </a:rPr>
            <a:t>zatwierdzono</a:t>
          </a:r>
          <a:r>
            <a:rPr lang="pl-PL" sz="1200" b="1" baseline="0">
              <a:latin typeface="Times New Roman" pitchFamily="18" charset="0"/>
              <a:cs typeface="Times New Roman" pitchFamily="18" charset="0"/>
            </a:rPr>
            <a:t> </a:t>
          </a:r>
          <a:r>
            <a:rPr lang="pl-PL" sz="1200" b="1">
              <a:latin typeface="Times New Roman" pitchFamily="18" charset="0"/>
              <a:cs typeface="Times New Roman" pitchFamily="18" charset="0"/>
            </a:rPr>
            <a:t>70 wniosków</a:t>
          </a:r>
        </a:p>
      </cdr:txBody>
    </cdr:sp>
  </cdr:relSizeAnchor>
</c:userShapes>
</file>

<file path=word/drawings/drawing5.xml><?xml version="1.0" encoding="utf-8"?>
<c:userShapes xmlns:c="http://schemas.openxmlformats.org/drawingml/2006/chart">
  <cdr:relSizeAnchor xmlns:cdr="http://schemas.openxmlformats.org/drawingml/2006/chartDrawing">
    <cdr:from>
      <cdr:x>0.656</cdr:x>
      <cdr:y>0</cdr:y>
    </cdr:from>
    <cdr:to>
      <cdr:x>1</cdr:x>
      <cdr:y>0.10985</cdr:y>
    </cdr:to>
    <cdr:sp macro="" textlink="">
      <cdr:nvSpPr>
        <cdr:cNvPr id="2" name="pole tekstowe 1"/>
        <cdr:cNvSpPr txBox="1"/>
      </cdr:nvSpPr>
      <cdr:spPr>
        <a:xfrm xmlns:a="http://schemas.openxmlformats.org/drawingml/2006/main">
          <a:off x="1850066" y="0"/>
          <a:ext cx="914400" cy="3083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t>mln EUR</a:t>
          </a:r>
        </a:p>
      </cdr:txBody>
    </cdr:sp>
  </cdr:relSizeAnchor>
</c:userShapes>
</file>

<file path=word/drawings/drawing6.xml><?xml version="1.0" encoding="utf-8"?>
<c:userShapes xmlns:c="http://schemas.openxmlformats.org/drawingml/2006/chart">
  <cdr:relSizeAnchor xmlns:cdr="http://schemas.openxmlformats.org/drawingml/2006/chartDrawing">
    <cdr:from>
      <cdr:x>0.69306</cdr:x>
      <cdr:y>0.05788</cdr:y>
    </cdr:from>
    <cdr:to>
      <cdr:x>0.8968</cdr:x>
      <cdr:y>0.18496</cdr:y>
    </cdr:to>
    <cdr:sp macro="" textlink="">
      <cdr:nvSpPr>
        <cdr:cNvPr id="2" name="pole tekstowe 1"/>
        <cdr:cNvSpPr txBox="1"/>
      </cdr:nvSpPr>
      <cdr:spPr>
        <a:xfrm xmlns:a="http://schemas.openxmlformats.org/drawingml/2006/main">
          <a:off x="3097072" y="140439"/>
          <a:ext cx="910428" cy="3083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latin typeface="Times New Roman" pitchFamily="18" charset="0"/>
              <a:cs typeface="Times New Roman" pitchFamily="18" charset="0"/>
            </a:rPr>
            <a:t>mln EUR</a:t>
          </a:r>
        </a:p>
      </cdr:txBody>
    </cdr:sp>
  </cdr:relSizeAnchor>
</c:userShapes>
</file>

<file path=word/drawings/drawing7.xml><?xml version="1.0" encoding="utf-8"?>
<c:userShapes xmlns:c="http://schemas.openxmlformats.org/drawingml/2006/chart">
  <cdr:relSizeAnchor xmlns:cdr="http://schemas.openxmlformats.org/drawingml/2006/chartDrawing">
    <cdr:from>
      <cdr:x>0.00811</cdr:x>
      <cdr:y>0.02631</cdr:y>
    </cdr:from>
    <cdr:to>
      <cdr:x>0.14758</cdr:x>
      <cdr:y>0.11025</cdr:y>
    </cdr:to>
    <cdr:sp macro="" textlink="">
      <cdr:nvSpPr>
        <cdr:cNvPr id="2" name="pole tekstowe 1"/>
        <cdr:cNvSpPr txBox="1"/>
      </cdr:nvSpPr>
      <cdr:spPr>
        <a:xfrm xmlns:a="http://schemas.openxmlformats.org/drawingml/2006/main">
          <a:off x="53163" y="76643"/>
          <a:ext cx="914400" cy="2445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latin typeface="Times New Roman" pitchFamily="18" charset="0"/>
              <a:cs typeface="Times New Roman" pitchFamily="18" charset="0"/>
            </a:rPr>
            <a:t>mln EUR</a:t>
          </a:r>
        </a:p>
      </cdr:txBody>
    </cdr:sp>
  </cdr:relSizeAnchor>
</c:userShapes>
</file>

<file path=word/drawings/drawing8.xml><?xml version="1.0" encoding="utf-8"?>
<c:userShapes xmlns:c="http://schemas.openxmlformats.org/drawingml/2006/chart">
  <cdr:relSizeAnchor xmlns:cdr="http://schemas.openxmlformats.org/drawingml/2006/chartDrawing">
    <cdr:from>
      <cdr:x>0.14053</cdr:x>
      <cdr:y>0.70557</cdr:y>
    </cdr:from>
    <cdr:to>
      <cdr:x>0.15141</cdr:x>
      <cdr:y>0.72143</cdr:y>
    </cdr:to>
    <cdr:sp macro="" textlink="">
      <cdr:nvSpPr>
        <cdr:cNvPr id="2" name="pole tekstowe 1"/>
        <cdr:cNvSpPr txBox="1"/>
      </cdr:nvSpPr>
      <cdr:spPr>
        <a:xfrm xmlns:a="http://schemas.openxmlformats.org/drawingml/2006/main">
          <a:off x="961361" y="2033034"/>
          <a:ext cx="74428"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0.00842</cdr:x>
      <cdr:y>0.53213</cdr:y>
    </cdr:from>
    <cdr:to>
      <cdr:x>0.18871</cdr:x>
      <cdr:y>0.78675</cdr:y>
    </cdr:to>
    <cdr:sp macro="" textlink="">
      <cdr:nvSpPr>
        <cdr:cNvPr id="3" name="pole tekstowe 2"/>
        <cdr:cNvSpPr txBox="1"/>
      </cdr:nvSpPr>
      <cdr:spPr>
        <a:xfrm xmlns:a="http://schemas.openxmlformats.org/drawingml/2006/main">
          <a:off x="57592" y="1533303"/>
          <a:ext cx="1233377" cy="7336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0.02241</cdr:x>
      <cdr:y>0.55796</cdr:y>
    </cdr:from>
    <cdr:to>
      <cdr:x>0.15451</cdr:x>
      <cdr:y>0.75723</cdr:y>
    </cdr:to>
    <cdr:sp macro="" textlink="">
      <cdr:nvSpPr>
        <cdr:cNvPr id="4" name="pole tekstowe 3"/>
        <cdr:cNvSpPr txBox="1"/>
      </cdr:nvSpPr>
      <cdr:spPr>
        <a:xfrm xmlns:a="http://schemas.openxmlformats.org/drawingml/2006/main">
          <a:off x="153285" y="1607731"/>
          <a:ext cx="903769" cy="5741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1"/>
            <a:t>w mln EUR</a:t>
          </a:r>
        </a:p>
      </cdr:txBody>
    </cdr:sp>
  </cdr:relSizeAnchor>
</c:userShapes>
</file>

<file path=word/drawings/drawing9.xml><?xml version="1.0" encoding="utf-8"?>
<c:userShapes xmlns:c="http://schemas.openxmlformats.org/drawingml/2006/chart">
  <cdr:relSizeAnchor xmlns:cdr="http://schemas.openxmlformats.org/drawingml/2006/chartDrawing">
    <cdr:from>
      <cdr:x>0.00869</cdr:x>
      <cdr:y>0.67256</cdr:y>
    </cdr:from>
    <cdr:to>
      <cdr:x>0.14669</cdr:x>
      <cdr:y>0.74189</cdr:y>
    </cdr:to>
    <cdr:sp macro="" textlink="">
      <cdr:nvSpPr>
        <cdr:cNvPr id="2" name="pole tekstowe 1"/>
        <cdr:cNvSpPr txBox="1"/>
      </cdr:nvSpPr>
      <cdr:spPr>
        <a:xfrm xmlns:a="http://schemas.openxmlformats.org/drawingml/2006/main">
          <a:off x="57593" y="2681619"/>
          <a:ext cx="914400" cy="2764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latin typeface="Times New Roman" pitchFamily="18" charset="0"/>
              <a:cs typeface="Times New Roman" pitchFamily="18" charset="0"/>
            </a:rPr>
            <a:t>mln EUR</a:t>
          </a: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Kapitał">
  <a:themeElements>
    <a:clrScheme name="Kapitał">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Kapitał">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pitał">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word/theme/themeOverride1.xml><?xml version="1.0" encoding="utf-8"?>
<a:themeOverride xmlns:a="http://schemas.openxmlformats.org/drawingml/2006/main">
  <a:clrScheme name="Przepły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Motyw pakietu Office">
    <a:majorFont>
      <a:latin typeface="Times New Roman"/>
      <a:ea typeface=""/>
      <a:cs typeface="Lucida Sans Unicode"/>
    </a:majorFont>
    <a:minorFont>
      <a:latin typeface="Times New Roman"/>
      <a:ea typeface=""/>
      <a:cs typeface="Lucida Sans Unicod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rzepły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Motyw pakietu Office">
    <a:majorFont>
      <a:latin typeface="Times New Roman"/>
      <a:ea typeface=""/>
      <a:cs typeface="Lucida Sans Unicode"/>
    </a:majorFont>
    <a:minorFont>
      <a:latin typeface="Times New Roman"/>
      <a:ea typeface=""/>
      <a:cs typeface="Lucida Sans Unicod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rzepły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Motyw pakietu Office">
    <a:majorFont>
      <a:latin typeface="Times New Roman"/>
      <a:ea typeface=""/>
      <a:cs typeface="Lucida Sans Unicode"/>
    </a:majorFont>
    <a:minorFont>
      <a:latin typeface="Times New Roman"/>
      <a:ea typeface=""/>
      <a:cs typeface="Lucida Sans Unicod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rzepły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Motyw pakietu Office">
    <a:majorFont>
      <a:latin typeface="Times New Roman"/>
      <a:ea typeface=""/>
      <a:cs typeface="Lucida Sans Unicode"/>
    </a:majorFont>
    <a:minorFont>
      <a:latin typeface="Times New Roman"/>
      <a:ea typeface=""/>
      <a:cs typeface="Lucida Sans Unicod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C208-8923-42D9-A546-A12113CCF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56928</Words>
  <Characters>341573</Characters>
  <Application>Microsoft Office Word</Application>
  <DocSecurity>0</DocSecurity>
  <Lines>2846</Lines>
  <Paragraphs>795</Paragraphs>
  <ScaleCrop>false</ScaleCrop>
  <HeadingPairs>
    <vt:vector size="2" baseType="variant">
      <vt:variant>
        <vt:lpstr>Tytuł</vt:lpstr>
      </vt:variant>
      <vt:variant>
        <vt:i4>1</vt:i4>
      </vt:variant>
    </vt:vector>
  </HeadingPairs>
  <TitlesOfParts>
    <vt:vector size="1" baseType="lpstr">
      <vt:lpstr/>
    </vt:vector>
  </TitlesOfParts>
  <Company>Sprawoz</Company>
  <LinksUpToDate>false</LinksUpToDate>
  <CharactersWithSpaces>397706</CharactersWithSpaces>
  <SharedDoc>false</SharedDoc>
  <HLinks>
    <vt:vector size="744" baseType="variant">
      <vt:variant>
        <vt:i4>1507376</vt:i4>
      </vt:variant>
      <vt:variant>
        <vt:i4>737</vt:i4>
      </vt:variant>
      <vt:variant>
        <vt:i4>0</vt:i4>
      </vt:variant>
      <vt:variant>
        <vt:i4>5</vt:i4>
      </vt:variant>
      <vt:variant>
        <vt:lpwstr/>
      </vt:variant>
      <vt:variant>
        <vt:lpwstr>_Toc262031376</vt:lpwstr>
      </vt:variant>
      <vt:variant>
        <vt:i4>1507376</vt:i4>
      </vt:variant>
      <vt:variant>
        <vt:i4>731</vt:i4>
      </vt:variant>
      <vt:variant>
        <vt:i4>0</vt:i4>
      </vt:variant>
      <vt:variant>
        <vt:i4>5</vt:i4>
      </vt:variant>
      <vt:variant>
        <vt:lpwstr/>
      </vt:variant>
      <vt:variant>
        <vt:lpwstr>_Toc262031375</vt:lpwstr>
      </vt:variant>
      <vt:variant>
        <vt:i4>1507376</vt:i4>
      </vt:variant>
      <vt:variant>
        <vt:i4>725</vt:i4>
      </vt:variant>
      <vt:variant>
        <vt:i4>0</vt:i4>
      </vt:variant>
      <vt:variant>
        <vt:i4>5</vt:i4>
      </vt:variant>
      <vt:variant>
        <vt:lpwstr/>
      </vt:variant>
      <vt:variant>
        <vt:lpwstr>_Toc262031374</vt:lpwstr>
      </vt:variant>
      <vt:variant>
        <vt:i4>1507376</vt:i4>
      </vt:variant>
      <vt:variant>
        <vt:i4>719</vt:i4>
      </vt:variant>
      <vt:variant>
        <vt:i4>0</vt:i4>
      </vt:variant>
      <vt:variant>
        <vt:i4>5</vt:i4>
      </vt:variant>
      <vt:variant>
        <vt:lpwstr/>
      </vt:variant>
      <vt:variant>
        <vt:lpwstr>_Toc262031373</vt:lpwstr>
      </vt:variant>
      <vt:variant>
        <vt:i4>1507376</vt:i4>
      </vt:variant>
      <vt:variant>
        <vt:i4>713</vt:i4>
      </vt:variant>
      <vt:variant>
        <vt:i4>0</vt:i4>
      </vt:variant>
      <vt:variant>
        <vt:i4>5</vt:i4>
      </vt:variant>
      <vt:variant>
        <vt:lpwstr/>
      </vt:variant>
      <vt:variant>
        <vt:lpwstr>_Toc262031372</vt:lpwstr>
      </vt:variant>
      <vt:variant>
        <vt:i4>1507376</vt:i4>
      </vt:variant>
      <vt:variant>
        <vt:i4>707</vt:i4>
      </vt:variant>
      <vt:variant>
        <vt:i4>0</vt:i4>
      </vt:variant>
      <vt:variant>
        <vt:i4>5</vt:i4>
      </vt:variant>
      <vt:variant>
        <vt:lpwstr/>
      </vt:variant>
      <vt:variant>
        <vt:lpwstr>_Toc262031371</vt:lpwstr>
      </vt:variant>
      <vt:variant>
        <vt:i4>1507376</vt:i4>
      </vt:variant>
      <vt:variant>
        <vt:i4>701</vt:i4>
      </vt:variant>
      <vt:variant>
        <vt:i4>0</vt:i4>
      </vt:variant>
      <vt:variant>
        <vt:i4>5</vt:i4>
      </vt:variant>
      <vt:variant>
        <vt:lpwstr/>
      </vt:variant>
      <vt:variant>
        <vt:lpwstr>_Toc262031370</vt:lpwstr>
      </vt:variant>
      <vt:variant>
        <vt:i4>1441840</vt:i4>
      </vt:variant>
      <vt:variant>
        <vt:i4>695</vt:i4>
      </vt:variant>
      <vt:variant>
        <vt:i4>0</vt:i4>
      </vt:variant>
      <vt:variant>
        <vt:i4>5</vt:i4>
      </vt:variant>
      <vt:variant>
        <vt:lpwstr/>
      </vt:variant>
      <vt:variant>
        <vt:lpwstr>_Toc262031369</vt:lpwstr>
      </vt:variant>
      <vt:variant>
        <vt:i4>1441840</vt:i4>
      </vt:variant>
      <vt:variant>
        <vt:i4>689</vt:i4>
      </vt:variant>
      <vt:variant>
        <vt:i4>0</vt:i4>
      </vt:variant>
      <vt:variant>
        <vt:i4>5</vt:i4>
      </vt:variant>
      <vt:variant>
        <vt:lpwstr/>
      </vt:variant>
      <vt:variant>
        <vt:lpwstr>_Toc262031368</vt:lpwstr>
      </vt:variant>
      <vt:variant>
        <vt:i4>1441840</vt:i4>
      </vt:variant>
      <vt:variant>
        <vt:i4>683</vt:i4>
      </vt:variant>
      <vt:variant>
        <vt:i4>0</vt:i4>
      </vt:variant>
      <vt:variant>
        <vt:i4>5</vt:i4>
      </vt:variant>
      <vt:variant>
        <vt:lpwstr/>
      </vt:variant>
      <vt:variant>
        <vt:lpwstr>_Toc262031367</vt:lpwstr>
      </vt:variant>
      <vt:variant>
        <vt:i4>1441840</vt:i4>
      </vt:variant>
      <vt:variant>
        <vt:i4>677</vt:i4>
      </vt:variant>
      <vt:variant>
        <vt:i4>0</vt:i4>
      </vt:variant>
      <vt:variant>
        <vt:i4>5</vt:i4>
      </vt:variant>
      <vt:variant>
        <vt:lpwstr/>
      </vt:variant>
      <vt:variant>
        <vt:lpwstr>_Toc262031366</vt:lpwstr>
      </vt:variant>
      <vt:variant>
        <vt:i4>1441840</vt:i4>
      </vt:variant>
      <vt:variant>
        <vt:i4>671</vt:i4>
      </vt:variant>
      <vt:variant>
        <vt:i4>0</vt:i4>
      </vt:variant>
      <vt:variant>
        <vt:i4>5</vt:i4>
      </vt:variant>
      <vt:variant>
        <vt:lpwstr/>
      </vt:variant>
      <vt:variant>
        <vt:lpwstr>_Toc262031365</vt:lpwstr>
      </vt:variant>
      <vt:variant>
        <vt:i4>1441840</vt:i4>
      </vt:variant>
      <vt:variant>
        <vt:i4>665</vt:i4>
      </vt:variant>
      <vt:variant>
        <vt:i4>0</vt:i4>
      </vt:variant>
      <vt:variant>
        <vt:i4>5</vt:i4>
      </vt:variant>
      <vt:variant>
        <vt:lpwstr/>
      </vt:variant>
      <vt:variant>
        <vt:lpwstr>_Toc262031364</vt:lpwstr>
      </vt:variant>
      <vt:variant>
        <vt:i4>1441840</vt:i4>
      </vt:variant>
      <vt:variant>
        <vt:i4>659</vt:i4>
      </vt:variant>
      <vt:variant>
        <vt:i4>0</vt:i4>
      </vt:variant>
      <vt:variant>
        <vt:i4>5</vt:i4>
      </vt:variant>
      <vt:variant>
        <vt:lpwstr/>
      </vt:variant>
      <vt:variant>
        <vt:lpwstr>_Toc262031363</vt:lpwstr>
      </vt:variant>
      <vt:variant>
        <vt:i4>1441840</vt:i4>
      </vt:variant>
      <vt:variant>
        <vt:i4>653</vt:i4>
      </vt:variant>
      <vt:variant>
        <vt:i4>0</vt:i4>
      </vt:variant>
      <vt:variant>
        <vt:i4>5</vt:i4>
      </vt:variant>
      <vt:variant>
        <vt:lpwstr/>
      </vt:variant>
      <vt:variant>
        <vt:lpwstr>_Toc262031362</vt:lpwstr>
      </vt:variant>
      <vt:variant>
        <vt:i4>1441840</vt:i4>
      </vt:variant>
      <vt:variant>
        <vt:i4>647</vt:i4>
      </vt:variant>
      <vt:variant>
        <vt:i4>0</vt:i4>
      </vt:variant>
      <vt:variant>
        <vt:i4>5</vt:i4>
      </vt:variant>
      <vt:variant>
        <vt:lpwstr/>
      </vt:variant>
      <vt:variant>
        <vt:lpwstr>_Toc262031361</vt:lpwstr>
      </vt:variant>
      <vt:variant>
        <vt:i4>1441840</vt:i4>
      </vt:variant>
      <vt:variant>
        <vt:i4>641</vt:i4>
      </vt:variant>
      <vt:variant>
        <vt:i4>0</vt:i4>
      </vt:variant>
      <vt:variant>
        <vt:i4>5</vt:i4>
      </vt:variant>
      <vt:variant>
        <vt:lpwstr/>
      </vt:variant>
      <vt:variant>
        <vt:lpwstr>_Toc262031360</vt:lpwstr>
      </vt:variant>
      <vt:variant>
        <vt:i4>1376304</vt:i4>
      </vt:variant>
      <vt:variant>
        <vt:i4>635</vt:i4>
      </vt:variant>
      <vt:variant>
        <vt:i4>0</vt:i4>
      </vt:variant>
      <vt:variant>
        <vt:i4>5</vt:i4>
      </vt:variant>
      <vt:variant>
        <vt:lpwstr/>
      </vt:variant>
      <vt:variant>
        <vt:lpwstr>_Toc262031359</vt:lpwstr>
      </vt:variant>
      <vt:variant>
        <vt:i4>1376304</vt:i4>
      </vt:variant>
      <vt:variant>
        <vt:i4>629</vt:i4>
      </vt:variant>
      <vt:variant>
        <vt:i4>0</vt:i4>
      </vt:variant>
      <vt:variant>
        <vt:i4>5</vt:i4>
      </vt:variant>
      <vt:variant>
        <vt:lpwstr/>
      </vt:variant>
      <vt:variant>
        <vt:lpwstr>_Toc262031358</vt:lpwstr>
      </vt:variant>
      <vt:variant>
        <vt:i4>1376304</vt:i4>
      </vt:variant>
      <vt:variant>
        <vt:i4>623</vt:i4>
      </vt:variant>
      <vt:variant>
        <vt:i4>0</vt:i4>
      </vt:variant>
      <vt:variant>
        <vt:i4>5</vt:i4>
      </vt:variant>
      <vt:variant>
        <vt:lpwstr/>
      </vt:variant>
      <vt:variant>
        <vt:lpwstr>_Toc262031357</vt:lpwstr>
      </vt:variant>
      <vt:variant>
        <vt:i4>1572913</vt:i4>
      </vt:variant>
      <vt:variant>
        <vt:i4>614</vt:i4>
      </vt:variant>
      <vt:variant>
        <vt:i4>0</vt:i4>
      </vt:variant>
      <vt:variant>
        <vt:i4>5</vt:i4>
      </vt:variant>
      <vt:variant>
        <vt:lpwstr/>
      </vt:variant>
      <vt:variant>
        <vt:lpwstr>_Toc262031284</vt:lpwstr>
      </vt:variant>
      <vt:variant>
        <vt:i4>1572913</vt:i4>
      </vt:variant>
      <vt:variant>
        <vt:i4>608</vt:i4>
      </vt:variant>
      <vt:variant>
        <vt:i4>0</vt:i4>
      </vt:variant>
      <vt:variant>
        <vt:i4>5</vt:i4>
      </vt:variant>
      <vt:variant>
        <vt:lpwstr/>
      </vt:variant>
      <vt:variant>
        <vt:lpwstr>_Toc262031283</vt:lpwstr>
      </vt:variant>
      <vt:variant>
        <vt:i4>1572913</vt:i4>
      </vt:variant>
      <vt:variant>
        <vt:i4>602</vt:i4>
      </vt:variant>
      <vt:variant>
        <vt:i4>0</vt:i4>
      </vt:variant>
      <vt:variant>
        <vt:i4>5</vt:i4>
      </vt:variant>
      <vt:variant>
        <vt:lpwstr/>
      </vt:variant>
      <vt:variant>
        <vt:lpwstr>_Toc262031282</vt:lpwstr>
      </vt:variant>
      <vt:variant>
        <vt:i4>1572913</vt:i4>
      </vt:variant>
      <vt:variant>
        <vt:i4>596</vt:i4>
      </vt:variant>
      <vt:variant>
        <vt:i4>0</vt:i4>
      </vt:variant>
      <vt:variant>
        <vt:i4>5</vt:i4>
      </vt:variant>
      <vt:variant>
        <vt:lpwstr/>
      </vt:variant>
      <vt:variant>
        <vt:lpwstr>_Toc262031281</vt:lpwstr>
      </vt:variant>
      <vt:variant>
        <vt:i4>1572913</vt:i4>
      </vt:variant>
      <vt:variant>
        <vt:i4>590</vt:i4>
      </vt:variant>
      <vt:variant>
        <vt:i4>0</vt:i4>
      </vt:variant>
      <vt:variant>
        <vt:i4>5</vt:i4>
      </vt:variant>
      <vt:variant>
        <vt:lpwstr/>
      </vt:variant>
      <vt:variant>
        <vt:lpwstr>_Toc262031280</vt:lpwstr>
      </vt:variant>
      <vt:variant>
        <vt:i4>1507377</vt:i4>
      </vt:variant>
      <vt:variant>
        <vt:i4>584</vt:i4>
      </vt:variant>
      <vt:variant>
        <vt:i4>0</vt:i4>
      </vt:variant>
      <vt:variant>
        <vt:i4>5</vt:i4>
      </vt:variant>
      <vt:variant>
        <vt:lpwstr/>
      </vt:variant>
      <vt:variant>
        <vt:lpwstr>_Toc262031279</vt:lpwstr>
      </vt:variant>
      <vt:variant>
        <vt:i4>1507377</vt:i4>
      </vt:variant>
      <vt:variant>
        <vt:i4>578</vt:i4>
      </vt:variant>
      <vt:variant>
        <vt:i4>0</vt:i4>
      </vt:variant>
      <vt:variant>
        <vt:i4>5</vt:i4>
      </vt:variant>
      <vt:variant>
        <vt:lpwstr/>
      </vt:variant>
      <vt:variant>
        <vt:lpwstr>_Toc262031278</vt:lpwstr>
      </vt:variant>
      <vt:variant>
        <vt:i4>1507377</vt:i4>
      </vt:variant>
      <vt:variant>
        <vt:i4>572</vt:i4>
      </vt:variant>
      <vt:variant>
        <vt:i4>0</vt:i4>
      </vt:variant>
      <vt:variant>
        <vt:i4>5</vt:i4>
      </vt:variant>
      <vt:variant>
        <vt:lpwstr/>
      </vt:variant>
      <vt:variant>
        <vt:lpwstr>_Toc262031277</vt:lpwstr>
      </vt:variant>
      <vt:variant>
        <vt:i4>1507377</vt:i4>
      </vt:variant>
      <vt:variant>
        <vt:i4>566</vt:i4>
      </vt:variant>
      <vt:variant>
        <vt:i4>0</vt:i4>
      </vt:variant>
      <vt:variant>
        <vt:i4>5</vt:i4>
      </vt:variant>
      <vt:variant>
        <vt:lpwstr/>
      </vt:variant>
      <vt:variant>
        <vt:lpwstr>_Toc262031276</vt:lpwstr>
      </vt:variant>
      <vt:variant>
        <vt:i4>1507377</vt:i4>
      </vt:variant>
      <vt:variant>
        <vt:i4>560</vt:i4>
      </vt:variant>
      <vt:variant>
        <vt:i4>0</vt:i4>
      </vt:variant>
      <vt:variant>
        <vt:i4>5</vt:i4>
      </vt:variant>
      <vt:variant>
        <vt:lpwstr/>
      </vt:variant>
      <vt:variant>
        <vt:lpwstr>_Toc262031275</vt:lpwstr>
      </vt:variant>
      <vt:variant>
        <vt:i4>1507377</vt:i4>
      </vt:variant>
      <vt:variant>
        <vt:i4>554</vt:i4>
      </vt:variant>
      <vt:variant>
        <vt:i4>0</vt:i4>
      </vt:variant>
      <vt:variant>
        <vt:i4>5</vt:i4>
      </vt:variant>
      <vt:variant>
        <vt:lpwstr/>
      </vt:variant>
      <vt:variant>
        <vt:lpwstr>_Toc262031274</vt:lpwstr>
      </vt:variant>
      <vt:variant>
        <vt:i4>1507377</vt:i4>
      </vt:variant>
      <vt:variant>
        <vt:i4>548</vt:i4>
      </vt:variant>
      <vt:variant>
        <vt:i4>0</vt:i4>
      </vt:variant>
      <vt:variant>
        <vt:i4>5</vt:i4>
      </vt:variant>
      <vt:variant>
        <vt:lpwstr/>
      </vt:variant>
      <vt:variant>
        <vt:lpwstr>_Toc262031273</vt:lpwstr>
      </vt:variant>
      <vt:variant>
        <vt:i4>1507377</vt:i4>
      </vt:variant>
      <vt:variant>
        <vt:i4>542</vt:i4>
      </vt:variant>
      <vt:variant>
        <vt:i4>0</vt:i4>
      </vt:variant>
      <vt:variant>
        <vt:i4>5</vt:i4>
      </vt:variant>
      <vt:variant>
        <vt:lpwstr/>
      </vt:variant>
      <vt:variant>
        <vt:lpwstr>_Toc262031272</vt:lpwstr>
      </vt:variant>
      <vt:variant>
        <vt:i4>1507377</vt:i4>
      </vt:variant>
      <vt:variant>
        <vt:i4>536</vt:i4>
      </vt:variant>
      <vt:variant>
        <vt:i4>0</vt:i4>
      </vt:variant>
      <vt:variant>
        <vt:i4>5</vt:i4>
      </vt:variant>
      <vt:variant>
        <vt:lpwstr/>
      </vt:variant>
      <vt:variant>
        <vt:lpwstr>_Toc262031271</vt:lpwstr>
      </vt:variant>
      <vt:variant>
        <vt:i4>1507377</vt:i4>
      </vt:variant>
      <vt:variant>
        <vt:i4>530</vt:i4>
      </vt:variant>
      <vt:variant>
        <vt:i4>0</vt:i4>
      </vt:variant>
      <vt:variant>
        <vt:i4>5</vt:i4>
      </vt:variant>
      <vt:variant>
        <vt:lpwstr/>
      </vt:variant>
      <vt:variant>
        <vt:lpwstr>_Toc262031270</vt:lpwstr>
      </vt:variant>
      <vt:variant>
        <vt:i4>1441841</vt:i4>
      </vt:variant>
      <vt:variant>
        <vt:i4>524</vt:i4>
      </vt:variant>
      <vt:variant>
        <vt:i4>0</vt:i4>
      </vt:variant>
      <vt:variant>
        <vt:i4>5</vt:i4>
      </vt:variant>
      <vt:variant>
        <vt:lpwstr/>
      </vt:variant>
      <vt:variant>
        <vt:lpwstr>_Toc262031269</vt:lpwstr>
      </vt:variant>
      <vt:variant>
        <vt:i4>1441841</vt:i4>
      </vt:variant>
      <vt:variant>
        <vt:i4>518</vt:i4>
      </vt:variant>
      <vt:variant>
        <vt:i4>0</vt:i4>
      </vt:variant>
      <vt:variant>
        <vt:i4>5</vt:i4>
      </vt:variant>
      <vt:variant>
        <vt:lpwstr/>
      </vt:variant>
      <vt:variant>
        <vt:lpwstr>_Toc262031268</vt:lpwstr>
      </vt:variant>
      <vt:variant>
        <vt:i4>1441841</vt:i4>
      </vt:variant>
      <vt:variant>
        <vt:i4>512</vt:i4>
      </vt:variant>
      <vt:variant>
        <vt:i4>0</vt:i4>
      </vt:variant>
      <vt:variant>
        <vt:i4>5</vt:i4>
      </vt:variant>
      <vt:variant>
        <vt:lpwstr/>
      </vt:variant>
      <vt:variant>
        <vt:lpwstr>_Toc262031267</vt:lpwstr>
      </vt:variant>
      <vt:variant>
        <vt:i4>1441841</vt:i4>
      </vt:variant>
      <vt:variant>
        <vt:i4>506</vt:i4>
      </vt:variant>
      <vt:variant>
        <vt:i4>0</vt:i4>
      </vt:variant>
      <vt:variant>
        <vt:i4>5</vt:i4>
      </vt:variant>
      <vt:variant>
        <vt:lpwstr/>
      </vt:variant>
      <vt:variant>
        <vt:lpwstr>_Toc262031266</vt:lpwstr>
      </vt:variant>
      <vt:variant>
        <vt:i4>1441841</vt:i4>
      </vt:variant>
      <vt:variant>
        <vt:i4>500</vt:i4>
      </vt:variant>
      <vt:variant>
        <vt:i4>0</vt:i4>
      </vt:variant>
      <vt:variant>
        <vt:i4>5</vt:i4>
      </vt:variant>
      <vt:variant>
        <vt:lpwstr/>
      </vt:variant>
      <vt:variant>
        <vt:lpwstr>_Toc262031265</vt:lpwstr>
      </vt:variant>
      <vt:variant>
        <vt:i4>1441841</vt:i4>
      </vt:variant>
      <vt:variant>
        <vt:i4>494</vt:i4>
      </vt:variant>
      <vt:variant>
        <vt:i4>0</vt:i4>
      </vt:variant>
      <vt:variant>
        <vt:i4>5</vt:i4>
      </vt:variant>
      <vt:variant>
        <vt:lpwstr/>
      </vt:variant>
      <vt:variant>
        <vt:lpwstr>_Toc262031264</vt:lpwstr>
      </vt:variant>
      <vt:variant>
        <vt:i4>1441841</vt:i4>
      </vt:variant>
      <vt:variant>
        <vt:i4>488</vt:i4>
      </vt:variant>
      <vt:variant>
        <vt:i4>0</vt:i4>
      </vt:variant>
      <vt:variant>
        <vt:i4>5</vt:i4>
      </vt:variant>
      <vt:variant>
        <vt:lpwstr/>
      </vt:variant>
      <vt:variant>
        <vt:lpwstr>_Toc262031263</vt:lpwstr>
      </vt:variant>
      <vt:variant>
        <vt:i4>1441841</vt:i4>
      </vt:variant>
      <vt:variant>
        <vt:i4>482</vt:i4>
      </vt:variant>
      <vt:variant>
        <vt:i4>0</vt:i4>
      </vt:variant>
      <vt:variant>
        <vt:i4>5</vt:i4>
      </vt:variant>
      <vt:variant>
        <vt:lpwstr/>
      </vt:variant>
      <vt:variant>
        <vt:lpwstr>_Toc262031262</vt:lpwstr>
      </vt:variant>
      <vt:variant>
        <vt:i4>1441841</vt:i4>
      </vt:variant>
      <vt:variant>
        <vt:i4>476</vt:i4>
      </vt:variant>
      <vt:variant>
        <vt:i4>0</vt:i4>
      </vt:variant>
      <vt:variant>
        <vt:i4>5</vt:i4>
      </vt:variant>
      <vt:variant>
        <vt:lpwstr/>
      </vt:variant>
      <vt:variant>
        <vt:lpwstr>_Toc262031261</vt:lpwstr>
      </vt:variant>
      <vt:variant>
        <vt:i4>1441841</vt:i4>
      </vt:variant>
      <vt:variant>
        <vt:i4>470</vt:i4>
      </vt:variant>
      <vt:variant>
        <vt:i4>0</vt:i4>
      </vt:variant>
      <vt:variant>
        <vt:i4>5</vt:i4>
      </vt:variant>
      <vt:variant>
        <vt:lpwstr/>
      </vt:variant>
      <vt:variant>
        <vt:lpwstr>_Toc262031260</vt:lpwstr>
      </vt:variant>
      <vt:variant>
        <vt:i4>1376305</vt:i4>
      </vt:variant>
      <vt:variant>
        <vt:i4>464</vt:i4>
      </vt:variant>
      <vt:variant>
        <vt:i4>0</vt:i4>
      </vt:variant>
      <vt:variant>
        <vt:i4>5</vt:i4>
      </vt:variant>
      <vt:variant>
        <vt:lpwstr/>
      </vt:variant>
      <vt:variant>
        <vt:lpwstr>_Toc262031259</vt:lpwstr>
      </vt:variant>
      <vt:variant>
        <vt:i4>1376305</vt:i4>
      </vt:variant>
      <vt:variant>
        <vt:i4>458</vt:i4>
      </vt:variant>
      <vt:variant>
        <vt:i4>0</vt:i4>
      </vt:variant>
      <vt:variant>
        <vt:i4>5</vt:i4>
      </vt:variant>
      <vt:variant>
        <vt:lpwstr/>
      </vt:variant>
      <vt:variant>
        <vt:lpwstr>_Toc262031258</vt:lpwstr>
      </vt:variant>
      <vt:variant>
        <vt:i4>1376305</vt:i4>
      </vt:variant>
      <vt:variant>
        <vt:i4>452</vt:i4>
      </vt:variant>
      <vt:variant>
        <vt:i4>0</vt:i4>
      </vt:variant>
      <vt:variant>
        <vt:i4>5</vt:i4>
      </vt:variant>
      <vt:variant>
        <vt:lpwstr/>
      </vt:variant>
      <vt:variant>
        <vt:lpwstr>_Toc262031257</vt:lpwstr>
      </vt:variant>
      <vt:variant>
        <vt:i4>1376305</vt:i4>
      </vt:variant>
      <vt:variant>
        <vt:i4>446</vt:i4>
      </vt:variant>
      <vt:variant>
        <vt:i4>0</vt:i4>
      </vt:variant>
      <vt:variant>
        <vt:i4>5</vt:i4>
      </vt:variant>
      <vt:variant>
        <vt:lpwstr/>
      </vt:variant>
      <vt:variant>
        <vt:lpwstr>_Toc262031256</vt:lpwstr>
      </vt:variant>
      <vt:variant>
        <vt:i4>1376305</vt:i4>
      </vt:variant>
      <vt:variant>
        <vt:i4>440</vt:i4>
      </vt:variant>
      <vt:variant>
        <vt:i4>0</vt:i4>
      </vt:variant>
      <vt:variant>
        <vt:i4>5</vt:i4>
      </vt:variant>
      <vt:variant>
        <vt:lpwstr/>
      </vt:variant>
      <vt:variant>
        <vt:lpwstr>_Toc262031255</vt:lpwstr>
      </vt:variant>
      <vt:variant>
        <vt:i4>1376305</vt:i4>
      </vt:variant>
      <vt:variant>
        <vt:i4>434</vt:i4>
      </vt:variant>
      <vt:variant>
        <vt:i4>0</vt:i4>
      </vt:variant>
      <vt:variant>
        <vt:i4>5</vt:i4>
      </vt:variant>
      <vt:variant>
        <vt:lpwstr/>
      </vt:variant>
      <vt:variant>
        <vt:lpwstr>_Toc262031254</vt:lpwstr>
      </vt:variant>
      <vt:variant>
        <vt:i4>1376305</vt:i4>
      </vt:variant>
      <vt:variant>
        <vt:i4>428</vt:i4>
      </vt:variant>
      <vt:variant>
        <vt:i4>0</vt:i4>
      </vt:variant>
      <vt:variant>
        <vt:i4>5</vt:i4>
      </vt:variant>
      <vt:variant>
        <vt:lpwstr/>
      </vt:variant>
      <vt:variant>
        <vt:lpwstr>_Toc262031253</vt:lpwstr>
      </vt:variant>
      <vt:variant>
        <vt:i4>1376305</vt:i4>
      </vt:variant>
      <vt:variant>
        <vt:i4>422</vt:i4>
      </vt:variant>
      <vt:variant>
        <vt:i4>0</vt:i4>
      </vt:variant>
      <vt:variant>
        <vt:i4>5</vt:i4>
      </vt:variant>
      <vt:variant>
        <vt:lpwstr/>
      </vt:variant>
      <vt:variant>
        <vt:lpwstr>_Toc262031252</vt:lpwstr>
      </vt:variant>
      <vt:variant>
        <vt:i4>1376305</vt:i4>
      </vt:variant>
      <vt:variant>
        <vt:i4>416</vt:i4>
      </vt:variant>
      <vt:variant>
        <vt:i4>0</vt:i4>
      </vt:variant>
      <vt:variant>
        <vt:i4>5</vt:i4>
      </vt:variant>
      <vt:variant>
        <vt:lpwstr/>
      </vt:variant>
      <vt:variant>
        <vt:lpwstr>_Toc262031251</vt:lpwstr>
      </vt:variant>
      <vt:variant>
        <vt:i4>1376305</vt:i4>
      </vt:variant>
      <vt:variant>
        <vt:i4>410</vt:i4>
      </vt:variant>
      <vt:variant>
        <vt:i4>0</vt:i4>
      </vt:variant>
      <vt:variant>
        <vt:i4>5</vt:i4>
      </vt:variant>
      <vt:variant>
        <vt:lpwstr/>
      </vt:variant>
      <vt:variant>
        <vt:lpwstr>_Toc262031250</vt:lpwstr>
      </vt:variant>
      <vt:variant>
        <vt:i4>1310769</vt:i4>
      </vt:variant>
      <vt:variant>
        <vt:i4>404</vt:i4>
      </vt:variant>
      <vt:variant>
        <vt:i4>0</vt:i4>
      </vt:variant>
      <vt:variant>
        <vt:i4>5</vt:i4>
      </vt:variant>
      <vt:variant>
        <vt:lpwstr/>
      </vt:variant>
      <vt:variant>
        <vt:lpwstr>_Toc262031249</vt:lpwstr>
      </vt:variant>
      <vt:variant>
        <vt:i4>1310769</vt:i4>
      </vt:variant>
      <vt:variant>
        <vt:i4>398</vt:i4>
      </vt:variant>
      <vt:variant>
        <vt:i4>0</vt:i4>
      </vt:variant>
      <vt:variant>
        <vt:i4>5</vt:i4>
      </vt:variant>
      <vt:variant>
        <vt:lpwstr/>
      </vt:variant>
      <vt:variant>
        <vt:lpwstr>_Toc262031248</vt:lpwstr>
      </vt:variant>
      <vt:variant>
        <vt:i4>1310769</vt:i4>
      </vt:variant>
      <vt:variant>
        <vt:i4>392</vt:i4>
      </vt:variant>
      <vt:variant>
        <vt:i4>0</vt:i4>
      </vt:variant>
      <vt:variant>
        <vt:i4>5</vt:i4>
      </vt:variant>
      <vt:variant>
        <vt:lpwstr/>
      </vt:variant>
      <vt:variant>
        <vt:lpwstr>_Toc262031247</vt:lpwstr>
      </vt:variant>
      <vt:variant>
        <vt:i4>1310769</vt:i4>
      </vt:variant>
      <vt:variant>
        <vt:i4>386</vt:i4>
      </vt:variant>
      <vt:variant>
        <vt:i4>0</vt:i4>
      </vt:variant>
      <vt:variant>
        <vt:i4>5</vt:i4>
      </vt:variant>
      <vt:variant>
        <vt:lpwstr/>
      </vt:variant>
      <vt:variant>
        <vt:lpwstr>_Toc262031246</vt:lpwstr>
      </vt:variant>
      <vt:variant>
        <vt:i4>1310769</vt:i4>
      </vt:variant>
      <vt:variant>
        <vt:i4>380</vt:i4>
      </vt:variant>
      <vt:variant>
        <vt:i4>0</vt:i4>
      </vt:variant>
      <vt:variant>
        <vt:i4>5</vt:i4>
      </vt:variant>
      <vt:variant>
        <vt:lpwstr/>
      </vt:variant>
      <vt:variant>
        <vt:lpwstr>_Toc262031245</vt:lpwstr>
      </vt:variant>
      <vt:variant>
        <vt:i4>1310769</vt:i4>
      </vt:variant>
      <vt:variant>
        <vt:i4>374</vt:i4>
      </vt:variant>
      <vt:variant>
        <vt:i4>0</vt:i4>
      </vt:variant>
      <vt:variant>
        <vt:i4>5</vt:i4>
      </vt:variant>
      <vt:variant>
        <vt:lpwstr/>
      </vt:variant>
      <vt:variant>
        <vt:lpwstr>_Toc262031244</vt:lpwstr>
      </vt:variant>
      <vt:variant>
        <vt:i4>1310769</vt:i4>
      </vt:variant>
      <vt:variant>
        <vt:i4>368</vt:i4>
      </vt:variant>
      <vt:variant>
        <vt:i4>0</vt:i4>
      </vt:variant>
      <vt:variant>
        <vt:i4>5</vt:i4>
      </vt:variant>
      <vt:variant>
        <vt:lpwstr/>
      </vt:variant>
      <vt:variant>
        <vt:lpwstr>_Toc262031243</vt:lpwstr>
      </vt:variant>
      <vt:variant>
        <vt:i4>1310769</vt:i4>
      </vt:variant>
      <vt:variant>
        <vt:i4>362</vt:i4>
      </vt:variant>
      <vt:variant>
        <vt:i4>0</vt:i4>
      </vt:variant>
      <vt:variant>
        <vt:i4>5</vt:i4>
      </vt:variant>
      <vt:variant>
        <vt:lpwstr/>
      </vt:variant>
      <vt:variant>
        <vt:lpwstr>_Toc262031242</vt:lpwstr>
      </vt:variant>
      <vt:variant>
        <vt:i4>1310769</vt:i4>
      </vt:variant>
      <vt:variant>
        <vt:i4>356</vt:i4>
      </vt:variant>
      <vt:variant>
        <vt:i4>0</vt:i4>
      </vt:variant>
      <vt:variant>
        <vt:i4>5</vt:i4>
      </vt:variant>
      <vt:variant>
        <vt:lpwstr/>
      </vt:variant>
      <vt:variant>
        <vt:lpwstr>_Toc262031241</vt:lpwstr>
      </vt:variant>
      <vt:variant>
        <vt:i4>1310769</vt:i4>
      </vt:variant>
      <vt:variant>
        <vt:i4>350</vt:i4>
      </vt:variant>
      <vt:variant>
        <vt:i4>0</vt:i4>
      </vt:variant>
      <vt:variant>
        <vt:i4>5</vt:i4>
      </vt:variant>
      <vt:variant>
        <vt:lpwstr/>
      </vt:variant>
      <vt:variant>
        <vt:lpwstr>_Toc262031240</vt:lpwstr>
      </vt:variant>
      <vt:variant>
        <vt:i4>1245233</vt:i4>
      </vt:variant>
      <vt:variant>
        <vt:i4>344</vt:i4>
      </vt:variant>
      <vt:variant>
        <vt:i4>0</vt:i4>
      </vt:variant>
      <vt:variant>
        <vt:i4>5</vt:i4>
      </vt:variant>
      <vt:variant>
        <vt:lpwstr/>
      </vt:variant>
      <vt:variant>
        <vt:lpwstr>_Toc262031239</vt:lpwstr>
      </vt:variant>
      <vt:variant>
        <vt:i4>1245233</vt:i4>
      </vt:variant>
      <vt:variant>
        <vt:i4>338</vt:i4>
      </vt:variant>
      <vt:variant>
        <vt:i4>0</vt:i4>
      </vt:variant>
      <vt:variant>
        <vt:i4>5</vt:i4>
      </vt:variant>
      <vt:variant>
        <vt:lpwstr/>
      </vt:variant>
      <vt:variant>
        <vt:lpwstr>_Toc262031238</vt:lpwstr>
      </vt:variant>
      <vt:variant>
        <vt:i4>1245233</vt:i4>
      </vt:variant>
      <vt:variant>
        <vt:i4>332</vt:i4>
      </vt:variant>
      <vt:variant>
        <vt:i4>0</vt:i4>
      </vt:variant>
      <vt:variant>
        <vt:i4>5</vt:i4>
      </vt:variant>
      <vt:variant>
        <vt:lpwstr/>
      </vt:variant>
      <vt:variant>
        <vt:lpwstr>_Toc262031237</vt:lpwstr>
      </vt:variant>
      <vt:variant>
        <vt:i4>1245233</vt:i4>
      </vt:variant>
      <vt:variant>
        <vt:i4>326</vt:i4>
      </vt:variant>
      <vt:variant>
        <vt:i4>0</vt:i4>
      </vt:variant>
      <vt:variant>
        <vt:i4>5</vt:i4>
      </vt:variant>
      <vt:variant>
        <vt:lpwstr/>
      </vt:variant>
      <vt:variant>
        <vt:lpwstr>_Toc262031236</vt:lpwstr>
      </vt:variant>
      <vt:variant>
        <vt:i4>1245233</vt:i4>
      </vt:variant>
      <vt:variant>
        <vt:i4>320</vt:i4>
      </vt:variant>
      <vt:variant>
        <vt:i4>0</vt:i4>
      </vt:variant>
      <vt:variant>
        <vt:i4>5</vt:i4>
      </vt:variant>
      <vt:variant>
        <vt:lpwstr/>
      </vt:variant>
      <vt:variant>
        <vt:lpwstr>_Toc262031235</vt:lpwstr>
      </vt:variant>
      <vt:variant>
        <vt:i4>1245233</vt:i4>
      </vt:variant>
      <vt:variant>
        <vt:i4>314</vt:i4>
      </vt:variant>
      <vt:variant>
        <vt:i4>0</vt:i4>
      </vt:variant>
      <vt:variant>
        <vt:i4>5</vt:i4>
      </vt:variant>
      <vt:variant>
        <vt:lpwstr/>
      </vt:variant>
      <vt:variant>
        <vt:lpwstr>_Toc262031234</vt:lpwstr>
      </vt:variant>
      <vt:variant>
        <vt:i4>1179699</vt:i4>
      </vt:variant>
      <vt:variant>
        <vt:i4>308</vt:i4>
      </vt:variant>
      <vt:variant>
        <vt:i4>0</vt:i4>
      </vt:variant>
      <vt:variant>
        <vt:i4>5</vt:i4>
      </vt:variant>
      <vt:variant>
        <vt:lpwstr/>
      </vt:variant>
      <vt:variant>
        <vt:lpwstr>_Toc262032015</vt:lpwstr>
      </vt:variant>
      <vt:variant>
        <vt:i4>1179699</vt:i4>
      </vt:variant>
      <vt:variant>
        <vt:i4>302</vt:i4>
      </vt:variant>
      <vt:variant>
        <vt:i4>0</vt:i4>
      </vt:variant>
      <vt:variant>
        <vt:i4>5</vt:i4>
      </vt:variant>
      <vt:variant>
        <vt:lpwstr/>
      </vt:variant>
      <vt:variant>
        <vt:lpwstr>_Toc262032014</vt:lpwstr>
      </vt:variant>
      <vt:variant>
        <vt:i4>1179699</vt:i4>
      </vt:variant>
      <vt:variant>
        <vt:i4>296</vt:i4>
      </vt:variant>
      <vt:variant>
        <vt:i4>0</vt:i4>
      </vt:variant>
      <vt:variant>
        <vt:i4>5</vt:i4>
      </vt:variant>
      <vt:variant>
        <vt:lpwstr/>
      </vt:variant>
      <vt:variant>
        <vt:lpwstr>_Toc262032013</vt:lpwstr>
      </vt:variant>
      <vt:variant>
        <vt:i4>1179699</vt:i4>
      </vt:variant>
      <vt:variant>
        <vt:i4>290</vt:i4>
      </vt:variant>
      <vt:variant>
        <vt:i4>0</vt:i4>
      </vt:variant>
      <vt:variant>
        <vt:i4>5</vt:i4>
      </vt:variant>
      <vt:variant>
        <vt:lpwstr/>
      </vt:variant>
      <vt:variant>
        <vt:lpwstr>_Toc262032012</vt:lpwstr>
      </vt:variant>
      <vt:variant>
        <vt:i4>1179699</vt:i4>
      </vt:variant>
      <vt:variant>
        <vt:i4>284</vt:i4>
      </vt:variant>
      <vt:variant>
        <vt:i4>0</vt:i4>
      </vt:variant>
      <vt:variant>
        <vt:i4>5</vt:i4>
      </vt:variant>
      <vt:variant>
        <vt:lpwstr/>
      </vt:variant>
      <vt:variant>
        <vt:lpwstr>_Toc262032011</vt:lpwstr>
      </vt:variant>
      <vt:variant>
        <vt:i4>1179699</vt:i4>
      </vt:variant>
      <vt:variant>
        <vt:i4>278</vt:i4>
      </vt:variant>
      <vt:variant>
        <vt:i4>0</vt:i4>
      </vt:variant>
      <vt:variant>
        <vt:i4>5</vt:i4>
      </vt:variant>
      <vt:variant>
        <vt:lpwstr/>
      </vt:variant>
      <vt:variant>
        <vt:lpwstr>_Toc262032010</vt:lpwstr>
      </vt:variant>
      <vt:variant>
        <vt:i4>1245235</vt:i4>
      </vt:variant>
      <vt:variant>
        <vt:i4>272</vt:i4>
      </vt:variant>
      <vt:variant>
        <vt:i4>0</vt:i4>
      </vt:variant>
      <vt:variant>
        <vt:i4>5</vt:i4>
      </vt:variant>
      <vt:variant>
        <vt:lpwstr/>
      </vt:variant>
      <vt:variant>
        <vt:lpwstr>_Toc262032009</vt:lpwstr>
      </vt:variant>
      <vt:variant>
        <vt:i4>1245235</vt:i4>
      </vt:variant>
      <vt:variant>
        <vt:i4>266</vt:i4>
      </vt:variant>
      <vt:variant>
        <vt:i4>0</vt:i4>
      </vt:variant>
      <vt:variant>
        <vt:i4>5</vt:i4>
      </vt:variant>
      <vt:variant>
        <vt:lpwstr/>
      </vt:variant>
      <vt:variant>
        <vt:lpwstr>_Toc262032008</vt:lpwstr>
      </vt:variant>
      <vt:variant>
        <vt:i4>1245235</vt:i4>
      </vt:variant>
      <vt:variant>
        <vt:i4>260</vt:i4>
      </vt:variant>
      <vt:variant>
        <vt:i4>0</vt:i4>
      </vt:variant>
      <vt:variant>
        <vt:i4>5</vt:i4>
      </vt:variant>
      <vt:variant>
        <vt:lpwstr/>
      </vt:variant>
      <vt:variant>
        <vt:lpwstr>_Toc262032003</vt:lpwstr>
      </vt:variant>
      <vt:variant>
        <vt:i4>1245235</vt:i4>
      </vt:variant>
      <vt:variant>
        <vt:i4>254</vt:i4>
      </vt:variant>
      <vt:variant>
        <vt:i4>0</vt:i4>
      </vt:variant>
      <vt:variant>
        <vt:i4>5</vt:i4>
      </vt:variant>
      <vt:variant>
        <vt:lpwstr/>
      </vt:variant>
      <vt:variant>
        <vt:lpwstr>_Toc262032002</vt:lpwstr>
      </vt:variant>
      <vt:variant>
        <vt:i4>1245235</vt:i4>
      </vt:variant>
      <vt:variant>
        <vt:i4>248</vt:i4>
      </vt:variant>
      <vt:variant>
        <vt:i4>0</vt:i4>
      </vt:variant>
      <vt:variant>
        <vt:i4>5</vt:i4>
      </vt:variant>
      <vt:variant>
        <vt:lpwstr/>
      </vt:variant>
      <vt:variant>
        <vt:lpwstr>_Toc262032001</vt:lpwstr>
      </vt:variant>
      <vt:variant>
        <vt:i4>1638458</vt:i4>
      </vt:variant>
      <vt:variant>
        <vt:i4>242</vt:i4>
      </vt:variant>
      <vt:variant>
        <vt:i4>0</vt:i4>
      </vt:variant>
      <vt:variant>
        <vt:i4>5</vt:i4>
      </vt:variant>
      <vt:variant>
        <vt:lpwstr/>
      </vt:variant>
      <vt:variant>
        <vt:lpwstr>_Toc262031990</vt:lpwstr>
      </vt:variant>
      <vt:variant>
        <vt:i4>1572922</vt:i4>
      </vt:variant>
      <vt:variant>
        <vt:i4>236</vt:i4>
      </vt:variant>
      <vt:variant>
        <vt:i4>0</vt:i4>
      </vt:variant>
      <vt:variant>
        <vt:i4>5</vt:i4>
      </vt:variant>
      <vt:variant>
        <vt:lpwstr/>
      </vt:variant>
      <vt:variant>
        <vt:lpwstr>_Toc262031989</vt:lpwstr>
      </vt:variant>
      <vt:variant>
        <vt:i4>1572922</vt:i4>
      </vt:variant>
      <vt:variant>
        <vt:i4>230</vt:i4>
      </vt:variant>
      <vt:variant>
        <vt:i4>0</vt:i4>
      </vt:variant>
      <vt:variant>
        <vt:i4>5</vt:i4>
      </vt:variant>
      <vt:variant>
        <vt:lpwstr/>
      </vt:variant>
      <vt:variant>
        <vt:lpwstr>_Toc262031988</vt:lpwstr>
      </vt:variant>
      <vt:variant>
        <vt:i4>1507386</vt:i4>
      </vt:variant>
      <vt:variant>
        <vt:i4>224</vt:i4>
      </vt:variant>
      <vt:variant>
        <vt:i4>0</vt:i4>
      </vt:variant>
      <vt:variant>
        <vt:i4>5</vt:i4>
      </vt:variant>
      <vt:variant>
        <vt:lpwstr/>
      </vt:variant>
      <vt:variant>
        <vt:lpwstr>_Toc262031976</vt:lpwstr>
      </vt:variant>
      <vt:variant>
        <vt:i4>1507386</vt:i4>
      </vt:variant>
      <vt:variant>
        <vt:i4>218</vt:i4>
      </vt:variant>
      <vt:variant>
        <vt:i4>0</vt:i4>
      </vt:variant>
      <vt:variant>
        <vt:i4>5</vt:i4>
      </vt:variant>
      <vt:variant>
        <vt:lpwstr/>
      </vt:variant>
      <vt:variant>
        <vt:lpwstr>_Toc262031975</vt:lpwstr>
      </vt:variant>
      <vt:variant>
        <vt:i4>1507386</vt:i4>
      </vt:variant>
      <vt:variant>
        <vt:i4>212</vt:i4>
      </vt:variant>
      <vt:variant>
        <vt:i4>0</vt:i4>
      </vt:variant>
      <vt:variant>
        <vt:i4>5</vt:i4>
      </vt:variant>
      <vt:variant>
        <vt:lpwstr/>
      </vt:variant>
      <vt:variant>
        <vt:lpwstr>_Toc262031974</vt:lpwstr>
      </vt:variant>
      <vt:variant>
        <vt:i4>1441850</vt:i4>
      </vt:variant>
      <vt:variant>
        <vt:i4>206</vt:i4>
      </vt:variant>
      <vt:variant>
        <vt:i4>0</vt:i4>
      </vt:variant>
      <vt:variant>
        <vt:i4>5</vt:i4>
      </vt:variant>
      <vt:variant>
        <vt:lpwstr/>
      </vt:variant>
      <vt:variant>
        <vt:lpwstr>_Toc262031961</vt:lpwstr>
      </vt:variant>
      <vt:variant>
        <vt:i4>1441850</vt:i4>
      </vt:variant>
      <vt:variant>
        <vt:i4>200</vt:i4>
      </vt:variant>
      <vt:variant>
        <vt:i4>0</vt:i4>
      </vt:variant>
      <vt:variant>
        <vt:i4>5</vt:i4>
      </vt:variant>
      <vt:variant>
        <vt:lpwstr/>
      </vt:variant>
      <vt:variant>
        <vt:lpwstr>_Toc262031960</vt:lpwstr>
      </vt:variant>
      <vt:variant>
        <vt:i4>1376314</vt:i4>
      </vt:variant>
      <vt:variant>
        <vt:i4>194</vt:i4>
      </vt:variant>
      <vt:variant>
        <vt:i4>0</vt:i4>
      </vt:variant>
      <vt:variant>
        <vt:i4>5</vt:i4>
      </vt:variant>
      <vt:variant>
        <vt:lpwstr/>
      </vt:variant>
      <vt:variant>
        <vt:lpwstr>_Toc262031959</vt:lpwstr>
      </vt:variant>
      <vt:variant>
        <vt:i4>1310778</vt:i4>
      </vt:variant>
      <vt:variant>
        <vt:i4>188</vt:i4>
      </vt:variant>
      <vt:variant>
        <vt:i4>0</vt:i4>
      </vt:variant>
      <vt:variant>
        <vt:i4>5</vt:i4>
      </vt:variant>
      <vt:variant>
        <vt:lpwstr/>
      </vt:variant>
      <vt:variant>
        <vt:lpwstr>_Toc262031947</vt:lpwstr>
      </vt:variant>
      <vt:variant>
        <vt:i4>1310778</vt:i4>
      </vt:variant>
      <vt:variant>
        <vt:i4>182</vt:i4>
      </vt:variant>
      <vt:variant>
        <vt:i4>0</vt:i4>
      </vt:variant>
      <vt:variant>
        <vt:i4>5</vt:i4>
      </vt:variant>
      <vt:variant>
        <vt:lpwstr/>
      </vt:variant>
      <vt:variant>
        <vt:lpwstr>_Toc262031946</vt:lpwstr>
      </vt:variant>
      <vt:variant>
        <vt:i4>1310778</vt:i4>
      </vt:variant>
      <vt:variant>
        <vt:i4>176</vt:i4>
      </vt:variant>
      <vt:variant>
        <vt:i4>0</vt:i4>
      </vt:variant>
      <vt:variant>
        <vt:i4>5</vt:i4>
      </vt:variant>
      <vt:variant>
        <vt:lpwstr/>
      </vt:variant>
      <vt:variant>
        <vt:lpwstr>_Toc262031945</vt:lpwstr>
      </vt:variant>
      <vt:variant>
        <vt:i4>1245242</vt:i4>
      </vt:variant>
      <vt:variant>
        <vt:i4>170</vt:i4>
      </vt:variant>
      <vt:variant>
        <vt:i4>0</vt:i4>
      </vt:variant>
      <vt:variant>
        <vt:i4>5</vt:i4>
      </vt:variant>
      <vt:variant>
        <vt:lpwstr/>
      </vt:variant>
      <vt:variant>
        <vt:lpwstr>_Toc262031935</vt:lpwstr>
      </vt:variant>
      <vt:variant>
        <vt:i4>1245242</vt:i4>
      </vt:variant>
      <vt:variant>
        <vt:i4>164</vt:i4>
      </vt:variant>
      <vt:variant>
        <vt:i4>0</vt:i4>
      </vt:variant>
      <vt:variant>
        <vt:i4>5</vt:i4>
      </vt:variant>
      <vt:variant>
        <vt:lpwstr/>
      </vt:variant>
      <vt:variant>
        <vt:lpwstr>_Toc262031934</vt:lpwstr>
      </vt:variant>
      <vt:variant>
        <vt:i4>1245242</vt:i4>
      </vt:variant>
      <vt:variant>
        <vt:i4>158</vt:i4>
      </vt:variant>
      <vt:variant>
        <vt:i4>0</vt:i4>
      </vt:variant>
      <vt:variant>
        <vt:i4>5</vt:i4>
      </vt:variant>
      <vt:variant>
        <vt:lpwstr/>
      </vt:variant>
      <vt:variant>
        <vt:lpwstr>_Toc262031933</vt:lpwstr>
      </vt:variant>
      <vt:variant>
        <vt:i4>1179706</vt:i4>
      </vt:variant>
      <vt:variant>
        <vt:i4>152</vt:i4>
      </vt:variant>
      <vt:variant>
        <vt:i4>0</vt:i4>
      </vt:variant>
      <vt:variant>
        <vt:i4>5</vt:i4>
      </vt:variant>
      <vt:variant>
        <vt:lpwstr/>
      </vt:variant>
      <vt:variant>
        <vt:lpwstr>_Toc262031922</vt:lpwstr>
      </vt:variant>
      <vt:variant>
        <vt:i4>1179706</vt:i4>
      </vt:variant>
      <vt:variant>
        <vt:i4>146</vt:i4>
      </vt:variant>
      <vt:variant>
        <vt:i4>0</vt:i4>
      </vt:variant>
      <vt:variant>
        <vt:i4>5</vt:i4>
      </vt:variant>
      <vt:variant>
        <vt:lpwstr/>
      </vt:variant>
      <vt:variant>
        <vt:lpwstr>_Toc262031921</vt:lpwstr>
      </vt:variant>
      <vt:variant>
        <vt:i4>1179706</vt:i4>
      </vt:variant>
      <vt:variant>
        <vt:i4>140</vt:i4>
      </vt:variant>
      <vt:variant>
        <vt:i4>0</vt:i4>
      </vt:variant>
      <vt:variant>
        <vt:i4>5</vt:i4>
      </vt:variant>
      <vt:variant>
        <vt:lpwstr/>
      </vt:variant>
      <vt:variant>
        <vt:lpwstr>_Toc262031920</vt:lpwstr>
      </vt:variant>
      <vt:variant>
        <vt:i4>1048634</vt:i4>
      </vt:variant>
      <vt:variant>
        <vt:i4>134</vt:i4>
      </vt:variant>
      <vt:variant>
        <vt:i4>0</vt:i4>
      </vt:variant>
      <vt:variant>
        <vt:i4>5</vt:i4>
      </vt:variant>
      <vt:variant>
        <vt:lpwstr/>
      </vt:variant>
      <vt:variant>
        <vt:lpwstr>_Toc262031908</vt:lpwstr>
      </vt:variant>
      <vt:variant>
        <vt:i4>1048634</vt:i4>
      </vt:variant>
      <vt:variant>
        <vt:i4>128</vt:i4>
      </vt:variant>
      <vt:variant>
        <vt:i4>0</vt:i4>
      </vt:variant>
      <vt:variant>
        <vt:i4>5</vt:i4>
      </vt:variant>
      <vt:variant>
        <vt:lpwstr/>
      </vt:variant>
      <vt:variant>
        <vt:lpwstr>_Toc262031907</vt:lpwstr>
      </vt:variant>
      <vt:variant>
        <vt:i4>1048634</vt:i4>
      </vt:variant>
      <vt:variant>
        <vt:i4>122</vt:i4>
      </vt:variant>
      <vt:variant>
        <vt:i4>0</vt:i4>
      </vt:variant>
      <vt:variant>
        <vt:i4>5</vt:i4>
      </vt:variant>
      <vt:variant>
        <vt:lpwstr/>
      </vt:variant>
      <vt:variant>
        <vt:lpwstr>_Toc262031906</vt:lpwstr>
      </vt:variant>
      <vt:variant>
        <vt:i4>1638459</vt:i4>
      </vt:variant>
      <vt:variant>
        <vt:i4>116</vt:i4>
      </vt:variant>
      <vt:variant>
        <vt:i4>0</vt:i4>
      </vt:variant>
      <vt:variant>
        <vt:i4>5</vt:i4>
      </vt:variant>
      <vt:variant>
        <vt:lpwstr/>
      </vt:variant>
      <vt:variant>
        <vt:lpwstr>_Toc262031897</vt:lpwstr>
      </vt:variant>
      <vt:variant>
        <vt:i4>1638459</vt:i4>
      </vt:variant>
      <vt:variant>
        <vt:i4>110</vt:i4>
      </vt:variant>
      <vt:variant>
        <vt:i4>0</vt:i4>
      </vt:variant>
      <vt:variant>
        <vt:i4>5</vt:i4>
      </vt:variant>
      <vt:variant>
        <vt:lpwstr/>
      </vt:variant>
      <vt:variant>
        <vt:lpwstr>_Toc262031896</vt:lpwstr>
      </vt:variant>
      <vt:variant>
        <vt:i4>1638459</vt:i4>
      </vt:variant>
      <vt:variant>
        <vt:i4>104</vt:i4>
      </vt:variant>
      <vt:variant>
        <vt:i4>0</vt:i4>
      </vt:variant>
      <vt:variant>
        <vt:i4>5</vt:i4>
      </vt:variant>
      <vt:variant>
        <vt:lpwstr/>
      </vt:variant>
      <vt:variant>
        <vt:lpwstr>_Toc262031895</vt:lpwstr>
      </vt:variant>
      <vt:variant>
        <vt:i4>1441851</vt:i4>
      </vt:variant>
      <vt:variant>
        <vt:i4>98</vt:i4>
      </vt:variant>
      <vt:variant>
        <vt:i4>0</vt:i4>
      </vt:variant>
      <vt:variant>
        <vt:i4>5</vt:i4>
      </vt:variant>
      <vt:variant>
        <vt:lpwstr/>
      </vt:variant>
      <vt:variant>
        <vt:lpwstr>_Toc262031861</vt:lpwstr>
      </vt:variant>
      <vt:variant>
        <vt:i4>1441851</vt:i4>
      </vt:variant>
      <vt:variant>
        <vt:i4>92</vt:i4>
      </vt:variant>
      <vt:variant>
        <vt:i4>0</vt:i4>
      </vt:variant>
      <vt:variant>
        <vt:i4>5</vt:i4>
      </vt:variant>
      <vt:variant>
        <vt:lpwstr/>
      </vt:variant>
      <vt:variant>
        <vt:lpwstr>_Toc262031860</vt:lpwstr>
      </vt:variant>
      <vt:variant>
        <vt:i4>1376315</vt:i4>
      </vt:variant>
      <vt:variant>
        <vt:i4>86</vt:i4>
      </vt:variant>
      <vt:variant>
        <vt:i4>0</vt:i4>
      </vt:variant>
      <vt:variant>
        <vt:i4>5</vt:i4>
      </vt:variant>
      <vt:variant>
        <vt:lpwstr/>
      </vt:variant>
      <vt:variant>
        <vt:lpwstr>_Toc262031859</vt:lpwstr>
      </vt:variant>
      <vt:variant>
        <vt:i4>1376315</vt:i4>
      </vt:variant>
      <vt:variant>
        <vt:i4>80</vt:i4>
      </vt:variant>
      <vt:variant>
        <vt:i4>0</vt:i4>
      </vt:variant>
      <vt:variant>
        <vt:i4>5</vt:i4>
      </vt:variant>
      <vt:variant>
        <vt:lpwstr/>
      </vt:variant>
      <vt:variant>
        <vt:lpwstr>_Toc262031858</vt:lpwstr>
      </vt:variant>
      <vt:variant>
        <vt:i4>1376315</vt:i4>
      </vt:variant>
      <vt:variant>
        <vt:i4>74</vt:i4>
      </vt:variant>
      <vt:variant>
        <vt:i4>0</vt:i4>
      </vt:variant>
      <vt:variant>
        <vt:i4>5</vt:i4>
      </vt:variant>
      <vt:variant>
        <vt:lpwstr/>
      </vt:variant>
      <vt:variant>
        <vt:lpwstr>_Toc262031857</vt:lpwstr>
      </vt:variant>
      <vt:variant>
        <vt:i4>1376315</vt:i4>
      </vt:variant>
      <vt:variant>
        <vt:i4>68</vt:i4>
      </vt:variant>
      <vt:variant>
        <vt:i4>0</vt:i4>
      </vt:variant>
      <vt:variant>
        <vt:i4>5</vt:i4>
      </vt:variant>
      <vt:variant>
        <vt:lpwstr/>
      </vt:variant>
      <vt:variant>
        <vt:lpwstr>_Toc262031854</vt:lpwstr>
      </vt:variant>
      <vt:variant>
        <vt:i4>1376315</vt:i4>
      </vt:variant>
      <vt:variant>
        <vt:i4>62</vt:i4>
      </vt:variant>
      <vt:variant>
        <vt:i4>0</vt:i4>
      </vt:variant>
      <vt:variant>
        <vt:i4>5</vt:i4>
      </vt:variant>
      <vt:variant>
        <vt:lpwstr/>
      </vt:variant>
      <vt:variant>
        <vt:lpwstr>_Toc262031853</vt:lpwstr>
      </vt:variant>
      <vt:variant>
        <vt:i4>1376315</vt:i4>
      </vt:variant>
      <vt:variant>
        <vt:i4>56</vt:i4>
      </vt:variant>
      <vt:variant>
        <vt:i4>0</vt:i4>
      </vt:variant>
      <vt:variant>
        <vt:i4>5</vt:i4>
      </vt:variant>
      <vt:variant>
        <vt:lpwstr/>
      </vt:variant>
      <vt:variant>
        <vt:lpwstr>_Toc262031852</vt:lpwstr>
      </vt:variant>
      <vt:variant>
        <vt:i4>1376315</vt:i4>
      </vt:variant>
      <vt:variant>
        <vt:i4>50</vt:i4>
      </vt:variant>
      <vt:variant>
        <vt:i4>0</vt:i4>
      </vt:variant>
      <vt:variant>
        <vt:i4>5</vt:i4>
      </vt:variant>
      <vt:variant>
        <vt:lpwstr/>
      </vt:variant>
      <vt:variant>
        <vt:lpwstr>_Toc262031851</vt:lpwstr>
      </vt:variant>
      <vt:variant>
        <vt:i4>1376315</vt:i4>
      </vt:variant>
      <vt:variant>
        <vt:i4>44</vt:i4>
      </vt:variant>
      <vt:variant>
        <vt:i4>0</vt:i4>
      </vt:variant>
      <vt:variant>
        <vt:i4>5</vt:i4>
      </vt:variant>
      <vt:variant>
        <vt:lpwstr/>
      </vt:variant>
      <vt:variant>
        <vt:lpwstr>_Toc262031850</vt:lpwstr>
      </vt:variant>
      <vt:variant>
        <vt:i4>1310779</vt:i4>
      </vt:variant>
      <vt:variant>
        <vt:i4>38</vt:i4>
      </vt:variant>
      <vt:variant>
        <vt:i4>0</vt:i4>
      </vt:variant>
      <vt:variant>
        <vt:i4>5</vt:i4>
      </vt:variant>
      <vt:variant>
        <vt:lpwstr/>
      </vt:variant>
      <vt:variant>
        <vt:lpwstr>_Toc262031844</vt:lpwstr>
      </vt:variant>
      <vt:variant>
        <vt:i4>1310779</vt:i4>
      </vt:variant>
      <vt:variant>
        <vt:i4>32</vt:i4>
      </vt:variant>
      <vt:variant>
        <vt:i4>0</vt:i4>
      </vt:variant>
      <vt:variant>
        <vt:i4>5</vt:i4>
      </vt:variant>
      <vt:variant>
        <vt:lpwstr/>
      </vt:variant>
      <vt:variant>
        <vt:lpwstr>_Toc262031843</vt:lpwstr>
      </vt:variant>
      <vt:variant>
        <vt:i4>1310779</vt:i4>
      </vt:variant>
      <vt:variant>
        <vt:i4>26</vt:i4>
      </vt:variant>
      <vt:variant>
        <vt:i4>0</vt:i4>
      </vt:variant>
      <vt:variant>
        <vt:i4>5</vt:i4>
      </vt:variant>
      <vt:variant>
        <vt:lpwstr/>
      </vt:variant>
      <vt:variant>
        <vt:lpwstr>_Toc262031842</vt:lpwstr>
      </vt:variant>
      <vt:variant>
        <vt:i4>1310779</vt:i4>
      </vt:variant>
      <vt:variant>
        <vt:i4>20</vt:i4>
      </vt:variant>
      <vt:variant>
        <vt:i4>0</vt:i4>
      </vt:variant>
      <vt:variant>
        <vt:i4>5</vt:i4>
      </vt:variant>
      <vt:variant>
        <vt:lpwstr/>
      </vt:variant>
      <vt:variant>
        <vt:lpwstr>_Toc262031841</vt:lpwstr>
      </vt:variant>
      <vt:variant>
        <vt:i4>1310779</vt:i4>
      </vt:variant>
      <vt:variant>
        <vt:i4>14</vt:i4>
      </vt:variant>
      <vt:variant>
        <vt:i4>0</vt:i4>
      </vt:variant>
      <vt:variant>
        <vt:i4>5</vt:i4>
      </vt:variant>
      <vt:variant>
        <vt:lpwstr/>
      </vt:variant>
      <vt:variant>
        <vt:lpwstr>_Toc262031840</vt:lpwstr>
      </vt:variant>
      <vt:variant>
        <vt:i4>1245243</vt:i4>
      </vt:variant>
      <vt:variant>
        <vt:i4>8</vt:i4>
      </vt:variant>
      <vt:variant>
        <vt:i4>0</vt:i4>
      </vt:variant>
      <vt:variant>
        <vt:i4>5</vt:i4>
      </vt:variant>
      <vt:variant>
        <vt:lpwstr/>
      </vt:variant>
      <vt:variant>
        <vt:lpwstr>_Toc262031839</vt:lpwstr>
      </vt:variant>
      <vt:variant>
        <vt:i4>1245243</vt:i4>
      </vt:variant>
      <vt:variant>
        <vt:i4>2</vt:i4>
      </vt:variant>
      <vt:variant>
        <vt:i4>0</vt:i4>
      </vt:variant>
      <vt:variant>
        <vt:i4>5</vt:i4>
      </vt:variant>
      <vt:variant>
        <vt:lpwstr/>
      </vt:variant>
      <vt:variant>
        <vt:lpwstr>_Toc262031838</vt:lpwstr>
      </vt:variant>
      <vt:variant>
        <vt:i4>7667828</vt:i4>
      </vt:variant>
      <vt:variant>
        <vt:i4>-1</vt:i4>
      </vt:variant>
      <vt:variant>
        <vt:i4>1026</vt:i4>
      </vt:variant>
      <vt:variant>
        <vt:i4>1</vt:i4>
      </vt:variant>
      <vt:variant>
        <vt:lpwstr>http://www.silesia-region.pl/STRATEGIA/strat_2_1/07.jpg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Mickoś Agnieszka</cp:lastModifiedBy>
  <cp:revision>2</cp:revision>
  <cp:lastPrinted>2012-07-04T08:29:00Z</cp:lastPrinted>
  <dcterms:created xsi:type="dcterms:W3CDTF">2012-07-06T11:34:00Z</dcterms:created>
  <dcterms:modified xsi:type="dcterms:W3CDTF">2012-07-06T11:34:00Z</dcterms:modified>
</cp:coreProperties>
</file>