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47B8B82D" w:rsidR="00C7377B" w:rsidRPr="00AF39F9" w:rsidRDefault="0002631A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2431/124/VII/2025</w:t>
      </w:r>
      <w:bookmarkStart w:id="0" w:name="_GoBack"/>
      <w:bookmarkEnd w:id="0"/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31C2D805" w:rsidR="00310921" w:rsidRPr="00AF39F9" w:rsidRDefault="0002631A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30.10.2025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5D999848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9B1A6E">
        <w:rPr>
          <w:rFonts w:cs="Arial"/>
          <w:b/>
        </w:rPr>
        <w:t>miasta Racibórz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52DDFF07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9B1A6E">
        <w:rPr>
          <w:rFonts w:cs="Arial"/>
        </w:rPr>
        <w:t>paliwa gazowe miasta Racibórz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2631A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3558a119a5ad8d69e5a6834f66e3d6db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965f967389842835a32c638069ebc4a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2488-5FDD-4D41-8C00-4B485B55E81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dd2c15f7-1477-4f86-bc31-5635aab7689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980DC-3249-48F3-A39B-78A1CBFF6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2E1342-8A9B-4935-97C9-1894829B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2025-11-05T09:42:00Z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