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1D82F95C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AC6E85">
        <w:t>2723/128/VII/2025</w:t>
      </w:r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412C55D9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AC6E85">
        <w:t>27.11.2025 r.</w:t>
      </w:r>
      <w:bookmarkStart w:id="0" w:name="_GoBack"/>
      <w:bookmarkEnd w:id="0"/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9FADEC9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Pr="001E2B18">
        <w:rPr>
          <w:rFonts w:cs="Arial"/>
        </w:rPr>
        <w:t xml:space="preserve">) oraz § 51 ust. 1 Statutu Województwa Śląskiego, stanowiącego załącznik </w:t>
      </w:r>
      <w:r w:rsidR="00C858F3">
        <w:rPr>
          <w:rFonts w:cs="Arial"/>
        </w:rPr>
        <w:br/>
      </w:r>
      <w:r w:rsidRPr="001E2B18">
        <w:rPr>
          <w:rFonts w:cs="Arial"/>
        </w:rPr>
        <w:t>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4D957A6B" w:rsidR="003D0095" w:rsidRDefault="0019077F" w:rsidP="00B910C1">
      <w:pPr>
        <w:ind w:right="-284"/>
      </w:pPr>
      <w:r w:rsidRPr="005B7306">
        <w:rPr>
          <w:rFonts w:cs="Arial"/>
        </w:rPr>
        <w:t>Tr</w:t>
      </w:r>
      <w:r w:rsidR="008C1F9C" w:rsidRPr="005B7306">
        <w:rPr>
          <w:rFonts w:cs="Arial"/>
        </w:rPr>
        <w:t>aci moc obowiązującą uchwała nr</w:t>
      </w:r>
      <w:hyperlink r:id="rId8" w:history="1"/>
      <w:r w:rsidR="00825FC5" w:rsidRPr="005B7306">
        <w:rPr>
          <w:rStyle w:val="Hipercze"/>
          <w:color w:val="auto"/>
          <w:u w:val="none"/>
        </w:rPr>
        <w:t xml:space="preserve"> </w:t>
      </w:r>
      <w:r w:rsidR="005B7306" w:rsidRPr="005B7306">
        <w:rPr>
          <w:rFonts w:eastAsia="Arial" w:cs="Arial"/>
        </w:rPr>
        <w:t>2492/125/VII/2025</w:t>
      </w:r>
      <w:r w:rsidR="00B910C1" w:rsidRPr="005B7306">
        <w:t xml:space="preserve"> </w:t>
      </w:r>
      <w:r w:rsidR="006A12FE" w:rsidRPr="005B7306">
        <w:t xml:space="preserve">Zarządu Województwa Śląskiego z dnia </w:t>
      </w:r>
      <w:r w:rsidR="006A12FE" w:rsidRPr="005B7306">
        <w:br/>
      </w:r>
      <w:r w:rsidR="005B7306" w:rsidRPr="005B7306">
        <w:t>6.11.2025</w:t>
      </w:r>
      <w:r w:rsidR="003454BD" w:rsidRPr="005B7306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2C69A35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C6E8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C6E8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306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6E85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850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0B2B-9A52-41F8-8035-D5DBF65D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2025-11-28T11:44:00Z</dcterms:modified>
</cp:coreProperties>
</file>