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9097" w14:textId="77777777" w:rsidR="005250E0" w:rsidRDefault="004A2F8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E15A981" w14:textId="3495A725" w:rsidR="005250E0" w:rsidRDefault="004A2F80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14:paraId="1DE71F3E" w14:textId="5FFC191B" w:rsidR="00C93BF7" w:rsidRDefault="004A2F80" w:rsidP="00C93BF7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</w:rPr>
        <w:t xml:space="preserve"> </w:t>
      </w:r>
      <w:r w:rsidR="00C93BF7">
        <w:rPr>
          <w:rFonts w:ascii="Arial" w:hAnsi="Arial" w:cs="Arial"/>
          <w:sz w:val="20"/>
          <w:szCs w:val="20"/>
        </w:rPr>
        <w:t xml:space="preserve">Załącznik do Uchwały Zarządu Województwa Śląskiego nr </w:t>
      </w:r>
      <w:r w:rsidR="001550B9" w:rsidRPr="001550B9">
        <w:rPr>
          <w:rFonts w:ascii="Arial" w:hAnsi="Arial" w:cs="Arial"/>
          <w:sz w:val="20"/>
          <w:szCs w:val="20"/>
        </w:rPr>
        <w:t>573/155/VII/2026</w:t>
      </w:r>
      <w:r w:rsidR="001550B9">
        <w:rPr>
          <w:rFonts w:ascii="Arial" w:hAnsi="Arial" w:cs="Arial"/>
          <w:sz w:val="20"/>
          <w:szCs w:val="20"/>
        </w:rPr>
        <w:t xml:space="preserve"> </w:t>
      </w:r>
      <w:r w:rsidR="00C93BF7">
        <w:rPr>
          <w:rFonts w:ascii="Arial" w:hAnsi="Arial" w:cs="Arial"/>
          <w:sz w:val="20"/>
          <w:szCs w:val="20"/>
        </w:rPr>
        <w:t xml:space="preserve">z dnia </w:t>
      </w:r>
      <w:r w:rsidR="001550B9">
        <w:rPr>
          <w:rFonts w:ascii="Arial" w:hAnsi="Arial" w:cs="Arial"/>
          <w:sz w:val="20"/>
          <w:szCs w:val="20"/>
        </w:rPr>
        <w:t xml:space="preserve">26.03.2026 </w:t>
      </w:r>
      <w:r w:rsidR="00C93BF7">
        <w:rPr>
          <w:rFonts w:ascii="Arial" w:hAnsi="Arial" w:cs="Arial"/>
          <w:sz w:val="20"/>
          <w:szCs w:val="20"/>
        </w:rPr>
        <w:t>r.</w:t>
      </w:r>
    </w:p>
    <w:p w14:paraId="769C7740" w14:textId="46A64379" w:rsidR="005250E0" w:rsidRDefault="005250E0" w:rsidP="00C93BF7">
      <w:pPr>
        <w:spacing w:after="15"/>
        <w:jc w:val="right"/>
      </w:pPr>
    </w:p>
    <w:p w14:paraId="12AE6EF1" w14:textId="77777777" w:rsidR="00C93BF7" w:rsidRDefault="00C93BF7">
      <w:pPr>
        <w:spacing w:after="123"/>
        <w:ind w:left="10" w:right="60" w:hanging="10"/>
        <w:jc w:val="center"/>
        <w:rPr>
          <w:b/>
          <w:sz w:val="24"/>
        </w:rPr>
      </w:pPr>
    </w:p>
    <w:p w14:paraId="3E92ADDF" w14:textId="77777777" w:rsidR="00C93BF7" w:rsidRDefault="00C93BF7">
      <w:pPr>
        <w:spacing w:after="123"/>
        <w:ind w:left="10" w:right="60" w:hanging="10"/>
        <w:jc w:val="center"/>
        <w:rPr>
          <w:b/>
          <w:sz w:val="24"/>
        </w:rPr>
      </w:pPr>
    </w:p>
    <w:p w14:paraId="56224F70" w14:textId="77777777" w:rsidR="00C93BF7" w:rsidRDefault="00C93BF7">
      <w:pPr>
        <w:spacing w:after="123"/>
        <w:ind w:left="10" w:right="60" w:hanging="10"/>
        <w:jc w:val="center"/>
        <w:rPr>
          <w:b/>
          <w:sz w:val="24"/>
        </w:rPr>
      </w:pPr>
    </w:p>
    <w:p w14:paraId="6B97B7A0" w14:textId="1C25184F" w:rsidR="005250E0" w:rsidRDefault="004A2F80">
      <w:pPr>
        <w:spacing w:after="123"/>
        <w:ind w:left="10" w:right="60" w:hanging="10"/>
        <w:jc w:val="center"/>
      </w:pPr>
      <w:r>
        <w:rPr>
          <w:b/>
          <w:sz w:val="24"/>
        </w:rPr>
        <w:t xml:space="preserve">Aneks nr 1 do </w:t>
      </w:r>
    </w:p>
    <w:p w14:paraId="6C8BC1C9" w14:textId="72CDFC72" w:rsidR="001C4087" w:rsidRDefault="004A2F80" w:rsidP="001C4087">
      <w:pPr>
        <w:spacing w:after="0" w:line="276" w:lineRule="auto"/>
        <w:ind w:left="10" w:hanging="10"/>
        <w:jc w:val="center"/>
        <w:rPr>
          <w:bCs/>
          <w:sz w:val="24"/>
        </w:rPr>
      </w:pPr>
      <w:r w:rsidRPr="001C4087">
        <w:rPr>
          <w:b/>
          <w:sz w:val="24"/>
        </w:rPr>
        <w:t>Umowy o finansowaniu projekt</w:t>
      </w:r>
      <w:r w:rsidR="000D416D">
        <w:rPr>
          <w:b/>
          <w:sz w:val="24"/>
        </w:rPr>
        <w:t>u</w:t>
      </w:r>
      <w:r w:rsidRPr="001C4087">
        <w:rPr>
          <w:bCs/>
          <w:sz w:val="24"/>
        </w:rPr>
        <w:t xml:space="preserve"> </w:t>
      </w:r>
    </w:p>
    <w:p w14:paraId="7696A525" w14:textId="7654D88B" w:rsidR="001C4087" w:rsidRPr="001C4087" w:rsidRDefault="001C4087" w:rsidP="001C4087">
      <w:pPr>
        <w:spacing w:after="0" w:line="276" w:lineRule="auto"/>
        <w:ind w:left="10" w:hanging="10"/>
        <w:jc w:val="center"/>
        <w:rPr>
          <w:bCs/>
          <w:sz w:val="24"/>
        </w:rPr>
      </w:pPr>
      <w:r w:rsidRPr="001C4087">
        <w:rPr>
          <w:bCs/>
          <w:sz w:val="24"/>
        </w:rPr>
        <w:t xml:space="preserve">pn. „Instrumenty finansowe dla przedsiębiorstw FE SL 2021-2027” nr FESL 01.09-IZ.01-069/23-00 Działanie 1.9 Konkurencyjność przedsiębiorstw (IF) celu szczegółowego: EFRR.CP1.III Wzmacnianie trwałego wzrostu i konkurencyjności MŚP oraz tworzenie miejsc pracy w MŚP, w tym poprzez inwestycje produkcyjne, współfinansowanego w ramach </w:t>
      </w:r>
    </w:p>
    <w:p w14:paraId="43BC1909" w14:textId="0C4A8138" w:rsidR="005250E0" w:rsidRDefault="001C4087" w:rsidP="001C4087">
      <w:pPr>
        <w:spacing w:after="0" w:line="276" w:lineRule="auto"/>
        <w:ind w:left="10" w:hanging="10"/>
        <w:jc w:val="center"/>
        <w:rPr>
          <w:bCs/>
          <w:sz w:val="24"/>
        </w:rPr>
      </w:pPr>
      <w:r w:rsidRPr="001C4087">
        <w:rPr>
          <w:bCs/>
          <w:sz w:val="24"/>
        </w:rPr>
        <w:t>Programu Fundusze Europejskie dla Śląskiego 2021-2027</w:t>
      </w:r>
      <w:r w:rsidR="004A2F80" w:rsidRPr="001C4087">
        <w:rPr>
          <w:bCs/>
          <w:sz w:val="24"/>
        </w:rPr>
        <w:t xml:space="preserve"> </w:t>
      </w:r>
    </w:p>
    <w:p w14:paraId="3077FB58" w14:textId="77777777" w:rsidR="001C4087" w:rsidRPr="001C4087" w:rsidRDefault="001C4087" w:rsidP="001C4087">
      <w:pPr>
        <w:spacing w:after="0" w:line="276" w:lineRule="auto"/>
        <w:ind w:left="10" w:hanging="10"/>
        <w:jc w:val="center"/>
        <w:rPr>
          <w:bCs/>
        </w:rPr>
      </w:pPr>
    </w:p>
    <w:p w14:paraId="22195765" w14:textId="60429789" w:rsidR="005250E0" w:rsidRDefault="004A2F80">
      <w:pPr>
        <w:spacing w:after="82" w:line="403" w:lineRule="auto"/>
        <w:ind w:left="-5" w:right="572" w:hanging="10"/>
        <w:jc w:val="both"/>
      </w:pPr>
      <w:r>
        <w:rPr>
          <w:sz w:val="24"/>
        </w:rPr>
        <w:t>zawarty pomiędzy</w:t>
      </w:r>
      <w:r w:rsidR="001C4087">
        <w:rPr>
          <w:sz w:val="24"/>
        </w:rPr>
        <w:t>:</w:t>
      </w:r>
    </w:p>
    <w:p w14:paraId="7EEB388D" w14:textId="2BC990C7" w:rsidR="005250E0" w:rsidRPr="00141417" w:rsidRDefault="004A2F80" w:rsidP="00141417">
      <w:pPr>
        <w:spacing w:after="267" w:line="250" w:lineRule="auto"/>
        <w:ind w:left="-5" w:right="46" w:hanging="10"/>
        <w:jc w:val="both"/>
        <w:rPr>
          <w:bCs/>
        </w:rPr>
      </w:pPr>
      <w:r>
        <w:rPr>
          <w:b/>
          <w:sz w:val="24"/>
        </w:rPr>
        <w:t xml:space="preserve">Województwem </w:t>
      </w:r>
      <w:r w:rsidR="00141417">
        <w:rPr>
          <w:b/>
          <w:sz w:val="24"/>
        </w:rPr>
        <w:t>Śląskim</w:t>
      </w:r>
      <w:r>
        <w:rPr>
          <w:b/>
          <w:sz w:val="24"/>
        </w:rPr>
        <w:t xml:space="preserve"> </w:t>
      </w:r>
      <w:r>
        <w:rPr>
          <w:sz w:val="24"/>
        </w:rPr>
        <w:t xml:space="preserve">z siedzibą </w:t>
      </w:r>
      <w:r w:rsidR="00141417" w:rsidRPr="00141417">
        <w:rPr>
          <w:sz w:val="24"/>
        </w:rPr>
        <w:t>w Katowicach, ul. Juliusza Ligonia 46, 40-037 Katowice</w:t>
      </w:r>
      <w:r>
        <w:rPr>
          <w:sz w:val="24"/>
        </w:rPr>
        <w:t>,  reprezentowanym przez</w:t>
      </w:r>
      <w:r>
        <w:rPr>
          <w:b/>
          <w:sz w:val="24"/>
        </w:rPr>
        <w:t xml:space="preserve"> </w:t>
      </w:r>
      <w:r w:rsidRPr="00141417">
        <w:rPr>
          <w:b/>
          <w:sz w:val="24"/>
        </w:rPr>
        <w:t xml:space="preserve">Zarząd Województwa </w:t>
      </w:r>
      <w:r w:rsidR="00141417" w:rsidRPr="00141417">
        <w:rPr>
          <w:b/>
          <w:sz w:val="24"/>
        </w:rPr>
        <w:t>Śląskiego</w:t>
      </w:r>
      <w:r w:rsidRPr="00141417">
        <w:rPr>
          <w:bCs/>
          <w:sz w:val="24"/>
        </w:rPr>
        <w:t xml:space="preserve"> pełniący funkcję Instytucji Zarządzającej </w:t>
      </w:r>
      <w:r w:rsidR="009A6A02">
        <w:rPr>
          <w:bCs/>
          <w:iCs/>
          <w:sz w:val="24"/>
        </w:rPr>
        <w:t>P</w:t>
      </w:r>
      <w:r w:rsidRPr="00141417">
        <w:rPr>
          <w:bCs/>
          <w:iCs/>
          <w:sz w:val="24"/>
        </w:rPr>
        <w:t xml:space="preserve">rogramem Fundusze Europejskie dla </w:t>
      </w:r>
      <w:r w:rsidR="00141417" w:rsidRPr="00141417">
        <w:rPr>
          <w:bCs/>
          <w:iCs/>
          <w:sz w:val="24"/>
        </w:rPr>
        <w:t xml:space="preserve">Śląskiego </w:t>
      </w:r>
      <w:r w:rsidRPr="00141417">
        <w:rPr>
          <w:bCs/>
          <w:iCs/>
          <w:sz w:val="24"/>
        </w:rPr>
        <w:t>2021-2027</w:t>
      </w:r>
      <w:r w:rsidRPr="00141417">
        <w:rPr>
          <w:bCs/>
          <w:sz w:val="24"/>
        </w:rPr>
        <w:t xml:space="preserve">, </w:t>
      </w:r>
    </w:p>
    <w:p w14:paraId="61843A2E" w14:textId="43BAA44C" w:rsidR="00DC6367" w:rsidRDefault="00DC6367" w:rsidP="00DC6367">
      <w:pPr>
        <w:pStyle w:val="Akapitzlist"/>
        <w:numPr>
          <w:ilvl w:val="0"/>
          <w:numId w:val="3"/>
        </w:numPr>
        <w:spacing w:after="185" w:line="250" w:lineRule="auto"/>
      </w:pPr>
      <w:r w:rsidRPr="00DC6367">
        <w:rPr>
          <w:b/>
          <w:sz w:val="24"/>
        </w:rPr>
        <w:t>____________________________________ – ___________________________________,</w:t>
      </w:r>
      <w:r w:rsidRPr="00DC6367">
        <w:rPr>
          <w:sz w:val="24"/>
        </w:rPr>
        <w:t xml:space="preserve"> </w:t>
      </w:r>
    </w:p>
    <w:p w14:paraId="28B8EBC0" w14:textId="144858C9" w:rsidR="00DC6367" w:rsidRDefault="00DC6367" w:rsidP="00DC6367">
      <w:pPr>
        <w:pStyle w:val="Akapitzlist"/>
        <w:numPr>
          <w:ilvl w:val="0"/>
          <w:numId w:val="3"/>
        </w:numPr>
        <w:spacing w:after="185" w:line="250" w:lineRule="auto"/>
      </w:pPr>
      <w:r w:rsidRPr="00DC6367">
        <w:rPr>
          <w:b/>
          <w:sz w:val="24"/>
        </w:rPr>
        <w:t>____________________________________ – ___________________________________,</w:t>
      </w:r>
      <w:r w:rsidRPr="00DC6367">
        <w:rPr>
          <w:sz w:val="24"/>
        </w:rPr>
        <w:t xml:space="preserve"> </w:t>
      </w:r>
    </w:p>
    <w:p w14:paraId="4DC18804" w14:textId="77777777" w:rsidR="005250E0" w:rsidRDefault="004A2F80">
      <w:pPr>
        <w:spacing w:after="2" w:line="403" w:lineRule="auto"/>
        <w:ind w:left="-5" w:right="4985" w:hanging="10"/>
      </w:pPr>
      <w:r>
        <w:rPr>
          <w:sz w:val="24"/>
        </w:rPr>
        <w:t>zwanym dalej</w:t>
      </w:r>
      <w:r>
        <w:rPr>
          <w:b/>
          <w:sz w:val="24"/>
        </w:rPr>
        <w:t xml:space="preserve"> Instytucją Zarządzającą</w:t>
      </w:r>
      <w:r>
        <w:rPr>
          <w:sz w:val="24"/>
        </w:rPr>
        <w:t xml:space="preserve"> oraz </w:t>
      </w:r>
    </w:p>
    <w:p w14:paraId="148BDCCB" w14:textId="635A8764" w:rsidR="005250E0" w:rsidRDefault="004A2F80">
      <w:pPr>
        <w:spacing w:after="229" w:line="250" w:lineRule="auto"/>
        <w:ind w:left="-5" w:right="46" w:hanging="10"/>
        <w:jc w:val="both"/>
      </w:pPr>
      <w:r>
        <w:rPr>
          <w:b/>
          <w:sz w:val="24"/>
        </w:rPr>
        <w:t>Bankiem Gospodarstwa Krajowego</w:t>
      </w:r>
      <w:r>
        <w:rPr>
          <w:sz w:val="24"/>
        </w:rPr>
        <w:t>, działającym na podstawie ustawy z dnia 14 marca 2003 r. o Banku Gospodarstwa Krajowego i statutu Banku Gospodarstwa Krajowego, stanowiącego załącznik do rozporządzenia Ministra Rozwoju z dnia 16 września 2016 r. w sprawie nadania statutu Bankowi Gospodarstwa Krajowego, z siedzibą w Warszawie, Aleje Jerozolimskie 7, 00-955 Warszawa, NIP: 525-00-12-372, REGON: 000017319,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będącym dużym przedsiębiorcą w rozumieniu ustawy z dnia 8 marca 2013 r. o przeciwdziałaniu nadmiernym opóźnieniom w transakcjach handlowych, zwanym dalej „BGK” lub „</w:t>
      </w:r>
      <w:r>
        <w:rPr>
          <w:b/>
          <w:sz w:val="24"/>
        </w:rPr>
        <w:t xml:space="preserve">Beneficjentem” </w:t>
      </w:r>
      <w:r>
        <w:rPr>
          <w:sz w:val="24"/>
        </w:rPr>
        <w:t xml:space="preserve">reprezentowanym przez:  </w:t>
      </w:r>
    </w:p>
    <w:p w14:paraId="54A21B55" w14:textId="77589972" w:rsidR="005250E0" w:rsidRDefault="00DC6367" w:rsidP="00DC6367">
      <w:pPr>
        <w:pStyle w:val="Akapitzlist"/>
        <w:numPr>
          <w:ilvl w:val="0"/>
          <w:numId w:val="4"/>
        </w:numPr>
        <w:spacing w:after="185" w:line="250" w:lineRule="auto"/>
      </w:pPr>
      <w:r>
        <w:rPr>
          <w:b/>
          <w:sz w:val="24"/>
        </w:rPr>
        <w:t>Annę Gajewską</w:t>
      </w:r>
      <w:r w:rsidR="004A2F80" w:rsidRPr="00DC6367">
        <w:rPr>
          <w:b/>
          <w:sz w:val="24"/>
        </w:rPr>
        <w:t xml:space="preserve"> – </w:t>
      </w:r>
      <w:r>
        <w:rPr>
          <w:b/>
          <w:sz w:val="24"/>
        </w:rPr>
        <w:t>Dyrektor Departamentu Instrumentów Finansowych w BGK</w:t>
      </w:r>
      <w:r w:rsidR="004A2F80" w:rsidRPr="00DC6367">
        <w:rPr>
          <w:b/>
          <w:sz w:val="24"/>
        </w:rPr>
        <w:t>,</w:t>
      </w:r>
      <w:r w:rsidR="004A2F80" w:rsidRPr="00DC6367">
        <w:rPr>
          <w:sz w:val="24"/>
        </w:rPr>
        <w:t xml:space="preserve"> </w:t>
      </w:r>
    </w:p>
    <w:p w14:paraId="69FF5F92" w14:textId="2FE5CD8D" w:rsidR="005250E0" w:rsidRDefault="00DC6367" w:rsidP="00DC6367">
      <w:pPr>
        <w:pStyle w:val="Akapitzlist"/>
        <w:numPr>
          <w:ilvl w:val="0"/>
          <w:numId w:val="4"/>
        </w:numPr>
        <w:spacing w:after="185" w:line="250" w:lineRule="auto"/>
      </w:pPr>
      <w:r>
        <w:rPr>
          <w:b/>
          <w:sz w:val="24"/>
        </w:rPr>
        <w:t>Macieja Henk</w:t>
      </w:r>
      <w:r w:rsidR="002D7437">
        <w:rPr>
          <w:b/>
          <w:sz w:val="24"/>
        </w:rPr>
        <w:t>ie</w:t>
      </w:r>
      <w:r>
        <w:rPr>
          <w:b/>
          <w:sz w:val="24"/>
        </w:rPr>
        <w:t>la</w:t>
      </w:r>
      <w:r w:rsidR="004A2F80" w:rsidRPr="00DC6367">
        <w:rPr>
          <w:b/>
          <w:sz w:val="24"/>
        </w:rPr>
        <w:t xml:space="preserve"> – </w:t>
      </w:r>
      <w:r>
        <w:rPr>
          <w:b/>
          <w:sz w:val="24"/>
        </w:rPr>
        <w:t>Dyrektora Biura w Departamencie Instrumentów Finansowych w BGK</w:t>
      </w:r>
      <w:r w:rsidR="004A2F80" w:rsidRPr="00DC6367">
        <w:rPr>
          <w:b/>
          <w:sz w:val="24"/>
        </w:rPr>
        <w:t>,</w:t>
      </w:r>
      <w:r w:rsidR="004A2F80" w:rsidRPr="00DC6367">
        <w:rPr>
          <w:sz w:val="24"/>
        </w:rPr>
        <w:t xml:space="preserve"> </w:t>
      </w:r>
    </w:p>
    <w:p w14:paraId="57D84791" w14:textId="5EA9829E" w:rsidR="005250E0" w:rsidRDefault="005250E0" w:rsidP="00DC6367">
      <w:pPr>
        <w:spacing w:after="0"/>
      </w:pPr>
    </w:p>
    <w:p w14:paraId="1F3E65A9" w14:textId="0E569C93" w:rsidR="005250E0" w:rsidRDefault="004A2F80">
      <w:pPr>
        <w:spacing w:after="192" w:line="250" w:lineRule="auto"/>
        <w:ind w:left="-5" w:right="46" w:hanging="10"/>
        <w:jc w:val="both"/>
      </w:pPr>
      <w:r>
        <w:rPr>
          <w:sz w:val="24"/>
        </w:rPr>
        <w:t>działających na podstawie udzielonych pełnomocnictw załączonych do Umowy o Finansowaniu z dnia 1</w:t>
      </w:r>
      <w:r w:rsidR="00DC6367">
        <w:rPr>
          <w:sz w:val="24"/>
        </w:rPr>
        <w:t>8</w:t>
      </w:r>
      <w:r>
        <w:rPr>
          <w:sz w:val="24"/>
        </w:rPr>
        <w:t xml:space="preserve"> grudnia 2023 r. (zwanej dalej „Umową”),  </w:t>
      </w:r>
    </w:p>
    <w:p w14:paraId="37CED205" w14:textId="77777777" w:rsidR="005250E0" w:rsidRDefault="004A2F80">
      <w:pPr>
        <w:spacing w:after="300" w:line="250" w:lineRule="auto"/>
        <w:ind w:left="-5" w:right="46" w:hanging="10"/>
        <w:jc w:val="both"/>
      </w:pPr>
      <w:r>
        <w:rPr>
          <w:sz w:val="24"/>
        </w:rPr>
        <w:t>określanymi zależnie od kontekstu indywidualnie jako „</w:t>
      </w:r>
      <w:r>
        <w:rPr>
          <w:b/>
          <w:sz w:val="24"/>
        </w:rPr>
        <w:t>Strona</w:t>
      </w:r>
      <w:r>
        <w:rPr>
          <w:sz w:val="24"/>
        </w:rPr>
        <w:t>” i łącznie jako „</w:t>
      </w:r>
      <w:r>
        <w:rPr>
          <w:b/>
          <w:sz w:val="24"/>
        </w:rPr>
        <w:t>Strony</w:t>
      </w:r>
      <w:r>
        <w:rPr>
          <w:sz w:val="24"/>
        </w:rPr>
        <w:t xml:space="preserve">”. Strony zgodnie postanawiają, co następuje: </w:t>
      </w:r>
    </w:p>
    <w:p w14:paraId="523F5527" w14:textId="121DC86A" w:rsidR="00E11F86" w:rsidRDefault="00E11F86" w:rsidP="0015038D">
      <w:pPr>
        <w:spacing w:after="103"/>
      </w:pPr>
      <w:r>
        <w:rPr>
          <w:sz w:val="24"/>
        </w:rPr>
        <w:t xml:space="preserve">Działając na podstawie §22 ust. 4 Umowy, Strony postanawiają wprowadzić do Umowy następujące zmiany: </w:t>
      </w:r>
    </w:p>
    <w:p w14:paraId="2541E9CF" w14:textId="74CCCA56" w:rsidR="005250E0" w:rsidRDefault="004A2F80" w:rsidP="00FD4D8B">
      <w:pPr>
        <w:spacing w:before="120" w:after="120" w:line="240" w:lineRule="auto"/>
        <w:ind w:left="10" w:right="61" w:hanging="10"/>
        <w:jc w:val="center"/>
      </w:pPr>
      <w:r>
        <w:rPr>
          <w:sz w:val="24"/>
        </w:rPr>
        <w:lastRenderedPageBreak/>
        <w:t>§</w:t>
      </w:r>
      <w:r w:rsidR="00D23CE4">
        <w:rPr>
          <w:sz w:val="24"/>
        </w:rPr>
        <w:t xml:space="preserve"> </w:t>
      </w:r>
      <w:r>
        <w:rPr>
          <w:sz w:val="24"/>
        </w:rPr>
        <w:t xml:space="preserve">1 </w:t>
      </w:r>
    </w:p>
    <w:p w14:paraId="1A8D22EE" w14:textId="00CD753C" w:rsidR="005250E0" w:rsidRPr="00F326FB" w:rsidRDefault="00DC6367" w:rsidP="00FD4D8B">
      <w:pPr>
        <w:numPr>
          <w:ilvl w:val="0"/>
          <w:numId w:val="1"/>
        </w:numPr>
        <w:spacing w:before="120" w:after="120" w:line="240" w:lineRule="auto"/>
        <w:ind w:right="46" w:hanging="425"/>
        <w:jc w:val="both"/>
      </w:pPr>
      <w:r w:rsidRPr="00F326FB">
        <w:rPr>
          <w:sz w:val="24"/>
        </w:rPr>
        <w:t>Zmianie ulega n</w:t>
      </w:r>
      <w:r w:rsidR="00DE0A9C" w:rsidRPr="00F326FB">
        <w:rPr>
          <w:sz w:val="24"/>
        </w:rPr>
        <w:t>umer</w:t>
      </w:r>
      <w:r w:rsidRPr="00F326FB">
        <w:rPr>
          <w:sz w:val="24"/>
        </w:rPr>
        <w:t xml:space="preserve"> Umowy o finansowaniu</w:t>
      </w:r>
      <w:r w:rsidR="00DE0A9C" w:rsidRPr="00F326FB">
        <w:rPr>
          <w:sz w:val="24"/>
        </w:rPr>
        <w:t xml:space="preserve"> wskazany w jej tytule</w:t>
      </w:r>
      <w:r w:rsidRPr="00F326FB">
        <w:rPr>
          <w:sz w:val="24"/>
        </w:rPr>
        <w:t>, który otrzymuje brzmienie</w:t>
      </w:r>
      <w:r w:rsidR="004A2F80" w:rsidRPr="00F326FB">
        <w:rPr>
          <w:sz w:val="24"/>
        </w:rPr>
        <w:t xml:space="preserve">: </w:t>
      </w:r>
    </w:p>
    <w:p w14:paraId="1EDE02D3" w14:textId="43CE51AD" w:rsidR="005250E0" w:rsidRPr="00F326FB" w:rsidRDefault="00DC6367" w:rsidP="00FD4D8B">
      <w:pPr>
        <w:pStyle w:val="Akapitzlist"/>
        <w:spacing w:before="120" w:after="120" w:line="240" w:lineRule="auto"/>
        <w:ind w:left="425" w:right="-428"/>
        <w:contextualSpacing w:val="0"/>
        <w:textAlignment w:val="baseline"/>
        <w:rPr>
          <w:sz w:val="24"/>
        </w:rPr>
      </w:pPr>
      <w:r w:rsidRPr="00F326FB">
        <w:rPr>
          <w:rFonts w:eastAsia="+mn-ea"/>
          <w:kern w:val="24"/>
          <w:sz w:val="24"/>
        </w:rPr>
        <w:t>FESL.01.09-IZ.01-03EC/23</w:t>
      </w:r>
      <w:r w:rsidR="004A2F80" w:rsidRPr="00F326FB">
        <w:rPr>
          <w:sz w:val="24"/>
        </w:rPr>
        <w:t xml:space="preserve"> </w:t>
      </w:r>
    </w:p>
    <w:p w14:paraId="07B0A2B8" w14:textId="1E05853C" w:rsidR="00C70F7F" w:rsidRPr="00F326FB" w:rsidRDefault="00C70F7F" w:rsidP="00FD4D8B">
      <w:pPr>
        <w:spacing w:before="120" w:after="120" w:line="240" w:lineRule="auto"/>
        <w:ind w:left="10" w:right="61" w:hanging="10"/>
        <w:jc w:val="center"/>
      </w:pPr>
      <w:r w:rsidRPr="00F326FB">
        <w:rPr>
          <w:sz w:val="24"/>
        </w:rPr>
        <w:t>§</w:t>
      </w:r>
      <w:r w:rsidR="00D23CE4" w:rsidRPr="00F326FB">
        <w:rPr>
          <w:sz w:val="24"/>
        </w:rPr>
        <w:t xml:space="preserve"> </w:t>
      </w:r>
      <w:r w:rsidRPr="00F326FB">
        <w:rPr>
          <w:sz w:val="24"/>
        </w:rPr>
        <w:t xml:space="preserve">2 </w:t>
      </w:r>
    </w:p>
    <w:p w14:paraId="7E35BAC9" w14:textId="7AF8F96A" w:rsidR="00762497" w:rsidRPr="00F326FB" w:rsidRDefault="00C70F7F" w:rsidP="00FD4D8B">
      <w:pPr>
        <w:spacing w:before="120" w:after="120" w:line="240" w:lineRule="auto"/>
        <w:ind w:right="-428"/>
        <w:textAlignment w:val="baseline"/>
      </w:pPr>
      <w:r w:rsidRPr="00F326FB">
        <w:rPr>
          <w:rFonts w:eastAsia="+mn-ea"/>
          <w:kern w:val="24"/>
          <w:sz w:val="24"/>
        </w:rPr>
        <w:t xml:space="preserve">W Umowie wprowadza się następujące zmiany: </w:t>
      </w:r>
    </w:p>
    <w:p w14:paraId="2BE8A932" w14:textId="147EAB1C" w:rsidR="006A094F" w:rsidRDefault="006A094F" w:rsidP="006A094F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</w:pPr>
      <w:r w:rsidRPr="00F326FB">
        <w:rPr>
          <w:sz w:val="24"/>
        </w:rPr>
        <w:t>W §</w:t>
      </w:r>
      <w:r>
        <w:rPr>
          <w:sz w:val="24"/>
        </w:rPr>
        <w:t>6 ust.11</w:t>
      </w:r>
      <w:r w:rsidR="00302B63">
        <w:rPr>
          <w:sz w:val="24"/>
        </w:rPr>
        <w:t xml:space="preserve">, który </w:t>
      </w:r>
      <w:r>
        <w:rPr>
          <w:sz w:val="24"/>
        </w:rPr>
        <w:t>otrzymuje brzmienie</w:t>
      </w:r>
    </w:p>
    <w:p w14:paraId="17AFA10F" w14:textId="77F3AA66" w:rsidR="006A094F" w:rsidRPr="006A094F" w:rsidRDefault="006A094F" w:rsidP="006A094F">
      <w:pPr>
        <w:pStyle w:val="Akapitzlist"/>
        <w:spacing w:after="120"/>
        <w:contextualSpacing w:val="0"/>
        <w:jc w:val="both"/>
        <w:rPr>
          <w:sz w:val="24"/>
        </w:rPr>
      </w:pPr>
      <w:r>
        <w:rPr>
          <w:sz w:val="24"/>
        </w:rPr>
        <w:t xml:space="preserve">11. </w:t>
      </w:r>
      <w:r w:rsidRPr="006A094F">
        <w:rPr>
          <w:sz w:val="24"/>
        </w:rPr>
        <w:t>W przypadku stwierdzenia błędów formalnych, rachunkowych lub merytorycznych w złożonym Wniosku o Płatność, o ile to zasadne, IZ – w uzgodnieniu z BGK – może dokonać uzupełnienia lub poprawienia wniosku lub wzywa BGK do jego poprawienia, uzupełnienia lub złożenia dodatkowych wyjaśnień w wyznaczonym przez I</w:t>
      </w:r>
      <w:r w:rsidR="00EC1910">
        <w:rPr>
          <w:sz w:val="24"/>
        </w:rPr>
        <w:t>Z</w:t>
      </w:r>
      <w:r w:rsidRPr="006A094F">
        <w:rPr>
          <w:sz w:val="24"/>
        </w:rPr>
        <w:t xml:space="preserve"> terminie uwzględniającym zakres koniecznych do złożenia wyjaśnień/uzupełnień. Termin określony ust. 10 biegnie od daty złożenia przez BGK kompletnego Wniosku o Płatność.</w:t>
      </w:r>
    </w:p>
    <w:p w14:paraId="461F2C6C" w14:textId="5D5CFD34" w:rsidR="005250E0" w:rsidRPr="00F326FB" w:rsidRDefault="00762497" w:rsidP="00FD4D8B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</w:pPr>
      <w:r w:rsidRPr="00F326FB">
        <w:rPr>
          <w:sz w:val="24"/>
        </w:rPr>
        <w:t xml:space="preserve">W </w:t>
      </w:r>
      <w:r w:rsidR="004A2F80" w:rsidRPr="00F326FB">
        <w:rPr>
          <w:sz w:val="24"/>
        </w:rPr>
        <w:t xml:space="preserve">§7 </w:t>
      </w:r>
      <w:r w:rsidR="00FE7170" w:rsidRPr="00F326FB">
        <w:rPr>
          <w:sz w:val="24"/>
        </w:rPr>
        <w:t xml:space="preserve">ust. </w:t>
      </w:r>
      <w:r w:rsidR="00DC6367" w:rsidRPr="00F326FB">
        <w:rPr>
          <w:sz w:val="24"/>
        </w:rPr>
        <w:t>6</w:t>
      </w:r>
      <w:r w:rsidRPr="00F326FB">
        <w:rPr>
          <w:sz w:val="24"/>
        </w:rPr>
        <w:t>, który otrzymuje brzmienie</w:t>
      </w:r>
      <w:r w:rsidR="004A2F80" w:rsidRPr="00F326FB">
        <w:rPr>
          <w:sz w:val="24"/>
        </w:rPr>
        <w:t xml:space="preserve">: </w:t>
      </w:r>
    </w:p>
    <w:p w14:paraId="34F807EC" w14:textId="6511E242" w:rsidR="005250E0" w:rsidRPr="00F326FB" w:rsidRDefault="00DC6367" w:rsidP="00FD4D8B">
      <w:pPr>
        <w:spacing w:before="120" w:after="120" w:line="240" w:lineRule="auto"/>
        <w:ind w:left="709"/>
        <w:rPr>
          <w:sz w:val="24"/>
        </w:rPr>
      </w:pPr>
      <w:r w:rsidRPr="00F326FB">
        <w:rPr>
          <w:sz w:val="24"/>
        </w:rPr>
        <w:t>6</w:t>
      </w:r>
      <w:r w:rsidR="004A2F80" w:rsidRPr="00F326FB">
        <w:rPr>
          <w:sz w:val="24"/>
        </w:rPr>
        <w:t>. BGK będzie pobierał należne Opłaty za zarządzanie kwartalnie, do 30</w:t>
      </w:r>
      <w:r w:rsidR="009C5A91" w:rsidRPr="00F326FB">
        <w:rPr>
          <w:sz w:val="24"/>
        </w:rPr>
        <w:t>.</w:t>
      </w:r>
      <w:r w:rsidR="004A2F80" w:rsidRPr="00F326FB">
        <w:rPr>
          <w:sz w:val="24"/>
        </w:rPr>
        <w:t xml:space="preserve"> dnia po zakończeniu kwartału, w którym nabył uprawnienie do wynagrodzenia, z zastrzeżeniem ust. </w:t>
      </w:r>
      <w:r w:rsidR="00C90946" w:rsidRPr="00F326FB">
        <w:rPr>
          <w:sz w:val="24"/>
        </w:rPr>
        <w:t>7</w:t>
      </w:r>
      <w:r w:rsidR="004A2F80" w:rsidRPr="00F326FB">
        <w:rPr>
          <w:sz w:val="24"/>
        </w:rPr>
        <w:t xml:space="preserve">. </w:t>
      </w:r>
    </w:p>
    <w:p w14:paraId="4A2A33FE" w14:textId="6DE10E0F" w:rsidR="00010A3E" w:rsidRDefault="00010A3E" w:rsidP="00FD4D8B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  <w:rPr>
          <w:sz w:val="24"/>
        </w:rPr>
      </w:pPr>
      <w:r w:rsidRPr="00F326FB">
        <w:rPr>
          <w:sz w:val="24"/>
        </w:rPr>
        <w:t>W §9:</w:t>
      </w:r>
    </w:p>
    <w:p w14:paraId="7CCA206E" w14:textId="3EA14D33" w:rsidR="00CF0994" w:rsidRPr="00CF0994" w:rsidRDefault="00F22D88" w:rsidP="00CF0994">
      <w:pPr>
        <w:pStyle w:val="Akapitzlist"/>
        <w:numPr>
          <w:ilvl w:val="0"/>
          <w:numId w:val="21"/>
        </w:numPr>
        <w:spacing w:before="120" w:after="120" w:line="240" w:lineRule="auto"/>
        <w:ind w:right="46"/>
        <w:contextualSpacing w:val="0"/>
        <w:jc w:val="both"/>
        <w:rPr>
          <w:sz w:val="24"/>
        </w:rPr>
      </w:pPr>
      <w:r>
        <w:rPr>
          <w:iCs/>
          <w:sz w:val="24"/>
        </w:rPr>
        <w:t xml:space="preserve"> </w:t>
      </w:r>
      <w:r w:rsidR="00CF0994" w:rsidRPr="00CF0994">
        <w:rPr>
          <w:sz w:val="24"/>
        </w:rPr>
        <w:t xml:space="preserve">ust. 5 pkt 18, który otrzymuje brzmienie: </w:t>
      </w:r>
    </w:p>
    <w:p w14:paraId="714B20F5" w14:textId="77777777" w:rsidR="00CF0994" w:rsidRPr="00CF0994" w:rsidRDefault="00CF0994" w:rsidP="00CF0994">
      <w:pPr>
        <w:pStyle w:val="Akapitzlist"/>
        <w:spacing w:before="120" w:after="120" w:line="240" w:lineRule="auto"/>
        <w:ind w:left="786" w:right="46"/>
        <w:contextualSpacing w:val="0"/>
        <w:jc w:val="both"/>
        <w:rPr>
          <w:sz w:val="24"/>
        </w:rPr>
      </w:pPr>
      <w:r w:rsidRPr="00CF0994">
        <w:rPr>
          <w:sz w:val="24"/>
        </w:rPr>
        <w:t>18) zobowiązanie Partnera Finansującego do stosowania zasad w zakresie przetwarzania danych osobowych zgodnie z RODO oraz ogólnie obowiązującymi przepisami prawa.</w:t>
      </w:r>
    </w:p>
    <w:p w14:paraId="3506CEA9" w14:textId="4D1B7D96" w:rsidR="00F22D88" w:rsidRPr="00CF0994" w:rsidRDefault="00F22D88" w:rsidP="00F22D88">
      <w:pPr>
        <w:pStyle w:val="Akapitzlist"/>
        <w:numPr>
          <w:ilvl w:val="0"/>
          <w:numId w:val="21"/>
        </w:numPr>
        <w:spacing w:before="120" w:after="120" w:line="240" w:lineRule="auto"/>
        <w:ind w:right="46"/>
        <w:contextualSpacing w:val="0"/>
        <w:jc w:val="both"/>
        <w:rPr>
          <w:sz w:val="24"/>
        </w:rPr>
      </w:pPr>
      <w:r>
        <w:rPr>
          <w:iCs/>
          <w:sz w:val="24"/>
        </w:rPr>
        <w:t xml:space="preserve"> </w:t>
      </w:r>
      <w:r w:rsidRPr="00CF0994">
        <w:rPr>
          <w:sz w:val="24"/>
        </w:rPr>
        <w:t>ust. 6 pkt 10, który otrzymuje brzmienie:</w:t>
      </w:r>
    </w:p>
    <w:p w14:paraId="6132F5F8" w14:textId="77777777" w:rsidR="00F22D88" w:rsidRPr="00EE2FA8" w:rsidRDefault="00F22D88" w:rsidP="00F22D88">
      <w:pPr>
        <w:pStyle w:val="Akapitzlist"/>
        <w:spacing w:before="120" w:after="120" w:line="240" w:lineRule="auto"/>
        <w:ind w:left="786" w:right="46"/>
        <w:contextualSpacing w:val="0"/>
        <w:jc w:val="both"/>
        <w:rPr>
          <w:sz w:val="24"/>
        </w:rPr>
      </w:pPr>
      <w:r w:rsidRPr="00CF0994">
        <w:rPr>
          <w:sz w:val="24"/>
        </w:rPr>
        <w:t>10) informacje dotyczące przetwarzania danych osobowych zgodnie z RODO oraz ogólnie obowiązującymi przepisami prawa</w:t>
      </w:r>
    </w:p>
    <w:p w14:paraId="52F39A34" w14:textId="77777777" w:rsidR="00F11DC4" w:rsidRPr="00F326FB" w:rsidRDefault="00F11DC4" w:rsidP="00F11DC4">
      <w:pPr>
        <w:pStyle w:val="Akapitzlist"/>
        <w:spacing w:before="120" w:after="120" w:line="240" w:lineRule="auto"/>
        <w:ind w:left="426" w:right="46"/>
        <w:contextualSpacing w:val="0"/>
        <w:jc w:val="both"/>
        <w:rPr>
          <w:sz w:val="24"/>
        </w:rPr>
      </w:pPr>
    </w:p>
    <w:p w14:paraId="7B0D7707" w14:textId="5C204DEF" w:rsidR="00E70020" w:rsidRPr="00FD4D8B" w:rsidRDefault="00010A3E" w:rsidP="00FD4D8B">
      <w:pPr>
        <w:pStyle w:val="Akapitzlist"/>
        <w:numPr>
          <w:ilvl w:val="0"/>
          <w:numId w:val="11"/>
        </w:numPr>
        <w:spacing w:before="120" w:after="120" w:line="240" w:lineRule="auto"/>
        <w:ind w:left="426" w:right="46"/>
        <w:contextualSpacing w:val="0"/>
        <w:jc w:val="both"/>
        <w:rPr>
          <w:sz w:val="24"/>
        </w:rPr>
      </w:pPr>
      <w:r w:rsidRPr="00FD4D8B">
        <w:rPr>
          <w:sz w:val="24"/>
        </w:rPr>
        <w:t>W §11 ust. 3</w:t>
      </w:r>
      <w:r w:rsidR="00E70020" w:rsidRPr="00FD4D8B">
        <w:rPr>
          <w:sz w:val="24"/>
        </w:rPr>
        <w:t xml:space="preserve">: </w:t>
      </w:r>
    </w:p>
    <w:p w14:paraId="13215F76" w14:textId="1D204276" w:rsidR="00010A3E" w:rsidRPr="00F326FB" w:rsidRDefault="00010A3E" w:rsidP="00247C8C">
      <w:pPr>
        <w:pStyle w:val="Akapitzlist"/>
        <w:numPr>
          <w:ilvl w:val="0"/>
          <w:numId w:val="16"/>
        </w:numPr>
        <w:spacing w:before="120" w:after="120" w:line="240" w:lineRule="auto"/>
        <w:ind w:left="851" w:right="45"/>
        <w:contextualSpacing w:val="0"/>
        <w:jc w:val="both"/>
        <w:rPr>
          <w:sz w:val="24"/>
        </w:rPr>
      </w:pPr>
      <w:r w:rsidRPr="00F326FB">
        <w:rPr>
          <w:sz w:val="24"/>
        </w:rPr>
        <w:t>usuwa się pkt 2</w:t>
      </w:r>
      <w:r w:rsidR="00E70020" w:rsidRPr="00F326FB">
        <w:rPr>
          <w:sz w:val="24"/>
        </w:rPr>
        <w:t xml:space="preserve">. </w:t>
      </w:r>
    </w:p>
    <w:p w14:paraId="5744B5C2" w14:textId="3627FC69" w:rsidR="00010A3E" w:rsidRDefault="00E70020" w:rsidP="00247C8C">
      <w:pPr>
        <w:pStyle w:val="Akapitzlist"/>
        <w:numPr>
          <w:ilvl w:val="0"/>
          <w:numId w:val="16"/>
        </w:numPr>
        <w:spacing w:before="120" w:after="120" w:line="240" w:lineRule="auto"/>
        <w:ind w:left="851" w:right="45"/>
        <w:contextualSpacing w:val="0"/>
        <w:jc w:val="both"/>
        <w:rPr>
          <w:sz w:val="24"/>
        </w:rPr>
      </w:pPr>
      <w:r w:rsidRPr="00F326FB">
        <w:rPr>
          <w:sz w:val="24"/>
        </w:rPr>
        <w:t>dotychczasowy pkt 3 otrzymuje oznaczenie pkt 2.</w:t>
      </w:r>
    </w:p>
    <w:p w14:paraId="15BB5246" w14:textId="77777777" w:rsidR="00762497" w:rsidRDefault="00762497" w:rsidP="00FD4D8B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  <w:rPr>
          <w:sz w:val="24"/>
        </w:rPr>
      </w:pPr>
      <w:r w:rsidRPr="00F326FB">
        <w:rPr>
          <w:sz w:val="24"/>
        </w:rPr>
        <w:t>W</w:t>
      </w:r>
      <w:r w:rsidR="00C70F7F" w:rsidRPr="00F326FB">
        <w:rPr>
          <w:sz w:val="24"/>
        </w:rPr>
        <w:t xml:space="preserve"> </w:t>
      </w:r>
      <w:r w:rsidR="00FE7170" w:rsidRPr="00F326FB">
        <w:rPr>
          <w:sz w:val="24"/>
        </w:rPr>
        <w:t>§21</w:t>
      </w:r>
      <w:r w:rsidRPr="00F326FB">
        <w:rPr>
          <w:sz w:val="24"/>
        </w:rPr>
        <w:t xml:space="preserve">: </w:t>
      </w:r>
    </w:p>
    <w:p w14:paraId="1B8A777F" w14:textId="77777777" w:rsidR="007F3F0D" w:rsidRPr="00F326FB" w:rsidRDefault="007F3F0D" w:rsidP="007F3F0D">
      <w:pPr>
        <w:pStyle w:val="Akapitzlist"/>
        <w:numPr>
          <w:ilvl w:val="0"/>
          <w:numId w:val="28"/>
        </w:numPr>
        <w:spacing w:before="120" w:after="120" w:line="240" w:lineRule="auto"/>
        <w:ind w:right="46"/>
        <w:contextualSpacing w:val="0"/>
        <w:jc w:val="both"/>
        <w:rPr>
          <w:sz w:val="24"/>
        </w:rPr>
      </w:pPr>
      <w:r w:rsidRPr="00F326FB">
        <w:rPr>
          <w:sz w:val="24"/>
        </w:rPr>
        <w:t>ust. 10, który otrzymuje brzmienie:</w:t>
      </w:r>
    </w:p>
    <w:p w14:paraId="2A170214" w14:textId="77777777" w:rsidR="007F3F0D" w:rsidRPr="007F3F0D" w:rsidRDefault="007F3F0D" w:rsidP="007F3F0D">
      <w:pPr>
        <w:pStyle w:val="Akapitzlist"/>
        <w:spacing w:before="120" w:after="120" w:line="240" w:lineRule="auto"/>
        <w:rPr>
          <w:sz w:val="24"/>
        </w:rPr>
      </w:pPr>
      <w:r w:rsidRPr="007F3F0D">
        <w:rPr>
          <w:sz w:val="24"/>
        </w:rPr>
        <w:t xml:space="preserve">10. W przypadku potwierdzenia awarii CST2021 przez IZ, proces rozliczania Projektu oraz komunikacji z IZ odbywa się drogą elektroniczną za pośrednictwem systemu e-Doręczeń.  </w:t>
      </w:r>
    </w:p>
    <w:p w14:paraId="4FB782EB" w14:textId="32ADB816" w:rsidR="007F3F0D" w:rsidRPr="00F326FB" w:rsidRDefault="007F3F0D" w:rsidP="007F3F0D">
      <w:pPr>
        <w:pStyle w:val="Akapitzlist"/>
        <w:numPr>
          <w:ilvl w:val="0"/>
          <w:numId w:val="28"/>
        </w:numPr>
        <w:spacing w:before="120" w:after="120" w:line="240" w:lineRule="auto"/>
        <w:ind w:right="46"/>
        <w:contextualSpacing w:val="0"/>
        <w:jc w:val="both"/>
        <w:rPr>
          <w:sz w:val="24"/>
        </w:rPr>
      </w:pPr>
      <w:r w:rsidRPr="00F326FB">
        <w:rPr>
          <w:sz w:val="24"/>
        </w:rPr>
        <w:t>ust. 12, który otrzymuje brzmienie:</w:t>
      </w:r>
    </w:p>
    <w:p w14:paraId="4E26606A" w14:textId="77777777" w:rsidR="007F3F0D" w:rsidRPr="007F3F0D" w:rsidRDefault="007F3F0D" w:rsidP="007F3F0D">
      <w:pPr>
        <w:pStyle w:val="Akapitzlist"/>
        <w:spacing w:before="120" w:after="120" w:line="240" w:lineRule="auto"/>
        <w:rPr>
          <w:sz w:val="24"/>
        </w:rPr>
      </w:pPr>
      <w:r w:rsidRPr="007F3F0D">
        <w:rPr>
          <w:sz w:val="24"/>
        </w:rPr>
        <w:t>12. O usunięciu awarii CST2021 IZ informuje BGK na adres poczty elektronicznej wskazany we Wniosku o dofinansowanie. BGK zobowiązuje się uzupełnić dane w CST2021 w zakresie dokumentów przekazanych za pośrednictwem systemu e-Doręczeń niezwłocznie po otrzymaniu ww. informacji.</w:t>
      </w:r>
    </w:p>
    <w:p w14:paraId="542210CC" w14:textId="1B04A068" w:rsidR="007F3F0D" w:rsidRDefault="007F3F0D" w:rsidP="007F3F0D">
      <w:pPr>
        <w:pStyle w:val="Akapitzlist"/>
        <w:spacing w:before="120" w:after="120" w:line="240" w:lineRule="auto"/>
        <w:ind w:left="426" w:right="46"/>
        <w:contextualSpacing w:val="0"/>
        <w:jc w:val="both"/>
        <w:rPr>
          <w:sz w:val="24"/>
        </w:rPr>
      </w:pPr>
    </w:p>
    <w:p w14:paraId="56188013" w14:textId="1FF123DB" w:rsidR="0019176D" w:rsidRDefault="00762497" w:rsidP="007F3F0D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  <w:rPr>
          <w:sz w:val="24"/>
        </w:rPr>
      </w:pPr>
      <w:r w:rsidRPr="007F3F0D">
        <w:rPr>
          <w:sz w:val="24"/>
        </w:rPr>
        <w:lastRenderedPageBreak/>
        <w:t xml:space="preserve">W </w:t>
      </w:r>
      <w:r w:rsidR="00E70020" w:rsidRPr="007F3F0D">
        <w:rPr>
          <w:sz w:val="24"/>
        </w:rPr>
        <w:t xml:space="preserve">§22 ust. 5 dodaje się pkt d), który otrzymuje brzmienie: </w:t>
      </w:r>
    </w:p>
    <w:p w14:paraId="7C76ECFB" w14:textId="77777777" w:rsidR="006779F7" w:rsidRPr="006779F7" w:rsidRDefault="006779F7" w:rsidP="006779F7">
      <w:pPr>
        <w:spacing w:before="120" w:after="120" w:line="240" w:lineRule="auto"/>
        <w:ind w:left="360"/>
        <w:rPr>
          <w:sz w:val="24"/>
        </w:rPr>
      </w:pPr>
      <w:r w:rsidRPr="006779F7">
        <w:rPr>
          <w:sz w:val="24"/>
        </w:rPr>
        <w:t xml:space="preserve">d) zmiana zasad widoczności i komunikacji. </w:t>
      </w:r>
    </w:p>
    <w:p w14:paraId="0A835ABB" w14:textId="6FD5E9CA" w:rsidR="006779F7" w:rsidRDefault="006779F7" w:rsidP="006779F7">
      <w:pPr>
        <w:pStyle w:val="Akapitzlist"/>
        <w:spacing w:before="120" w:after="120" w:line="240" w:lineRule="auto"/>
        <w:ind w:left="426" w:right="46"/>
        <w:contextualSpacing w:val="0"/>
        <w:jc w:val="both"/>
        <w:rPr>
          <w:sz w:val="24"/>
        </w:rPr>
      </w:pPr>
    </w:p>
    <w:p w14:paraId="32319D93" w14:textId="60751501" w:rsidR="00C90946" w:rsidRPr="006779F7" w:rsidRDefault="00C90946" w:rsidP="006779F7">
      <w:pPr>
        <w:pStyle w:val="Akapitzlist"/>
        <w:numPr>
          <w:ilvl w:val="0"/>
          <w:numId w:val="11"/>
        </w:numPr>
        <w:spacing w:before="120" w:after="120" w:line="240" w:lineRule="auto"/>
        <w:ind w:left="426" w:right="46" w:hanging="426"/>
        <w:contextualSpacing w:val="0"/>
        <w:jc w:val="both"/>
        <w:rPr>
          <w:sz w:val="24"/>
        </w:rPr>
      </w:pPr>
      <w:r w:rsidRPr="006779F7">
        <w:rPr>
          <w:sz w:val="24"/>
        </w:rPr>
        <w:t>Zmianie ulegają Załącznik nr 2 „Strategia Inwestycyjna z biznesplanem” oraz Załącznik nr 3 „Zasady komunikacji i widoczności w Projekcie”, które</w:t>
      </w:r>
      <w:r w:rsidRPr="00F326FB">
        <w:t xml:space="preserve"> </w:t>
      </w:r>
      <w:r w:rsidRPr="006779F7">
        <w:rPr>
          <w:sz w:val="24"/>
        </w:rPr>
        <w:t>otrzymują brzmienie odpowiednio zgodne z: Załącznikiem nr 1 i Załącznikiem nr 2 do Aneksu.</w:t>
      </w:r>
    </w:p>
    <w:p w14:paraId="5C1D56D9" w14:textId="77777777" w:rsidR="00D23CE4" w:rsidRPr="00F326FB" w:rsidRDefault="00D23CE4" w:rsidP="00FD4D8B">
      <w:pPr>
        <w:pStyle w:val="Akapitzlist"/>
        <w:spacing w:before="120" w:after="120" w:line="240" w:lineRule="auto"/>
        <w:ind w:left="426"/>
        <w:contextualSpacing w:val="0"/>
        <w:rPr>
          <w:sz w:val="24"/>
        </w:rPr>
      </w:pPr>
    </w:p>
    <w:p w14:paraId="0EF047A4" w14:textId="6A95FEEF" w:rsidR="005250E0" w:rsidRPr="00F326FB" w:rsidRDefault="004A2F80" w:rsidP="00FD4D8B">
      <w:pPr>
        <w:spacing w:before="120" w:after="120" w:line="240" w:lineRule="auto"/>
        <w:ind w:left="10" w:right="63" w:hanging="10"/>
        <w:jc w:val="center"/>
        <w:rPr>
          <w:sz w:val="24"/>
        </w:rPr>
      </w:pPr>
      <w:r w:rsidRPr="00F326FB">
        <w:rPr>
          <w:sz w:val="24"/>
        </w:rPr>
        <w:t xml:space="preserve">§ </w:t>
      </w:r>
      <w:r w:rsidR="00D23CE4" w:rsidRPr="00F326FB">
        <w:rPr>
          <w:sz w:val="24"/>
        </w:rPr>
        <w:t xml:space="preserve">3 </w:t>
      </w:r>
    </w:p>
    <w:p w14:paraId="5AC49013" w14:textId="68DAA1CE" w:rsidR="00644DB5" w:rsidRPr="00F326FB" w:rsidRDefault="00644DB5" w:rsidP="00FD4D8B">
      <w:pPr>
        <w:spacing w:before="120" w:after="120" w:line="240" w:lineRule="auto"/>
        <w:ind w:left="10" w:right="63" w:hanging="10"/>
        <w:rPr>
          <w:sz w:val="24"/>
        </w:rPr>
      </w:pPr>
      <w:r w:rsidRPr="00F326FB">
        <w:rPr>
          <w:sz w:val="24"/>
        </w:rPr>
        <w:t>Pozostałe postanowienia Umowy pozostają bez zmian.</w:t>
      </w:r>
    </w:p>
    <w:p w14:paraId="0A15106C" w14:textId="77777777" w:rsidR="00662526" w:rsidRDefault="00662526" w:rsidP="00FD4D8B">
      <w:pPr>
        <w:spacing w:before="120" w:after="120" w:line="240" w:lineRule="auto"/>
        <w:ind w:left="-15" w:right="63"/>
        <w:jc w:val="center"/>
        <w:rPr>
          <w:sz w:val="24"/>
        </w:rPr>
      </w:pPr>
    </w:p>
    <w:p w14:paraId="412AC4CC" w14:textId="47DEEFFE" w:rsidR="00644DB5" w:rsidRPr="00F326FB" w:rsidRDefault="00644DB5" w:rsidP="00FD4D8B">
      <w:pPr>
        <w:spacing w:before="120" w:after="120" w:line="240" w:lineRule="auto"/>
        <w:ind w:left="-15" w:right="63"/>
        <w:jc w:val="center"/>
        <w:rPr>
          <w:sz w:val="24"/>
        </w:rPr>
      </w:pPr>
      <w:r w:rsidRPr="00F326FB">
        <w:rPr>
          <w:sz w:val="24"/>
        </w:rPr>
        <w:t xml:space="preserve">§ </w:t>
      </w:r>
      <w:r w:rsidR="00D23CE4" w:rsidRPr="00F326FB">
        <w:rPr>
          <w:sz w:val="24"/>
        </w:rPr>
        <w:t>4</w:t>
      </w:r>
    </w:p>
    <w:p w14:paraId="1812268C" w14:textId="77777777" w:rsidR="00644DB5" w:rsidRPr="00F326FB" w:rsidRDefault="00644DB5" w:rsidP="00FD4D8B">
      <w:pPr>
        <w:pStyle w:val="Akapitzlist"/>
        <w:numPr>
          <w:ilvl w:val="0"/>
          <w:numId w:val="7"/>
        </w:numPr>
        <w:spacing w:before="120" w:after="120" w:line="240" w:lineRule="auto"/>
        <w:ind w:left="340" w:hanging="357"/>
        <w:contextualSpacing w:val="0"/>
        <w:rPr>
          <w:sz w:val="24"/>
        </w:rPr>
      </w:pPr>
      <w:r w:rsidRPr="00F326FB">
        <w:rPr>
          <w:sz w:val="24"/>
        </w:rPr>
        <w:t xml:space="preserve">Aneks został sporządzony w jednym egzemplarzu udostępnionym elektronicznie, opatrzonym przez obie Strony bezpiecznym podpisem elektronicznym weryfikowanym przy pomocy ważnego kwalifikowanego certyfikatu. </w:t>
      </w:r>
    </w:p>
    <w:p w14:paraId="0B5D8687" w14:textId="77777777" w:rsidR="00644DB5" w:rsidRPr="00F326FB" w:rsidRDefault="00644DB5" w:rsidP="00FD4D8B">
      <w:pPr>
        <w:pStyle w:val="Akapitzlist"/>
        <w:numPr>
          <w:ilvl w:val="0"/>
          <w:numId w:val="7"/>
        </w:numPr>
        <w:spacing w:before="120" w:after="120" w:line="240" w:lineRule="auto"/>
        <w:ind w:right="46"/>
        <w:contextualSpacing w:val="0"/>
        <w:jc w:val="both"/>
        <w:rPr>
          <w:sz w:val="24"/>
        </w:rPr>
      </w:pPr>
      <w:r w:rsidRPr="00F326FB">
        <w:rPr>
          <w:sz w:val="24"/>
        </w:rPr>
        <w:t xml:space="preserve">Aneks wchodzi w życie z dniem jego podpisania przez Strony. </w:t>
      </w:r>
    </w:p>
    <w:p w14:paraId="26A160FA" w14:textId="77777777" w:rsidR="00644DB5" w:rsidRPr="00F326FB" w:rsidRDefault="00644DB5" w:rsidP="00FD4D8B">
      <w:pPr>
        <w:spacing w:before="120" w:after="120" w:line="240" w:lineRule="auto"/>
        <w:ind w:left="-15" w:right="63"/>
        <w:jc w:val="center"/>
      </w:pPr>
    </w:p>
    <w:p w14:paraId="3A007755" w14:textId="3BA939E4" w:rsidR="00C90946" w:rsidRPr="00F326FB" w:rsidRDefault="00C90946" w:rsidP="00FD4D8B">
      <w:pPr>
        <w:spacing w:before="120" w:after="120" w:line="240" w:lineRule="auto"/>
      </w:pPr>
    </w:p>
    <w:p w14:paraId="509D4B1A" w14:textId="77777777" w:rsidR="00C90946" w:rsidRDefault="00C90946" w:rsidP="00FD4D8B">
      <w:pPr>
        <w:spacing w:before="120" w:after="120" w:line="240" w:lineRule="auto"/>
        <w:rPr>
          <w:bCs/>
          <w:szCs w:val="22"/>
        </w:rPr>
      </w:pPr>
    </w:p>
    <w:p w14:paraId="2EC98BFA" w14:textId="195AEF5C" w:rsidR="00C90946" w:rsidRPr="00C90946" w:rsidRDefault="00C90946" w:rsidP="00FD4D8B">
      <w:pPr>
        <w:spacing w:before="120" w:after="120" w:line="240" w:lineRule="auto"/>
        <w:rPr>
          <w:bCs/>
          <w:i/>
          <w:iCs/>
          <w:szCs w:val="22"/>
        </w:rPr>
      </w:pPr>
      <w:r w:rsidRPr="00C90946">
        <w:rPr>
          <w:bCs/>
          <w:szCs w:val="22"/>
        </w:rPr>
        <w:t xml:space="preserve">Załącznik nr 1 do Aneksu – Załącznik nr 2 do Umowy </w:t>
      </w:r>
      <w:r w:rsidRPr="00F326FB">
        <w:rPr>
          <w:bCs/>
          <w:szCs w:val="22"/>
        </w:rPr>
        <w:t>„Strategia Inwestycyjna z biznesplanem”</w:t>
      </w:r>
    </w:p>
    <w:p w14:paraId="050BCF37" w14:textId="244910B3" w:rsidR="00C90946" w:rsidRPr="00C90946" w:rsidRDefault="00C90946" w:rsidP="00FD4D8B">
      <w:pPr>
        <w:keepNext/>
        <w:spacing w:before="120" w:after="120" w:line="240" w:lineRule="auto"/>
        <w:rPr>
          <w:bCs/>
          <w:szCs w:val="22"/>
        </w:rPr>
      </w:pPr>
      <w:r w:rsidRPr="00C90946">
        <w:rPr>
          <w:szCs w:val="22"/>
        </w:rPr>
        <w:t xml:space="preserve">Załącznik nr 2 do Aneksu </w:t>
      </w:r>
      <w:r w:rsidR="00E8681C" w:rsidRPr="00C90946">
        <w:rPr>
          <w:bCs/>
          <w:szCs w:val="22"/>
        </w:rPr>
        <w:t>–</w:t>
      </w:r>
      <w:r w:rsidRPr="00C90946">
        <w:rPr>
          <w:szCs w:val="22"/>
        </w:rPr>
        <w:t xml:space="preserve"> Załącznik nr 3 do Umowy „Zasady komunikacji i widoczności w Projekcie”</w:t>
      </w:r>
    </w:p>
    <w:p w14:paraId="6F374CE5" w14:textId="77777777" w:rsidR="00C90946" w:rsidRDefault="00C90946">
      <w:pPr>
        <w:spacing w:after="10" w:line="250" w:lineRule="auto"/>
        <w:ind w:left="-5" w:right="46" w:hanging="10"/>
        <w:jc w:val="both"/>
      </w:pPr>
    </w:p>
    <w:p w14:paraId="74AD200A" w14:textId="77777777" w:rsidR="005250E0" w:rsidRDefault="004A2F80">
      <w:pPr>
        <w:spacing w:after="0"/>
      </w:pPr>
      <w:r>
        <w:rPr>
          <w:sz w:val="24"/>
        </w:rPr>
        <w:t xml:space="preserve"> </w:t>
      </w:r>
    </w:p>
    <w:p w14:paraId="4E549D75" w14:textId="77777777" w:rsidR="00C90946" w:rsidRDefault="00C90946">
      <w:pPr>
        <w:spacing w:after="162"/>
        <w:rPr>
          <w:b/>
          <w:sz w:val="20"/>
        </w:rPr>
      </w:pPr>
    </w:p>
    <w:p w14:paraId="30B319B1" w14:textId="3D570481" w:rsidR="005250E0" w:rsidRDefault="004A2F80">
      <w:pPr>
        <w:spacing w:after="162"/>
      </w:pPr>
      <w:r>
        <w:rPr>
          <w:b/>
          <w:sz w:val="20"/>
        </w:rPr>
        <w:t xml:space="preserve">W imieniu Instytucji Zarządzającej                                                          W imieniu Banku Gospodarstwa Krajowego </w:t>
      </w:r>
    </w:p>
    <w:p w14:paraId="61ED7118" w14:textId="77777777" w:rsidR="005250E0" w:rsidRDefault="004A2F80">
      <w:pPr>
        <w:spacing w:after="199"/>
      </w:pPr>
      <w:r>
        <w:rPr>
          <w:b/>
          <w:sz w:val="20"/>
        </w:rPr>
        <w:t xml:space="preserve"> </w:t>
      </w:r>
    </w:p>
    <w:p w14:paraId="6D187EBB" w14:textId="77777777" w:rsidR="005250E0" w:rsidRDefault="004A2F80">
      <w:pPr>
        <w:spacing w:after="0"/>
      </w:pPr>
      <w:r>
        <w:rPr>
          <w:sz w:val="24"/>
        </w:rPr>
        <w:t xml:space="preserve"> </w:t>
      </w:r>
    </w:p>
    <w:sectPr w:rsidR="005250E0" w:rsidSect="001C4087">
      <w:footerReference w:type="first" r:id="rId10"/>
      <w:pgSz w:w="11906" w:h="16838"/>
      <w:pgMar w:top="714" w:right="1355" w:bottom="141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4377" w14:textId="77777777" w:rsidR="004E258F" w:rsidRDefault="004E258F" w:rsidP="001C4087">
      <w:pPr>
        <w:spacing w:after="0" w:line="240" w:lineRule="auto"/>
      </w:pPr>
      <w:r>
        <w:separator/>
      </w:r>
    </w:p>
  </w:endnote>
  <w:endnote w:type="continuationSeparator" w:id="0">
    <w:p w14:paraId="29C032AC" w14:textId="77777777" w:rsidR="004E258F" w:rsidRDefault="004E258F" w:rsidP="001C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D96" w14:textId="6B81C9F6" w:rsidR="001C4087" w:rsidRDefault="001C4087">
    <w:pPr>
      <w:pStyle w:val="Stopka"/>
    </w:pPr>
    <w:r>
      <w:rPr>
        <w:noProof/>
      </w:rPr>
      <w:drawing>
        <wp:inline distT="0" distB="0" distL="0" distR="0" wp14:anchorId="6D2DE497" wp14:editId="14A7695F">
          <wp:extent cx="5756275" cy="607060"/>
          <wp:effectExtent l="0" t="0" r="0" b="2540"/>
          <wp:docPr id="12931435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5700D" w14:textId="77777777" w:rsidR="004E258F" w:rsidRDefault="004E258F" w:rsidP="001C4087">
      <w:pPr>
        <w:spacing w:after="0" w:line="240" w:lineRule="auto"/>
      </w:pPr>
      <w:r>
        <w:separator/>
      </w:r>
    </w:p>
  </w:footnote>
  <w:footnote w:type="continuationSeparator" w:id="0">
    <w:p w14:paraId="66047508" w14:textId="77777777" w:rsidR="004E258F" w:rsidRDefault="004E258F" w:rsidP="001C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6B9C"/>
    <w:multiLevelType w:val="hybridMultilevel"/>
    <w:tmpl w:val="E4264ADC"/>
    <w:lvl w:ilvl="0" w:tplc="D0E80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65A6F"/>
    <w:multiLevelType w:val="hybridMultilevel"/>
    <w:tmpl w:val="5486217E"/>
    <w:lvl w:ilvl="0" w:tplc="41328178">
      <w:start w:val="1"/>
      <w:numFmt w:val="decimal"/>
      <w:lvlText w:val="%1."/>
      <w:lvlJc w:val="left"/>
      <w:pPr>
        <w:ind w:left="1065" w:hanging="705"/>
      </w:pPr>
      <w:rPr>
        <w:rFonts w:asciiTheme="minorHAnsi" w:hAnsiTheme="minorHAnsi" w:cstheme="minorHAnsi" w:hint="default"/>
      </w:rPr>
    </w:lvl>
    <w:lvl w:ilvl="1" w:tplc="8F12474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24C08"/>
    <w:multiLevelType w:val="hybridMultilevel"/>
    <w:tmpl w:val="E3AE4626"/>
    <w:lvl w:ilvl="0" w:tplc="0AC0DB6A">
      <w:start w:val="1"/>
      <w:numFmt w:val="decimal"/>
      <w:lvlText w:val="%1)"/>
      <w:lvlJc w:val="left"/>
      <w:pPr>
        <w:ind w:left="1145" w:hanging="360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0096663"/>
    <w:multiLevelType w:val="hybridMultilevel"/>
    <w:tmpl w:val="69E28C30"/>
    <w:lvl w:ilvl="0" w:tplc="FFFFFFFF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11B46C2A"/>
    <w:multiLevelType w:val="hybridMultilevel"/>
    <w:tmpl w:val="69E28C30"/>
    <w:lvl w:ilvl="0" w:tplc="2F88EF28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20591F95"/>
    <w:multiLevelType w:val="hybridMultilevel"/>
    <w:tmpl w:val="25AC8046"/>
    <w:lvl w:ilvl="0" w:tplc="F8488642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23A23885"/>
    <w:multiLevelType w:val="hybridMultilevel"/>
    <w:tmpl w:val="70142AAC"/>
    <w:lvl w:ilvl="0" w:tplc="8078FC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B6945"/>
    <w:multiLevelType w:val="hybridMultilevel"/>
    <w:tmpl w:val="8702C478"/>
    <w:lvl w:ilvl="0" w:tplc="80E40C4C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61117DD"/>
    <w:multiLevelType w:val="hybridMultilevel"/>
    <w:tmpl w:val="5C7099B8"/>
    <w:lvl w:ilvl="0" w:tplc="FFFFFFFF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4"/>
      <w:numFmt w:val="decimal"/>
      <w:lvlText w:val="%2."/>
      <w:lvlJc w:val="left"/>
      <w:pPr>
        <w:ind w:left="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F4DCB"/>
    <w:multiLevelType w:val="hybridMultilevel"/>
    <w:tmpl w:val="5BC4F9F6"/>
    <w:lvl w:ilvl="0" w:tplc="FCEEDA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239DC">
      <w:start w:val="1"/>
      <w:numFmt w:val="decimal"/>
      <w:lvlText w:val="%2)"/>
      <w:lvlJc w:val="left"/>
      <w:pPr>
        <w:ind w:left="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76430E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C9558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195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66FD0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03E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45F5E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E629C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0B012D"/>
    <w:multiLevelType w:val="hybridMultilevel"/>
    <w:tmpl w:val="B20E4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84EE7"/>
    <w:multiLevelType w:val="hybridMultilevel"/>
    <w:tmpl w:val="ED32327C"/>
    <w:lvl w:ilvl="0" w:tplc="D0E80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FE2D80"/>
    <w:multiLevelType w:val="hybridMultilevel"/>
    <w:tmpl w:val="2F42790C"/>
    <w:lvl w:ilvl="0" w:tplc="D0E80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AD3EB2"/>
    <w:multiLevelType w:val="hybridMultilevel"/>
    <w:tmpl w:val="E47060E0"/>
    <w:lvl w:ilvl="0" w:tplc="FD08B2CC">
      <w:start w:val="1"/>
      <w:numFmt w:val="decimal"/>
      <w:lvlText w:val="%1."/>
      <w:lvlJc w:val="left"/>
      <w:pPr>
        <w:ind w:left="720" w:hanging="360"/>
      </w:pPr>
    </w:lvl>
    <w:lvl w:ilvl="1" w:tplc="B0681A74">
      <w:start w:val="1"/>
      <w:numFmt w:val="decimal"/>
      <w:lvlText w:val="%2."/>
      <w:lvlJc w:val="left"/>
      <w:pPr>
        <w:ind w:left="720" w:hanging="360"/>
      </w:pPr>
    </w:lvl>
    <w:lvl w:ilvl="2" w:tplc="24124816">
      <w:start w:val="1"/>
      <w:numFmt w:val="decimal"/>
      <w:lvlText w:val="%3."/>
      <w:lvlJc w:val="left"/>
      <w:pPr>
        <w:ind w:left="720" w:hanging="360"/>
      </w:pPr>
    </w:lvl>
    <w:lvl w:ilvl="3" w:tplc="F8BAB662">
      <w:start w:val="1"/>
      <w:numFmt w:val="decimal"/>
      <w:lvlText w:val="%4."/>
      <w:lvlJc w:val="left"/>
      <w:pPr>
        <w:ind w:left="720" w:hanging="360"/>
      </w:pPr>
    </w:lvl>
    <w:lvl w:ilvl="4" w:tplc="6EB0BD1C">
      <w:start w:val="1"/>
      <w:numFmt w:val="decimal"/>
      <w:lvlText w:val="%5."/>
      <w:lvlJc w:val="left"/>
      <w:pPr>
        <w:ind w:left="720" w:hanging="360"/>
      </w:pPr>
    </w:lvl>
    <w:lvl w:ilvl="5" w:tplc="6F904E86">
      <w:start w:val="1"/>
      <w:numFmt w:val="decimal"/>
      <w:lvlText w:val="%6."/>
      <w:lvlJc w:val="left"/>
      <w:pPr>
        <w:ind w:left="720" w:hanging="360"/>
      </w:pPr>
    </w:lvl>
    <w:lvl w:ilvl="6" w:tplc="D80E44D6">
      <w:start w:val="1"/>
      <w:numFmt w:val="decimal"/>
      <w:lvlText w:val="%7."/>
      <w:lvlJc w:val="left"/>
      <w:pPr>
        <w:ind w:left="720" w:hanging="360"/>
      </w:pPr>
    </w:lvl>
    <w:lvl w:ilvl="7" w:tplc="18303F9E">
      <w:start w:val="1"/>
      <w:numFmt w:val="decimal"/>
      <w:lvlText w:val="%8."/>
      <w:lvlJc w:val="left"/>
      <w:pPr>
        <w:ind w:left="720" w:hanging="360"/>
      </w:pPr>
    </w:lvl>
    <w:lvl w:ilvl="8" w:tplc="EB56C2F0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FDD4467"/>
    <w:multiLevelType w:val="hybridMultilevel"/>
    <w:tmpl w:val="015A327A"/>
    <w:lvl w:ilvl="0" w:tplc="D0E80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225408D"/>
    <w:multiLevelType w:val="hybridMultilevel"/>
    <w:tmpl w:val="46582056"/>
    <w:lvl w:ilvl="0" w:tplc="F102836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842B0"/>
    <w:multiLevelType w:val="hybridMultilevel"/>
    <w:tmpl w:val="5C7099B8"/>
    <w:lvl w:ilvl="0" w:tplc="8DDE122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A6EE4">
      <w:start w:val="4"/>
      <w:numFmt w:val="decimal"/>
      <w:lvlText w:val="%2."/>
      <w:lvlJc w:val="left"/>
      <w:pPr>
        <w:ind w:left="83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C8D0C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40456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CABC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869E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8D642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540E62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EF466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C161CD4"/>
    <w:multiLevelType w:val="hybridMultilevel"/>
    <w:tmpl w:val="8AEC075A"/>
    <w:lvl w:ilvl="0" w:tplc="D0E80C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C231EB8"/>
    <w:multiLevelType w:val="hybridMultilevel"/>
    <w:tmpl w:val="7B002106"/>
    <w:lvl w:ilvl="0" w:tplc="27C2C272">
      <w:start w:val="1"/>
      <w:numFmt w:val="decimal"/>
      <w:lvlText w:val="%1."/>
      <w:lvlJc w:val="left"/>
      <w:pPr>
        <w:ind w:left="720" w:hanging="360"/>
      </w:pPr>
    </w:lvl>
    <w:lvl w:ilvl="1" w:tplc="04601890">
      <w:start w:val="1"/>
      <w:numFmt w:val="decimal"/>
      <w:lvlText w:val="%2."/>
      <w:lvlJc w:val="left"/>
      <w:pPr>
        <w:ind w:left="720" w:hanging="360"/>
      </w:pPr>
    </w:lvl>
    <w:lvl w:ilvl="2" w:tplc="CEA87C00">
      <w:start w:val="1"/>
      <w:numFmt w:val="decimal"/>
      <w:lvlText w:val="%3."/>
      <w:lvlJc w:val="left"/>
      <w:pPr>
        <w:ind w:left="720" w:hanging="360"/>
      </w:pPr>
    </w:lvl>
    <w:lvl w:ilvl="3" w:tplc="8BC20524">
      <w:start w:val="1"/>
      <w:numFmt w:val="decimal"/>
      <w:lvlText w:val="%4."/>
      <w:lvlJc w:val="left"/>
      <w:pPr>
        <w:ind w:left="720" w:hanging="360"/>
      </w:pPr>
    </w:lvl>
    <w:lvl w:ilvl="4" w:tplc="9F82B6B0">
      <w:start w:val="1"/>
      <w:numFmt w:val="decimal"/>
      <w:lvlText w:val="%5."/>
      <w:lvlJc w:val="left"/>
      <w:pPr>
        <w:ind w:left="720" w:hanging="360"/>
      </w:pPr>
    </w:lvl>
    <w:lvl w:ilvl="5" w:tplc="108A024E">
      <w:start w:val="1"/>
      <w:numFmt w:val="decimal"/>
      <w:lvlText w:val="%6."/>
      <w:lvlJc w:val="left"/>
      <w:pPr>
        <w:ind w:left="720" w:hanging="360"/>
      </w:pPr>
    </w:lvl>
    <w:lvl w:ilvl="6" w:tplc="B9242192">
      <w:start w:val="1"/>
      <w:numFmt w:val="decimal"/>
      <w:lvlText w:val="%7."/>
      <w:lvlJc w:val="left"/>
      <w:pPr>
        <w:ind w:left="720" w:hanging="360"/>
      </w:pPr>
    </w:lvl>
    <w:lvl w:ilvl="7" w:tplc="2250B6F0">
      <w:start w:val="1"/>
      <w:numFmt w:val="decimal"/>
      <w:lvlText w:val="%8."/>
      <w:lvlJc w:val="left"/>
      <w:pPr>
        <w:ind w:left="720" w:hanging="360"/>
      </w:pPr>
    </w:lvl>
    <w:lvl w:ilvl="8" w:tplc="B248026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4D5D2664"/>
    <w:multiLevelType w:val="hybridMultilevel"/>
    <w:tmpl w:val="E2EE83D6"/>
    <w:lvl w:ilvl="0" w:tplc="EC24BB2C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15E98"/>
    <w:multiLevelType w:val="hybridMultilevel"/>
    <w:tmpl w:val="D82CB4E0"/>
    <w:lvl w:ilvl="0" w:tplc="658C228C">
      <w:start w:val="3"/>
      <w:numFmt w:val="decimal"/>
      <w:lvlText w:val="%1."/>
      <w:lvlJc w:val="left"/>
      <w:pPr>
        <w:ind w:left="1429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F9623C"/>
    <w:multiLevelType w:val="hybridMultilevel"/>
    <w:tmpl w:val="445E3A86"/>
    <w:lvl w:ilvl="0" w:tplc="0D0250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46573"/>
    <w:multiLevelType w:val="hybridMultilevel"/>
    <w:tmpl w:val="915013A4"/>
    <w:lvl w:ilvl="0" w:tplc="C8EED90A">
      <w:start w:val="4"/>
      <w:numFmt w:val="decimal"/>
      <w:lvlText w:val="%1."/>
      <w:lvlJc w:val="left"/>
      <w:pPr>
        <w:ind w:left="345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766CC"/>
    <w:multiLevelType w:val="hybridMultilevel"/>
    <w:tmpl w:val="5114E278"/>
    <w:lvl w:ilvl="0" w:tplc="CEBEF8E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C112102"/>
    <w:multiLevelType w:val="hybridMultilevel"/>
    <w:tmpl w:val="E9D40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57D43"/>
    <w:multiLevelType w:val="hybridMultilevel"/>
    <w:tmpl w:val="A844B3C8"/>
    <w:lvl w:ilvl="0" w:tplc="D0E80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23042"/>
    <w:multiLevelType w:val="hybridMultilevel"/>
    <w:tmpl w:val="1690F18E"/>
    <w:lvl w:ilvl="0" w:tplc="92622BA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A15F2F"/>
    <w:multiLevelType w:val="hybridMultilevel"/>
    <w:tmpl w:val="86340CFE"/>
    <w:lvl w:ilvl="0" w:tplc="A9767EAC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19"/>
  </w:num>
  <w:num w:numId="6">
    <w:abstractNumId w:val="4"/>
  </w:num>
  <w:num w:numId="7">
    <w:abstractNumId w:val="3"/>
  </w:num>
  <w:num w:numId="8">
    <w:abstractNumId w:val="2"/>
  </w:num>
  <w:num w:numId="9">
    <w:abstractNumId w:val="20"/>
  </w:num>
  <w:num w:numId="10">
    <w:abstractNumId w:val="8"/>
  </w:num>
  <w:num w:numId="11">
    <w:abstractNumId w:val="26"/>
  </w:num>
  <w:num w:numId="12">
    <w:abstractNumId w:val="11"/>
  </w:num>
  <w:num w:numId="13">
    <w:abstractNumId w:val="12"/>
  </w:num>
  <w:num w:numId="14">
    <w:abstractNumId w:val="0"/>
  </w:num>
  <w:num w:numId="15">
    <w:abstractNumId w:val="6"/>
  </w:num>
  <w:num w:numId="16">
    <w:abstractNumId w:val="23"/>
  </w:num>
  <w:num w:numId="17">
    <w:abstractNumId w:val="15"/>
  </w:num>
  <w:num w:numId="18">
    <w:abstractNumId w:val="21"/>
  </w:num>
  <w:num w:numId="19">
    <w:abstractNumId w:val="22"/>
  </w:num>
  <w:num w:numId="20">
    <w:abstractNumId w:val="27"/>
  </w:num>
  <w:num w:numId="21">
    <w:abstractNumId w:val="17"/>
  </w:num>
  <w:num w:numId="22">
    <w:abstractNumId w:val="18"/>
  </w:num>
  <w:num w:numId="23">
    <w:abstractNumId w:val="13"/>
  </w:num>
  <w:num w:numId="24">
    <w:abstractNumId w:val="10"/>
  </w:num>
  <w:num w:numId="25">
    <w:abstractNumId w:val="14"/>
  </w:num>
  <w:num w:numId="26">
    <w:abstractNumId w:val="1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0E0"/>
    <w:rsid w:val="00010A3E"/>
    <w:rsid w:val="0002143E"/>
    <w:rsid w:val="000563E8"/>
    <w:rsid w:val="0005686B"/>
    <w:rsid w:val="00084E68"/>
    <w:rsid w:val="00097F66"/>
    <w:rsid w:val="000D416D"/>
    <w:rsid w:val="0012033E"/>
    <w:rsid w:val="00130F30"/>
    <w:rsid w:val="00141417"/>
    <w:rsid w:val="0014252A"/>
    <w:rsid w:val="0015038D"/>
    <w:rsid w:val="001550B9"/>
    <w:rsid w:val="00175B77"/>
    <w:rsid w:val="0019176D"/>
    <w:rsid w:val="001918FB"/>
    <w:rsid w:val="001B6D37"/>
    <w:rsid w:val="001C047A"/>
    <w:rsid w:val="001C4087"/>
    <w:rsid w:val="00237E2C"/>
    <w:rsid w:val="00247C8C"/>
    <w:rsid w:val="00250C4D"/>
    <w:rsid w:val="00263006"/>
    <w:rsid w:val="002C509E"/>
    <w:rsid w:val="002D7437"/>
    <w:rsid w:val="002F5B7A"/>
    <w:rsid w:val="00302B63"/>
    <w:rsid w:val="00305F4F"/>
    <w:rsid w:val="00355699"/>
    <w:rsid w:val="003669D4"/>
    <w:rsid w:val="00367AC5"/>
    <w:rsid w:val="00371635"/>
    <w:rsid w:val="003B4923"/>
    <w:rsid w:val="00425C71"/>
    <w:rsid w:val="00451AAE"/>
    <w:rsid w:val="0045772C"/>
    <w:rsid w:val="00475017"/>
    <w:rsid w:val="004A2F80"/>
    <w:rsid w:val="004B66AD"/>
    <w:rsid w:val="004C616F"/>
    <w:rsid w:val="004E258F"/>
    <w:rsid w:val="0051299B"/>
    <w:rsid w:val="005250E0"/>
    <w:rsid w:val="00541C96"/>
    <w:rsid w:val="00564FAD"/>
    <w:rsid w:val="005C04D3"/>
    <w:rsid w:val="005C066E"/>
    <w:rsid w:val="005E16B5"/>
    <w:rsid w:val="00644DB5"/>
    <w:rsid w:val="00662526"/>
    <w:rsid w:val="006779F7"/>
    <w:rsid w:val="006A094F"/>
    <w:rsid w:val="006A4022"/>
    <w:rsid w:val="006C0383"/>
    <w:rsid w:val="007144FF"/>
    <w:rsid w:val="0071676A"/>
    <w:rsid w:val="00730CE9"/>
    <w:rsid w:val="00762497"/>
    <w:rsid w:val="00762500"/>
    <w:rsid w:val="00762664"/>
    <w:rsid w:val="007761E3"/>
    <w:rsid w:val="00780563"/>
    <w:rsid w:val="007C4C1F"/>
    <w:rsid w:val="007E4EB2"/>
    <w:rsid w:val="007F3F0D"/>
    <w:rsid w:val="00802D76"/>
    <w:rsid w:val="0081237E"/>
    <w:rsid w:val="00841CE4"/>
    <w:rsid w:val="00881B99"/>
    <w:rsid w:val="00887FEA"/>
    <w:rsid w:val="008C0B6C"/>
    <w:rsid w:val="008D0689"/>
    <w:rsid w:val="009011A1"/>
    <w:rsid w:val="009043C5"/>
    <w:rsid w:val="00904A96"/>
    <w:rsid w:val="00956089"/>
    <w:rsid w:val="009821AA"/>
    <w:rsid w:val="009969B0"/>
    <w:rsid w:val="00996CB6"/>
    <w:rsid w:val="009A6633"/>
    <w:rsid w:val="009A6A02"/>
    <w:rsid w:val="009C5A91"/>
    <w:rsid w:val="009C655B"/>
    <w:rsid w:val="009E5CB0"/>
    <w:rsid w:val="009F35EC"/>
    <w:rsid w:val="00A107A7"/>
    <w:rsid w:val="00A42198"/>
    <w:rsid w:val="00A724E3"/>
    <w:rsid w:val="00A748A0"/>
    <w:rsid w:val="00A77D0E"/>
    <w:rsid w:val="00AD1A87"/>
    <w:rsid w:val="00AD3FB9"/>
    <w:rsid w:val="00AF7127"/>
    <w:rsid w:val="00B228D8"/>
    <w:rsid w:val="00B56C0C"/>
    <w:rsid w:val="00BA6961"/>
    <w:rsid w:val="00BA729C"/>
    <w:rsid w:val="00BB1A75"/>
    <w:rsid w:val="00BB2B8D"/>
    <w:rsid w:val="00BB2F10"/>
    <w:rsid w:val="00BD76FC"/>
    <w:rsid w:val="00C006DA"/>
    <w:rsid w:val="00C225A0"/>
    <w:rsid w:val="00C24C81"/>
    <w:rsid w:val="00C619A6"/>
    <w:rsid w:val="00C640C5"/>
    <w:rsid w:val="00C662CA"/>
    <w:rsid w:val="00C70F7F"/>
    <w:rsid w:val="00C72311"/>
    <w:rsid w:val="00C90946"/>
    <w:rsid w:val="00C93BF7"/>
    <w:rsid w:val="00CA560F"/>
    <w:rsid w:val="00CB36CF"/>
    <w:rsid w:val="00CC7011"/>
    <w:rsid w:val="00CD2B11"/>
    <w:rsid w:val="00CD7DDD"/>
    <w:rsid w:val="00CF0994"/>
    <w:rsid w:val="00CF6FA6"/>
    <w:rsid w:val="00D23CE4"/>
    <w:rsid w:val="00D41CF2"/>
    <w:rsid w:val="00D43E95"/>
    <w:rsid w:val="00D640FE"/>
    <w:rsid w:val="00D94956"/>
    <w:rsid w:val="00DA495C"/>
    <w:rsid w:val="00DB1161"/>
    <w:rsid w:val="00DC6367"/>
    <w:rsid w:val="00DE0A9C"/>
    <w:rsid w:val="00E11F86"/>
    <w:rsid w:val="00E13EA4"/>
    <w:rsid w:val="00E215FE"/>
    <w:rsid w:val="00E25F69"/>
    <w:rsid w:val="00E666B8"/>
    <w:rsid w:val="00E70020"/>
    <w:rsid w:val="00E8681C"/>
    <w:rsid w:val="00EB4D3C"/>
    <w:rsid w:val="00EC1910"/>
    <w:rsid w:val="00EE2FA8"/>
    <w:rsid w:val="00EF7401"/>
    <w:rsid w:val="00F10D28"/>
    <w:rsid w:val="00F11DC4"/>
    <w:rsid w:val="00F22D88"/>
    <w:rsid w:val="00F30367"/>
    <w:rsid w:val="00F31FC1"/>
    <w:rsid w:val="00F326FB"/>
    <w:rsid w:val="00F6639A"/>
    <w:rsid w:val="00F83A5E"/>
    <w:rsid w:val="00FD4D8B"/>
    <w:rsid w:val="00FE5433"/>
    <w:rsid w:val="00FE62FC"/>
    <w:rsid w:val="00FE7170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99E4"/>
  <w15:docId w15:val="{9D55A31B-E9A7-493F-BB3A-E8117B6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9B0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087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C4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087"/>
    <w:rPr>
      <w:rFonts w:ascii="Calibri" w:eastAsia="Calibri" w:hAnsi="Calibri" w:cs="Calibri"/>
      <w:color w:val="000000"/>
      <w:sz w:val="22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DC63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636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36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D416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28D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B2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B228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8D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475017"/>
    <w:pPr>
      <w:suppressAutoHyphens/>
      <w:spacing w:after="240" w:line="240" w:lineRule="auto"/>
      <w:ind w:left="567" w:hanging="567"/>
      <w:jc w:val="both"/>
    </w:pPr>
    <w:rPr>
      <w:rFonts w:ascii="Times New Roman" w:eastAsia="SimSun" w:hAnsi="Times New Roman" w:cs="Times New Roman"/>
      <w:color w:val="auto"/>
      <w:kern w:val="0"/>
      <w:sz w:val="24"/>
      <w:lang w:val="en-GB" w:eastAsia="ar-AE" w:bidi="ar-A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75017"/>
    <w:rPr>
      <w:rFonts w:ascii="Times New Roman" w:eastAsia="SimSun" w:hAnsi="Times New Roman" w:cs="Times New Roman"/>
      <w:kern w:val="0"/>
      <w:lang w:val="en-GB" w:eastAsia="ar-AE" w:bidi="ar-AE"/>
      <w14:ligatures w14:val="none"/>
    </w:rPr>
  </w:style>
  <w:style w:type="character" w:customStyle="1" w:styleId="t286pc">
    <w:name w:val="t286pc"/>
    <w:basedOn w:val="Domylnaczcionkaakapitu"/>
    <w:rsid w:val="003B4923"/>
  </w:style>
  <w:style w:type="character" w:styleId="Pogrubienie">
    <w:name w:val="Strong"/>
    <w:basedOn w:val="Domylnaczcionkaakapitu"/>
    <w:uiPriority w:val="22"/>
    <w:qFormat/>
    <w:rsid w:val="003B4923"/>
    <w:rPr>
      <w:b/>
      <w:bCs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37163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8" ma:contentTypeDescription="Utwórz nowy dokument." ma:contentTypeScope="" ma:versionID="a6e34be0ac1a425fc37af69b5684d6d7">
  <xsd:schema xmlns:xsd="http://www.w3.org/2001/XMLSchema" xmlns:xs="http://www.w3.org/2001/XMLSchema" xmlns:p="http://schemas.microsoft.com/office/2006/metadata/properties" xmlns:ns3="b584daaf-9842-403c-bac7-551cccf0a54f" xmlns:ns4="25bcd2da-a715-4ddd-94bc-493464f4da51" targetNamespace="http://schemas.microsoft.com/office/2006/metadata/properties" ma:root="true" ma:fieldsID="b3ba8f8a008ce6ccae3b71d69bef3411" ns3:_="" ns4:_="">
    <xsd:import namespace="b584daaf-9842-403c-bac7-551cccf0a54f"/>
    <xsd:import namespace="25bcd2da-a715-4ddd-94bc-493464f4da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CDCAF-63B5-4FB2-95D1-EE3C3D47D924}">
  <ds:schemaRefs>
    <ds:schemaRef ds:uri="http://schemas.microsoft.com/office/2006/metadata/properties"/>
    <ds:schemaRef ds:uri="http://schemas.microsoft.com/office/infopath/2007/PartnerControls"/>
    <ds:schemaRef ds:uri="25bcd2da-a715-4ddd-94bc-493464f4da51"/>
  </ds:schemaRefs>
</ds:datastoreItem>
</file>

<file path=customXml/itemProps2.xml><?xml version="1.0" encoding="utf-8"?>
<ds:datastoreItem xmlns:ds="http://schemas.openxmlformats.org/officeDocument/2006/customXml" ds:itemID="{A373A86C-0465-4EC2-AD8C-870D5503D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4daaf-9842-403c-bac7-551cccf0a54f"/>
    <ds:schemaRef ds:uri="25bcd2da-a715-4ddd-94bc-493464f4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17285F-EC0E-4E55-B897-96C9E8093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Leśniak, Krzysztof</dc:creator>
  <cp:keywords/>
  <cp:lastModifiedBy>Kwiatkowska Małgorzata</cp:lastModifiedBy>
  <cp:revision>8</cp:revision>
  <dcterms:created xsi:type="dcterms:W3CDTF">2026-02-25T13:31:00Z</dcterms:created>
  <dcterms:modified xsi:type="dcterms:W3CDTF">2026-03-27T10:12:00Z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2025-01-23T11:32:26Z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7604ba57-2313-419f-b1ce-fa6c2bd85ed1</vt:lpwstr>
  </property>
  <property fmtid="{D5CDD505-2E9C-101B-9397-08002B2CF9AE}" pid="8" name="MSIP_Label_c668bcff-e2d1-47e2-adc1-b3354af02961_ContentBits">
    <vt:lpwstr>0</vt:lpwstr>
  </property>
  <property fmtid="{D5CDD505-2E9C-101B-9397-08002B2CF9AE}" pid="9" name="ContentTypeId">
    <vt:lpwstr>0x010100BBBDD66057D22746B4AB3EE18E9C4CFC</vt:lpwstr>
  </property>
</Properties>
</file>