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F2D99" w14:textId="77777777" w:rsidR="000A63F5" w:rsidRPr="002364B5" w:rsidRDefault="142058E5" w:rsidP="5DE4F2F1">
      <w:pPr>
        <w:spacing w:line="276" w:lineRule="auto"/>
        <w:jc w:val="right"/>
        <w:rPr>
          <w:rFonts w:ascii="Arial" w:hAnsi="Arial" w:cs="Arial"/>
          <w:sz w:val="21"/>
          <w:szCs w:val="21"/>
        </w:rPr>
      </w:pPr>
      <w:r w:rsidRPr="5DE4F2F1">
        <w:rPr>
          <w:rFonts w:ascii="Arial" w:hAnsi="Arial" w:cs="Arial"/>
          <w:sz w:val="21"/>
          <w:szCs w:val="21"/>
        </w:rPr>
        <w:t>Załącznik</w:t>
      </w:r>
    </w:p>
    <w:p w14:paraId="063FD029" w14:textId="57FCE1BE" w:rsidR="000A63F5" w:rsidRPr="002364B5" w:rsidRDefault="142058E5" w:rsidP="00A56277">
      <w:pPr>
        <w:spacing w:line="276" w:lineRule="auto"/>
        <w:jc w:val="right"/>
        <w:rPr>
          <w:rFonts w:ascii="Arial" w:hAnsi="Arial" w:cs="Arial"/>
          <w:sz w:val="21"/>
          <w:szCs w:val="21"/>
        </w:rPr>
      </w:pPr>
      <w:r w:rsidRPr="002364B5">
        <w:rPr>
          <w:rFonts w:ascii="Arial" w:hAnsi="Arial" w:cs="Arial"/>
          <w:sz w:val="21"/>
          <w:szCs w:val="21"/>
        </w:rPr>
        <w:t xml:space="preserve">do Uchwały nr </w:t>
      </w:r>
      <w:r w:rsidR="00B235D3" w:rsidRPr="00B235D3">
        <w:rPr>
          <w:rFonts w:ascii="Arial" w:hAnsi="Arial" w:cs="Arial"/>
          <w:sz w:val="21"/>
          <w:szCs w:val="21"/>
        </w:rPr>
        <w:t>1652/181/VII/2026</w:t>
      </w:r>
    </w:p>
    <w:p w14:paraId="05F799BF" w14:textId="77777777" w:rsidR="000A63F5" w:rsidRPr="002364B5" w:rsidRDefault="142058E5" w:rsidP="00A56277">
      <w:pPr>
        <w:spacing w:line="276" w:lineRule="auto"/>
        <w:jc w:val="right"/>
        <w:rPr>
          <w:rFonts w:ascii="Arial" w:hAnsi="Arial" w:cs="Arial"/>
          <w:sz w:val="21"/>
          <w:szCs w:val="21"/>
        </w:rPr>
      </w:pPr>
      <w:r w:rsidRPr="002364B5">
        <w:rPr>
          <w:rFonts w:ascii="Arial" w:hAnsi="Arial" w:cs="Arial"/>
          <w:sz w:val="21"/>
          <w:szCs w:val="21"/>
        </w:rPr>
        <w:t>Zarządu Województwa Śląskiego</w:t>
      </w:r>
    </w:p>
    <w:p w14:paraId="10D770EE" w14:textId="60559892" w:rsidR="00572FE3" w:rsidRPr="00572FE3" w:rsidRDefault="142058E5" w:rsidP="00A56277">
      <w:pPr>
        <w:spacing w:line="276" w:lineRule="auto"/>
        <w:jc w:val="right"/>
        <w:rPr>
          <w:rFonts w:ascii="Arial" w:hAnsi="Arial" w:cs="Arial"/>
          <w:color w:val="000000" w:themeColor="text1"/>
          <w:sz w:val="21"/>
          <w:szCs w:val="21"/>
        </w:rPr>
      </w:pPr>
      <w:r w:rsidRPr="5DE4F2F1">
        <w:rPr>
          <w:rFonts w:ascii="Arial" w:hAnsi="Arial" w:cs="Arial"/>
          <w:color w:val="000000" w:themeColor="text1"/>
          <w:sz w:val="21"/>
          <w:szCs w:val="21"/>
        </w:rPr>
        <w:t xml:space="preserve">z </w:t>
      </w:r>
      <w:r w:rsidR="00B235D3">
        <w:rPr>
          <w:rFonts w:ascii="Arial" w:hAnsi="Arial" w:cs="Arial"/>
          <w:color w:val="000000" w:themeColor="text1"/>
          <w:sz w:val="21"/>
          <w:szCs w:val="21"/>
        </w:rPr>
        <w:t>06.08.</w:t>
      </w:r>
      <w:r w:rsidRPr="5DE4F2F1">
        <w:rPr>
          <w:rFonts w:ascii="Arial" w:hAnsi="Arial" w:cs="Arial"/>
          <w:color w:val="000000" w:themeColor="text1"/>
          <w:sz w:val="21"/>
          <w:szCs w:val="21"/>
        </w:rPr>
        <w:t>2026 r.</w:t>
      </w:r>
    </w:p>
    <w:p w14:paraId="6136D8B3" w14:textId="77777777" w:rsidR="00A56277" w:rsidRDefault="00A56277" w:rsidP="00572FE3">
      <w:pPr>
        <w:spacing w:after="240" w:line="276" w:lineRule="auto"/>
        <w:jc w:val="center"/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74F44D5E" w14:textId="1BC308BB" w:rsidR="5DE4F2F1" w:rsidRPr="00AB5463" w:rsidRDefault="142058E5" w:rsidP="00492818">
      <w:pPr>
        <w:pStyle w:val="Nagwek1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AB5463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UZASADNIENIE</w:t>
      </w:r>
    </w:p>
    <w:p w14:paraId="53D1D743" w14:textId="79B6B055" w:rsidR="5DE4F2F1" w:rsidRDefault="5DE4F2F1" w:rsidP="5DE4F2F1">
      <w:pPr>
        <w:spacing w:after="240" w:line="276" w:lineRule="auto"/>
        <w:jc w:val="center"/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6BA42DC8" w14:textId="77777777" w:rsidR="000A63F5" w:rsidRPr="00684C8A" w:rsidRDefault="142058E5" w:rsidP="5DE4F2F1">
      <w:pPr>
        <w:pStyle w:val="Nagwek2"/>
        <w:spacing w:line="259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684C8A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I. UZASADNIENIE FAKTYCZNE</w:t>
      </w:r>
    </w:p>
    <w:p w14:paraId="46F0D919" w14:textId="77777777" w:rsidR="00492818" w:rsidRPr="00492818" w:rsidRDefault="00492818" w:rsidP="00492818"/>
    <w:p w14:paraId="4039D4B1" w14:textId="59E83328" w:rsidR="000A63F5" w:rsidRPr="002364B5" w:rsidRDefault="142058E5" w:rsidP="00572FE3">
      <w:pPr>
        <w:spacing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>Podaniem z 7 stycznia 2026 r.</w:t>
      </w:r>
      <w:r w:rsidR="00FC0355" w:rsidRPr="002364B5">
        <w:rPr>
          <w:rStyle w:val="Odwoanieprzypisudolnego"/>
          <w:rFonts w:ascii="Arial" w:hAnsi="Arial" w:cs="Arial"/>
          <w:color w:val="000000" w:themeColor="text1"/>
          <w:sz w:val="21"/>
          <w:szCs w:val="21"/>
        </w:rPr>
        <w:footnoteReference w:id="1"/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 , uzupełnionym następnie pismem z 27 stycznia 2026 r.</w:t>
      </w:r>
      <w:r w:rsidR="00FC0355" w:rsidRPr="002364B5">
        <w:rPr>
          <w:rStyle w:val="Odwoanieprzypisudolnego"/>
          <w:rFonts w:ascii="Arial" w:hAnsi="Arial" w:cs="Arial"/>
          <w:color w:val="000000" w:themeColor="text1"/>
          <w:sz w:val="21"/>
          <w:szCs w:val="21"/>
        </w:rPr>
        <w:footnoteReference w:id="2"/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, </w:t>
      </w:r>
      <w:r w:rsidR="00AB5463">
        <w:rPr>
          <w:rFonts w:ascii="Arial" w:hAnsi="Arial" w:cs="Arial"/>
          <w:color w:val="000000" w:themeColor="text1"/>
          <w:sz w:val="21"/>
          <w:szCs w:val="21"/>
        </w:rPr>
        <w:br/>
      </w:r>
      <w:r w:rsidRPr="5DE4F2F1">
        <w:rPr>
          <w:rFonts w:ascii="Arial" w:hAnsi="Arial" w:cs="Arial"/>
          <w:color w:val="000000" w:themeColor="text1"/>
          <w:sz w:val="21"/>
          <w:szCs w:val="21"/>
        </w:rPr>
        <w:t xml:space="preserve">Pan </w:t>
      </w:r>
      <w:r w:rsidR="004918B4">
        <w:rPr>
          <w:rFonts w:ascii="Arial" w:hAnsi="Arial" w:cs="Arial"/>
          <w:color w:val="000000" w:themeColor="text1"/>
          <w:sz w:val="21"/>
          <w:szCs w:val="21"/>
        </w:rPr>
        <w:t>……………..</w:t>
      </w:r>
      <w:r w:rsidRPr="5DE4F2F1">
        <w:rPr>
          <w:rFonts w:ascii="Arial" w:hAnsi="Arial" w:cs="Arial"/>
          <w:color w:val="000000" w:themeColor="text1"/>
          <w:sz w:val="21"/>
          <w:szCs w:val="21"/>
        </w:rPr>
        <w:t>, na podstawie art. 13 ust. 3 ustawy z dnia 10 kwietnia 2003 r. o szczególnych zasadach przygotowania i realizacji inwestycji w zakresie dróg publicznych (</w:t>
      </w:r>
      <w:proofErr w:type="spellStart"/>
      <w:r w:rsidRPr="5DE4F2F1">
        <w:rPr>
          <w:rFonts w:ascii="Arial" w:hAnsi="Arial" w:cs="Arial"/>
          <w:color w:val="000000" w:themeColor="text1"/>
          <w:sz w:val="21"/>
          <w:szCs w:val="21"/>
        </w:rPr>
        <w:t>t.j</w:t>
      </w:r>
      <w:proofErr w:type="spellEnd"/>
      <w:r w:rsidRPr="5DE4F2F1">
        <w:rPr>
          <w:rFonts w:ascii="Arial" w:hAnsi="Arial" w:cs="Arial"/>
          <w:color w:val="000000" w:themeColor="text1"/>
          <w:sz w:val="21"/>
          <w:szCs w:val="21"/>
        </w:rPr>
        <w:t xml:space="preserve">. Dz. U. z 2024 r. poz. 311 ze zm.; dalej: </w:t>
      </w:r>
      <w:r w:rsidRPr="5DE4F2F1">
        <w:rPr>
          <w:rFonts w:ascii="Arial" w:hAnsi="Arial" w:cs="Arial"/>
          <w:i/>
          <w:iCs/>
          <w:color w:val="000000" w:themeColor="text1"/>
          <w:sz w:val="21"/>
          <w:szCs w:val="21"/>
        </w:rPr>
        <w:t>„specustawa drogowa”</w:t>
      </w:r>
      <w:r w:rsidRPr="5DE4F2F1">
        <w:rPr>
          <w:rFonts w:ascii="Arial" w:hAnsi="Arial" w:cs="Arial"/>
          <w:color w:val="000000" w:themeColor="text1"/>
          <w:sz w:val="21"/>
          <w:szCs w:val="21"/>
        </w:rPr>
        <w:t xml:space="preserve">), wystąpił o nabycie przez Województwo Śląskie nieruchomości położonej w gminie </w:t>
      </w:r>
      <w:r w:rsidR="004918B4">
        <w:rPr>
          <w:rFonts w:ascii="Arial" w:hAnsi="Arial" w:cs="Arial"/>
          <w:color w:val="000000" w:themeColor="text1"/>
          <w:sz w:val="21"/>
          <w:szCs w:val="21"/>
        </w:rPr>
        <w:t>………</w:t>
      </w:r>
      <w:r w:rsidRPr="5DE4F2F1">
        <w:rPr>
          <w:rFonts w:ascii="Arial" w:hAnsi="Arial" w:cs="Arial"/>
          <w:color w:val="000000" w:themeColor="text1"/>
          <w:sz w:val="21"/>
          <w:szCs w:val="21"/>
        </w:rPr>
        <w:t xml:space="preserve">, obręb </w:t>
      </w:r>
      <w:r w:rsidR="004918B4">
        <w:rPr>
          <w:rFonts w:ascii="Arial" w:hAnsi="Arial" w:cs="Arial"/>
          <w:color w:val="000000" w:themeColor="text1"/>
          <w:sz w:val="21"/>
          <w:szCs w:val="21"/>
        </w:rPr>
        <w:t>……………</w:t>
      </w:r>
      <w:r w:rsidRPr="5DE4F2F1">
        <w:rPr>
          <w:rFonts w:ascii="Arial" w:hAnsi="Arial" w:cs="Arial"/>
          <w:color w:val="000000" w:themeColor="text1"/>
          <w:sz w:val="21"/>
          <w:szCs w:val="21"/>
        </w:rPr>
        <w:t xml:space="preserve">, oznaczonej jako działki </w:t>
      </w:r>
      <w:r w:rsidR="00AB5463">
        <w:rPr>
          <w:rFonts w:ascii="Arial" w:hAnsi="Arial" w:cs="Arial"/>
          <w:color w:val="000000" w:themeColor="text1"/>
          <w:sz w:val="21"/>
          <w:szCs w:val="21"/>
        </w:rPr>
        <w:br/>
      </w:r>
      <w:r w:rsidRPr="5DE4F2F1">
        <w:rPr>
          <w:rFonts w:ascii="Arial" w:hAnsi="Arial" w:cs="Arial"/>
          <w:color w:val="000000" w:themeColor="text1"/>
          <w:sz w:val="21"/>
          <w:szCs w:val="21"/>
        </w:rPr>
        <w:t xml:space="preserve">nr </w:t>
      </w:r>
      <w:r w:rsidR="004918B4">
        <w:rPr>
          <w:rFonts w:ascii="Arial" w:hAnsi="Arial" w:cs="Arial"/>
          <w:color w:val="000000" w:themeColor="text1"/>
          <w:sz w:val="21"/>
          <w:szCs w:val="21"/>
        </w:rPr>
        <w:t>……..</w:t>
      </w:r>
      <w:r w:rsidRPr="5DE4F2F1">
        <w:rPr>
          <w:rFonts w:ascii="Arial" w:hAnsi="Arial" w:cs="Arial"/>
          <w:color w:val="000000" w:themeColor="text1"/>
          <w:sz w:val="21"/>
          <w:szCs w:val="21"/>
        </w:rPr>
        <w:t xml:space="preserve"> o pow. 0,1009 ha i nr </w:t>
      </w:r>
      <w:r w:rsidR="004918B4">
        <w:rPr>
          <w:rFonts w:ascii="Arial" w:hAnsi="Arial" w:cs="Arial"/>
          <w:color w:val="000000" w:themeColor="text1"/>
          <w:sz w:val="21"/>
          <w:szCs w:val="21"/>
        </w:rPr>
        <w:t>………</w:t>
      </w:r>
      <w:r w:rsidRPr="5DE4F2F1">
        <w:rPr>
          <w:rFonts w:ascii="Arial" w:hAnsi="Arial" w:cs="Arial"/>
          <w:color w:val="000000" w:themeColor="text1"/>
          <w:sz w:val="21"/>
          <w:szCs w:val="21"/>
        </w:rPr>
        <w:t xml:space="preserve"> o pow. 0,0143 ha.</w:t>
      </w:r>
    </w:p>
    <w:p w14:paraId="7CB8ACC4" w14:textId="2992D957" w:rsidR="000A63F5" w:rsidRPr="002364B5" w:rsidRDefault="142058E5" w:rsidP="00572FE3">
      <w:pPr>
        <w:spacing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5AC1E1BF">
        <w:rPr>
          <w:rFonts w:ascii="Arial" w:hAnsi="Arial" w:cs="Arial"/>
          <w:color w:val="000000" w:themeColor="text1"/>
          <w:sz w:val="21"/>
          <w:szCs w:val="21"/>
        </w:rPr>
        <w:t xml:space="preserve">W uzasadnieniu żądania wnioskodawca podniósł, że działki pierwotne nr </w:t>
      </w:r>
      <w:r w:rsidR="004918B4">
        <w:rPr>
          <w:rFonts w:ascii="Arial" w:hAnsi="Arial" w:cs="Arial"/>
          <w:color w:val="000000" w:themeColor="text1"/>
          <w:sz w:val="21"/>
          <w:szCs w:val="21"/>
        </w:rPr>
        <w:t>…….</w:t>
      </w:r>
      <w:r w:rsidRPr="5AC1E1BF">
        <w:rPr>
          <w:rFonts w:ascii="Arial" w:hAnsi="Arial" w:cs="Arial"/>
          <w:color w:val="000000" w:themeColor="text1"/>
          <w:sz w:val="21"/>
          <w:szCs w:val="21"/>
        </w:rPr>
        <w:t xml:space="preserve"> i </w:t>
      </w:r>
      <w:r w:rsidR="004918B4">
        <w:rPr>
          <w:rFonts w:ascii="Arial" w:hAnsi="Arial" w:cs="Arial"/>
          <w:color w:val="000000" w:themeColor="text1"/>
          <w:sz w:val="21"/>
          <w:szCs w:val="21"/>
        </w:rPr>
        <w:t>……..</w:t>
      </w:r>
      <w:r w:rsidRPr="5AC1E1BF">
        <w:rPr>
          <w:rFonts w:ascii="Arial" w:hAnsi="Arial" w:cs="Arial"/>
          <w:color w:val="000000" w:themeColor="text1"/>
          <w:sz w:val="21"/>
          <w:szCs w:val="21"/>
        </w:rPr>
        <w:t xml:space="preserve"> do momentu ich podziału stanowiły grunty rolne wykorzystywane do uprawy zbóż i warzyw, a po podziale utraciły możliwość racjonalnego wykorzystania z uwagi na: niewielką powierzchnię, trudności z dojazdem </w:t>
      </w:r>
      <w:r>
        <w:br/>
      </w:r>
      <w:r w:rsidRPr="5AC1E1BF">
        <w:rPr>
          <w:rFonts w:ascii="Arial" w:hAnsi="Arial" w:cs="Arial"/>
          <w:color w:val="000000" w:themeColor="text1"/>
          <w:sz w:val="21"/>
          <w:szCs w:val="21"/>
        </w:rPr>
        <w:t>i odległość od zabudowań, kształt utrudniający wykorzystanie współczesnego sprzętu rolniczego, nieopłacalność ekonomiczną uprawy tak małego areału, utrudnienia spowodowane pracami budowlanymi i brakiem wyznaczonego dojazdu oraz ograniczenie produkcji rozsad</w:t>
      </w:r>
      <w:r w:rsidR="007C4CB4">
        <w:rPr>
          <w:rFonts w:ascii="Arial" w:hAnsi="Arial" w:cs="Arial"/>
          <w:color w:val="000000" w:themeColor="text1"/>
          <w:sz w:val="21"/>
          <w:szCs w:val="21"/>
        </w:rPr>
        <w:t>y</w:t>
      </w:r>
      <w:r w:rsidRPr="5AC1E1BF">
        <w:rPr>
          <w:rFonts w:ascii="Arial" w:hAnsi="Arial" w:cs="Arial"/>
          <w:color w:val="000000" w:themeColor="text1"/>
          <w:sz w:val="21"/>
          <w:szCs w:val="21"/>
        </w:rPr>
        <w:t xml:space="preserve"> warzyw </w:t>
      </w:r>
      <w:r>
        <w:br/>
      </w:r>
      <w:r w:rsidRPr="5AC1E1BF">
        <w:rPr>
          <w:rFonts w:ascii="Arial" w:hAnsi="Arial" w:cs="Arial"/>
          <w:color w:val="000000" w:themeColor="text1"/>
          <w:sz w:val="21"/>
          <w:szCs w:val="21"/>
        </w:rPr>
        <w:t>z powodu zapylenia terenu. Oświadczył nadto, że nie jest właścicielem innej nieruchomości położonej w pobliżu wnioskowanych działek lub przylegającej do nich, jak również</w:t>
      </w:r>
      <w:r w:rsidR="3DA97DFD" w:rsidRPr="5AC1E1BF">
        <w:rPr>
          <w:rFonts w:ascii="Arial" w:hAnsi="Arial" w:cs="Arial"/>
          <w:color w:val="000000" w:themeColor="text1"/>
          <w:sz w:val="21"/>
          <w:szCs w:val="21"/>
        </w:rPr>
        <w:t xml:space="preserve">, </w:t>
      </w:r>
      <w:r w:rsidRPr="5AC1E1BF">
        <w:rPr>
          <w:rFonts w:ascii="Arial" w:hAnsi="Arial" w:cs="Arial"/>
          <w:color w:val="000000" w:themeColor="text1"/>
          <w:sz w:val="21"/>
          <w:szCs w:val="21"/>
        </w:rPr>
        <w:t>że nie jest prowadzone postępowanie scaleniowo-wymienne.</w:t>
      </w:r>
    </w:p>
    <w:p w14:paraId="1B5DA4E9" w14:textId="18F78438" w:rsidR="000A63F5" w:rsidRPr="002364B5" w:rsidRDefault="142058E5" w:rsidP="00572FE3">
      <w:pPr>
        <w:spacing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Nieruchomość oznaczona jako działki nr </w:t>
      </w:r>
      <w:r w:rsidR="005C0DC5">
        <w:rPr>
          <w:rFonts w:ascii="Arial" w:hAnsi="Arial" w:cs="Arial"/>
          <w:color w:val="000000" w:themeColor="text1"/>
          <w:sz w:val="21"/>
          <w:szCs w:val="21"/>
        </w:rPr>
        <w:t>……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 i </w:t>
      </w:r>
      <w:r w:rsidR="005C0DC5">
        <w:rPr>
          <w:rFonts w:ascii="Arial" w:hAnsi="Arial" w:cs="Arial"/>
          <w:color w:val="000000" w:themeColor="text1"/>
          <w:sz w:val="21"/>
          <w:szCs w:val="21"/>
        </w:rPr>
        <w:t>…….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 powstała w wyniku zatwierdzenia – decyzją Wojewody Śląskiego nr 4/2023/ZRID z 23 marca 2023 r. (znak: IFXIII.7820.24.2022) o zezwoleniu na realizację inwestycji drogowej pn. </w:t>
      </w:r>
      <w:r w:rsidRPr="002364B5">
        <w:rPr>
          <w:rFonts w:ascii="Arial" w:hAnsi="Arial" w:cs="Arial"/>
          <w:i/>
          <w:iCs/>
          <w:color w:val="000000" w:themeColor="text1"/>
          <w:sz w:val="21"/>
          <w:szCs w:val="21"/>
        </w:rPr>
        <w:t>„Budowa mostu nad rzeką Odrą w ciągu drogi wojewódzkiej nr 421 – dokumentacja projektowa wraz z pełnieniem nadzoru autorskiego”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 (dalej: </w:t>
      </w:r>
      <w:r w:rsidRPr="002364B5">
        <w:rPr>
          <w:rFonts w:ascii="Arial" w:hAnsi="Arial" w:cs="Arial"/>
          <w:i/>
          <w:iCs/>
          <w:color w:val="000000" w:themeColor="text1"/>
          <w:sz w:val="21"/>
          <w:szCs w:val="21"/>
        </w:rPr>
        <w:t>„decyzja ZRID”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) – podziału nieruchomości oznaczonych jako działki nr </w:t>
      </w:r>
      <w:r w:rsidR="005C0DC5">
        <w:rPr>
          <w:rFonts w:ascii="Arial" w:hAnsi="Arial" w:cs="Arial"/>
          <w:color w:val="000000" w:themeColor="text1"/>
          <w:sz w:val="21"/>
          <w:szCs w:val="21"/>
        </w:rPr>
        <w:t>……….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, z których wydzielone zostały również działki nr: </w:t>
      </w:r>
      <w:r w:rsidR="005C0DC5">
        <w:rPr>
          <w:rFonts w:ascii="Arial" w:hAnsi="Arial" w:cs="Arial"/>
          <w:color w:val="000000" w:themeColor="text1"/>
          <w:sz w:val="21"/>
          <w:szCs w:val="21"/>
        </w:rPr>
        <w:t>…………..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przeznaczone pod realizację inwestycji drogowej, które z mocy prawa stały się własnością Województwa Śląskiego (art. 12 ust. 4 pkt 2 specustawy drogowej). Decyzja ZRID stała się ostateczna z 16 września 2025 r. Działki nr </w:t>
      </w:r>
      <w:r w:rsidR="005C0DC5">
        <w:rPr>
          <w:rFonts w:ascii="Arial" w:hAnsi="Arial" w:cs="Arial"/>
          <w:color w:val="000000" w:themeColor="text1"/>
          <w:sz w:val="21"/>
          <w:szCs w:val="21"/>
        </w:rPr>
        <w:t>………..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, pozostające własnością wnioskodawcy, stanowią zatem pozostałą część nieruchomości w rozumieniu art. 13 ust. 3 specustawy drogowej (tzw. </w:t>
      </w:r>
      <w:r w:rsidRPr="002364B5">
        <w:rPr>
          <w:rFonts w:ascii="Arial" w:hAnsi="Arial" w:cs="Arial"/>
          <w:i/>
          <w:iCs/>
          <w:color w:val="000000" w:themeColor="text1"/>
          <w:sz w:val="21"/>
          <w:szCs w:val="21"/>
        </w:rPr>
        <w:t>„resztówkę”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>).</w:t>
      </w:r>
    </w:p>
    <w:p w14:paraId="3EE18A2E" w14:textId="112D34CB" w:rsidR="00D40A09" w:rsidRDefault="142058E5" w:rsidP="00572FE3">
      <w:pPr>
        <w:spacing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W toku badania sprawy przez zarządcę drogi wojewódzkiej nr 421, tj. Zarząd Województwa Śląskiego, ustalono, że działka pierwotna nr </w:t>
      </w:r>
      <w:r w:rsidR="005C0DC5">
        <w:rPr>
          <w:rFonts w:ascii="Arial" w:hAnsi="Arial" w:cs="Arial"/>
          <w:color w:val="000000" w:themeColor="text1"/>
          <w:sz w:val="21"/>
          <w:szCs w:val="21"/>
        </w:rPr>
        <w:t>………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 posiadała dostęp do drogi publicznej przez urządzony zjazd z drogi powiatowej (ul. Młyńska), a dojazd do działki nr </w:t>
      </w:r>
      <w:r w:rsidR="00296763">
        <w:rPr>
          <w:rFonts w:ascii="Arial" w:hAnsi="Arial" w:cs="Arial"/>
          <w:color w:val="000000" w:themeColor="text1"/>
          <w:sz w:val="21"/>
          <w:szCs w:val="21"/>
        </w:rPr>
        <w:t>…..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 realizowany </w:t>
      </w:r>
      <w:r w:rsidR="001E7E15">
        <w:rPr>
          <w:rFonts w:ascii="Arial" w:hAnsi="Arial" w:cs="Arial"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był przez działkę nr </w:t>
      </w:r>
      <w:r w:rsidR="00296763">
        <w:rPr>
          <w:rFonts w:ascii="Arial" w:hAnsi="Arial" w:cs="Arial"/>
          <w:color w:val="000000" w:themeColor="text1"/>
          <w:sz w:val="21"/>
          <w:szCs w:val="21"/>
        </w:rPr>
        <w:t>…….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. Po zakończeniu inwestycji działka nr </w:t>
      </w:r>
      <w:r w:rsidR="00296763">
        <w:rPr>
          <w:rFonts w:ascii="Arial" w:hAnsi="Arial" w:cs="Arial"/>
          <w:color w:val="000000" w:themeColor="text1"/>
          <w:sz w:val="21"/>
          <w:szCs w:val="21"/>
        </w:rPr>
        <w:t>……..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 będzie posiadała dojazd </w:t>
      </w:r>
      <w:r w:rsidR="001E7E15">
        <w:rPr>
          <w:rFonts w:ascii="Arial" w:hAnsi="Arial" w:cs="Arial"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z wybudowanej drogi serwisowej, a dojazd do działki nr </w:t>
      </w:r>
      <w:r w:rsidR="00296763">
        <w:rPr>
          <w:rFonts w:ascii="Arial" w:hAnsi="Arial" w:cs="Arial"/>
          <w:color w:val="000000" w:themeColor="text1"/>
          <w:sz w:val="21"/>
          <w:szCs w:val="21"/>
        </w:rPr>
        <w:t>…….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 będzie realizowany przez działkę </w:t>
      </w:r>
      <w:r w:rsidR="001E7E15">
        <w:rPr>
          <w:rFonts w:ascii="Arial" w:hAnsi="Arial" w:cs="Arial"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nr </w:t>
      </w:r>
      <w:r w:rsidR="00296763">
        <w:rPr>
          <w:rFonts w:ascii="Arial" w:hAnsi="Arial" w:cs="Arial"/>
          <w:color w:val="000000" w:themeColor="text1"/>
          <w:sz w:val="21"/>
          <w:szCs w:val="21"/>
        </w:rPr>
        <w:t>…..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; długość drogi dojazdowej wyniesie ok. 400 m wobec ok. 200 m przed realizacją inwestycji. </w:t>
      </w:r>
    </w:p>
    <w:p w14:paraId="35FDE3F7" w14:textId="77777777" w:rsidR="00D40A09" w:rsidRDefault="00D40A09" w:rsidP="00572FE3">
      <w:pPr>
        <w:spacing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15F92B55" w14:textId="77777777" w:rsidR="00D40A09" w:rsidRDefault="00D40A09" w:rsidP="00572FE3">
      <w:pPr>
        <w:spacing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076D844D" w14:textId="77777777" w:rsidR="00D40A09" w:rsidRDefault="00D40A09" w:rsidP="00572FE3">
      <w:pPr>
        <w:spacing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109AE610" w14:textId="245A73BA" w:rsidR="00A56277" w:rsidRPr="002364B5" w:rsidRDefault="142058E5" w:rsidP="00572FE3">
      <w:pPr>
        <w:spacing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Dostęp do działek nr </w:t>
      </w:r>
      <w:r w:rsidR="00620A68">
        <w:rPr>
          <w:rFonts w:ascii="Arial" w:hAnsi="Arial" w:cs="Arial"/>
          <w:color w:val="000000" w:themeColor="text1"/>
          <w:sz w:val="21"/>
          <w:szCs w:val="21"/>
        </w:rPr>
        <w:t>……..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 był jedynie czasowo utrudniony, a prowadzone roboty budowlane powodowały przejściowe zapylenie okolicznego terenu. Rodzaj gruntu – grunty orne oznaczone jako </w:t>
      </w:r>
      <w:proofErr w:type="spellStart"/>
      <w:r w:rsidRPr="002364B5">
        <w:rPr>
          <w:rFonts w:ascii="Arial" w:hAnsi="Arial" w:cs="Arial"/>
          <w:color w:val="000000" w:themeColor="text1"/>
          <w:sz w:val="21"/>
          <w:szCs w:val="21"/>
        </w:rPr>
        <w:t>RIIIa</w:t>
      </w:r>
      <w:proofErr w:type="spellEnd"/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 – nie uległ zmianie, działki są użytkowane podobnie jak działki pierwotne, </w:t>
      </w:r>
      <w:r w:rsidR="004D4081">
        <w:rPr>
          <w:rFonts w:ascii="Arial" w:hAnsi="Arial" w:cs="Arial"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color w:val="000000" w:themeColor="text1"/>
          <w:sz w:val="21"/>
          <w:szCs w:val="21"/>
        </w:rPr>
        <w:t>a ich parametry pozwalają na wykorzystywanie ich w sposób dotychczasowy, tj. na cele produkcji rolniczej.</w:t>
      </w:r>
    </w:p>
    <w:p w14:paraId="27D6FD98" w14:textId="77777777" w:rsidR="000A63F5" w:rsidRPr="00684C8A" w:rsidRDefault="142058E5" w:rsidP="0089476E">
      <w:pPr>
        <w:pStyle w:val="Nagwek2"/>
        <w:spacing w:before="100" w:beforeAutospacing="1" w:after="100" w:afterAutospacing="1" w:line="276" w:lineRule="auto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684C8A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II. UZASADNIENIE PRAWNE</w:t>
      </w:r>
    </w:p>
    <w:p w14:paraId="361B2B32" w14:textId="20B7FECC" w:rsidR="000A63F5" w:rsidRPr="00A4751A" w:rsidRDefault="142058E5" w:rsidP="00572FE3">
      <w:pPr>
        <w:spacing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Zgodnie z art. 13 ust. 3 </w:t>
      </w:r>
      <w:r w:rsidRPr="00A4751A">
        <w:rPr>
          <w:rFonts w:ascii="Arial" w:hAnsi="Arial" w:cs="Arial"/>
          <w:i/>
          <w:iCs/>
          <w:color w:val="000000" w:themeColor="text1"/>
          <w:sz w:val="21"/>
          <w:szCs w:val="21"/>
        </w:rPr>
        <w:t>specustawy drogowej</w:t>
      </w:r>
      <w:r w:rsidR="00A4751A">
        <w:rPr>
          <w:rFonts w:ascii="Arial" w:hAnsi="Arial" w:cs="Arial"/>
          <w:color w:val="000000" w:themeColor="text1"/>
          <w:sz w:val="21"/>
          <w:szCs w:val="21"/>
        </w:rPr>
        <w:t>, w</w:t>
      </w:r>
      <w:r w:rsidRPr="00A4751A">
        <w:rPr>
          <w:rFonts w:ascii="Arial" w:hAnsi="Arial" w:cs="Arial"/>
          <w:color w:val="000000" w:themeColor="text1"/>
          <w:sz w:val="21"/>
          <w:szCs w:val="21"/>
        </w:rPr>
        <w:t xml:space="preserve"> przypadku, o którym mowa w art. 12 ust. 4, jeżeli przejęta jest część nieruchomości, a pozostała część nie nadaje się do prawidłowego wykorzystania na dotychczasowe cele, właściwy zarządca drogi jest obowiązany do nabycia, na wniosek właściciela lub użytkownika wieczystego nieruchomości, w imieniu i na rzecz Skarbu Państwa albo jednostki samorządu terytorialnego tej części nieruchomości.</w:t>
      </w:r>
    </w:p>
    <w:p w14:paraId="3E41E8AE" w14:textId="70A81842" w:rsidR="00A4751A" w:rsidRDefault="142058E5" w:rsidP="00572FE3">
      <w:pPr>
        <w:spacing w:before="100" w:beforeAutospacing="1"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>Sąd Najwyższ</w:t>
      </w:r>
      <w:r w:rsidR="00270C28">
        <w:rPr>
          <w:rFonts w:ascii="Arial" w:hAnsi="Arial" w:cs="Arial"/>
          <w:color w:val="000000" w:themeColor="text1"/>
          <w:sz w:val="21"/>
          <w:szCs w:val="21"/>
        </w:rPr>
        <w:t>y w uchwale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 z 11 września 2013 r., sygn. akt III CZP 35/13 (OSNC 2014, nr 5, </w:t>
      </w:r>
      <w:r w:rsidR="009035C5">
        <w:rPr>
          <w:rFonts w:ascii="Arial" w:hAnsi="Arial" w:cs="Arial"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poz. 44) </w:t>
      </w:r>
      <w:r w:rsidR="00270C28">
        <w:rPr>
          <w:rFonts w:ascii="Arial" w:hAnsi="Arial" w:cs="Arial"/>
          <w:color w:val="000000" w:themeColor="text1"/>
          <w:sz w:val="21"/>
          <w:szCs w:val="21"/>
        </w:rPr>
        <w:t xml:space="preserve">stwierdził, 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że przesłanką roszczenia właściciela nieruchomości o nabycie niewywłaszczonej na cele budowy dróg części tej nieruchomości jest wyłącznie </w:t>
      </w:r>
      <w:r w:rsidRPr="003B5FEC">
        <w:rPr>
          <w:rFonts w:ascii="Arial" w:hAnsi="Arial" w:cs="Arial"/>
          <w:b/>
          <w:bCs/>
          <w:i/>
          <w:iCs/>
          <w:color w:val="000000" w:themeColor="text1"/>
          <w:sz w:val="21"/>
          <w:szCs w:val="21"/>
        </w:rPr>
        <w:t>niemożność prawidłowego jej wykorzystania na dotychczasowe cele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, będąca następstwem odłączenia </w:t>
      </w:r>
      <w:r w:rsidR="009035C5">
        <w:rPr>
          <w:rFonts w:ascii="Arial" w:hAnsi="Arial" w:cs="Arial"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color w:val="000000" w:themeColor="text1"/>
          <w:sz w:val="21"/>
          <w:szCs w:val="21"/>
        </w:rPr>
        <w:t>od niej części wywłaszczonej. Wywłaszczenie części nieruchomości na podstawie decyzji ZRID oraz złożenie wniosku przez właściciela są zatem warunkami koniecznymi, lecz niewystarczającymi – rozstrzygające znaczenie ma ocena przydatności pozostałej części nieruchomości.</w:t>
      </w:r>
      <w:r w:rsidR="00A4751A" w:rsidRPr="00A4751A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7332A0B8" w14:textId="7BB7A099" w:rsidR="000A63F5" w:rsidRPr="002364B5" w:rsidRDefault="00A4751A" w:rsidP="00572FE3">
      <w:pPr>
        <w:spacing w:before="100" w:beforeAutospacing="1"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>
        <w:rPr>
          <w:rFonts w:ascii="Arial" w:hAnsi="Arial" w:cs="Arial"/>
          <w:color w:val="000000" w:themeColor="text1"/>
          <w:sz w:val="21"/>
          <w:szCs w:val="21"/>
        </w:rPr>
        <w:t>P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>rzepis</w:t>
      </w:r>
      <w:r w:rsidRPr="00A4751A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z art. 13 ust. 3 </w:t>
      </w:r>
      <w:r w:rsidRPr="00A4751A">
        <w:rPr>
          <w:rFonts w:ascii="Arial" w:hAnsi="Arial" w:cs="Arial"/>
          <w:i/>
          <w:iCs/>
          <w:color w:val="000000" w:themeColor="text1"/>
          <w:sz w:val="21"/>
          <w:szCs w:val="21"/>
        </w:rPr>
        <w:t>specustawy drogowej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 nie ustanawia generalnej zasady, że właściciel </w:t>
      </w:r>
      <w:r w:rsidR="009035C5">
        <w:rPr>
          <w:rFonts w:ascii="Arial" w:hAnsi="Arial" w:cs="Arial"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w takim wypadku </w:t>
      </w:r>
      <w:r w:rsidR="00DE4E38">
        <w:rPr>
          <w:rFonts w:ascii="Arial" w:hAnsi="Arial" w:cs="Arial"/>
          <w:color w:val="000000" w:themeColor="text1"/>
          <w:sz w:val="21"/>
          <w:szCs w:val="21"/>
        </w:rPr>
        <w:t xml:space="preserve">może 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domagać się odkupienia od niego reszty nieruchomości, lecz przyznaje mu </w:t>
      </w:r>
      <w:r w:rsidRPr="003B5FEC">
        <w:rPr>
          <w:rFonts w:ascii="Arial" w:hAnsi="Arial" w:cs="Arial"/>
          <w:i/>
          <w:iCs/>
          <w:color w:val="000000" w:themeColor="text1"/>
          <w:sz w:val="21"/>
          <w:szCs w:val="21"/>
        </w:rPr>
        <w:t>roszczenie oparte na analizie skutków decyzji wywłaszczeniowej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. </w:t>
      </w:r>
      <w:r w:rsidRPr="00DE4E38">
        <w:rPr>
          <w:rFonts w:ascii="Arial" w:hAnsi="Arial" w:cs="Arial"/>
          <w:color w:val="000000" w:themeColor="text1"/>
          <w:sz w:val="21"/>
          <w:szCs w:val="21"/>
        </w:rPr>
        <w:t>Kryterium oceny tych skutków jest to, czy pozostała część nieruchomości nadaje się do wykorzystania na dotychczasowe cele, co wymaga odniesienia się do rzeczywistego przeznaczenia nieruchomości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 (por. wyrok Sądu Najwyższego z 2 lutego 2012 r., sygn. akt II CSK 265/11).</w:t>
      </w:r>
    </w:p>
    <w:p w14:paraId="19DE667C" w14:textId="5D1CF8F3" w:rsidR="000A63F5" w:rsidRPr="002364B5" w:rsidRDefault="142058E5" w:rsidP="00A56277">
      <w:p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Z utrwalonej wykładni art. 13 ust. 3 specustawy drogowej, spójnej zarówno w doktrynie, </w:t>
      </w:r>
      <w:r w:rsidR="00572FE3">
        <w:rPr>
          <w:rFonts w:ascii="Arial" w:hAnsi="Arial" w:cs="Arial"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color w:val="000000" w:themeColor="text1"/>
          <w:sz w:val="21"/>
          <w:szCs w:val="21"/>
        </w:rPr>
        <w:t>jak i w judykaturze, wynika, że powstanie po stronie zarządcy drogi obowiązku nabycia pozostałej części nieruchomości uzależnione jest od łącznego spełnienia następujących przesłanek:</w:t>
      </w:r>
    </w:p>
    <w:p w14:paraId="12C764E5" w14:textId="77777777" w:rsidR="000A63F5" w:rsidRPr="002364B5" w:rsidRDefault="142058E5" w:rsidP="00A56277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>przejęcia części nieruchomości w trybie art. 12 ust. 4 specustawy drogowej,</w:t>
      </w:r>
    </w:p>
    <w:p w14:paraId="1F7FDF99" w14:textId="77777777" w:rsidR="000A63F5" w:rsidRPr="002364B5" w:rsidRDefault="142058E5" w:rsidP="00A56277">
      <w:pPr>
        <w:pStyle w:val="Akapitzlist"/>
        <w:numPr>
          <w:ilvl w:val="0"/>
          <w:numId w:val="2"/>
        </w:numPr>
        <w:spacing w:after="100" w:afterAutospacing="1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>złożenia wniosku przez właściciela (użytkownika wieczystego) nieruchomości,</w:t>
      </w:r>
    </w:p>
    <w:p w14:paraId="6D6DE3E4" w14:textId="4E98FAE7" w:rsidR="000A63F5" w:rsidRPr="002364B5" w:rsidRDefault="142058E5" w:rsidP="00A56277">
      <w:pPr>
        <w:pStyle w:val="Akapitzlist"/>
        <w:numPr>
          <w:ilvl w:val="0"/>
          <w:numId w:val="2"/>
        </w:numPr>
        <w:spacing w:after="100" w:afterAutospacing="1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utraty przez pozostałą część nieruchomości przydatności do prawidłowego wykorzystania </w:t>
      </w:r>
      <w:r w:rsidR="009035C5">
        <w:rPr>
          <w:rFonts w:ascii="Arial" w:hAnsi="Arial" w:cs="Arial"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color w:val="000000" w:themeColor="text1"/>
          <w:sz w:val="21"/>
          <w:szCs w:val="21"/>
        </w:rPr>
        <w:t>na dotychczasowe cele, pozostającej w związku przyczynowym z odłączeniem części wywłaszczonej.</w:t>
      </w:r>
    </w:p>
    <w:p w14:paraId="672A6659" w14:textId="5DDE4A5B" w:rsidR="000A63F5" w:rsidRDefault="00FC0355" w:rsidP="00A56277">
      <w:p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b/>
          <w:bCs/>
          <w:color w:val="000000" w:themeColor="text1"/>
          <w:sz w:val="21"/>
          <w:szCs w:val="21"/>
        </w:rPr>
        <w:t>Sąd Najwyższ</w:t>
      </w:r>
      <w:r w:rsidR="000B4CC8" w:rsidRPr="002364B5">
        <w:rPr>
          <w:rFonts w:ascii="Arial" w:hAnsi="Arial" w:cs="Arial"/>
          <w:b/>
          <w:bCs/>
          <w:color w:val="000000" w:themeColor="text1"/>
          <w:sz w:val="21"/>
          <w:szCs w:val="21"/>
        </w:rPr>
        <w:t>y w wyroku</w:t>
      </w:r>
      <w:r w:rsidRPr="002364B5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z 26 maja 2021 r.</w:t>
      </w:r>
      <w:r w:rsidR="000B4CC8" w:rsidRPr="002364B5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o</w:t>
      </w:r>
      <w:r w:rsidRPr="002364B5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sygn. akt V CSKP 79/21</w:t>
      </w:r>
      <w:r w:rsidR="000B4CC8" w:rsidRPr="002364B5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0B4CC8" w:rsidRPr="002364B5">
        <w:rPr>
          <w:rFonts w:ascii="Arial" w:hAnsi="Arial" w:cs="Arial"/>
          <w:color w:val="000000" w:themeColor="text1"/>
          <w:sz w:val="21"/>
          <w:szCs w:val="21"/>
        </w:rPr>
        <w:t xml:space="preserve">stwierdził, że 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przy prawidłowej wykładni art. 13 ust. 3 specustawy drogowej zasadnicze znaczenie ma ustalenie, czy po wywłaszczeniu części nieruchomości pozostała część utraciła przydatność do realizacji dotychczasowego celu. </w:t>
      </w:r>
      <w:r w:rsidRPr="002364B5">
        <w:rPr>
          <w:rFonts w:ascii="Arial" w:hAnsi="Arial" w:cs="Arial"/>
          <w:b/>
          <w:bCs/>
          <w:color w:val="000000" w:themeColor="text1"/>
          <w:sz w:val="21"/>
          <w:szCs w:val="21"/>
        </w:rPr>
        <w:t>Samo pogorszenie warunków korzystania z pozostałej części nieruchomości nie wyczerpuje przesłanek z art. 13 ust. 3</w:t>
      </w:r>
      <w:r w:rsidR="00286CED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ustawy.</w:t>
      </w:r>
      <w:r w:rsidRPr="002364B5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286CED" w:rsidRPr="00C54E70">
        <w:rPr>
          <w:rFonts w:ascii="Arial" w:hAnsi="Arial" w:cs="Arial"/>
          <w:color w:val="000000" w:themeColor="text1"/>
          <w:sz w:val="21"/>
          <w:szCs w:val="21"/>
        </w:rPr>
        <w:t>R</w:t>
      </w:r>
      <w:r w:rsidRPr="00C54E70">
        <w:rPr>
          <w:rFonts w:ascii="Arial" w:hAnsi="Arial" w:cs="Arial"/>
          <w:color w:val="000000" w:themeColor="text1"/>
          <w:sz w:val="21"/>
          <w:szCs w:val="21"/>
        </w:rPr>
        <w:t xml:space="preserve">oszczenie o zobowiązanie zarządcy drogi do nabycia uzasadnia wyłącznie </w:t>
      </w:r>
      <w:r w:rsidR="004C0D6E" w:rsidRPr="00C54E70">
        <w:rPr>
          <w:rFonts w:ascii="Arial" w:hAnsi="Arial" w:cs="Arial"/>
          <w:color w:val="000000" w:themeColor="text1"/>
          <w:sz w:val="21"/>
          <w:szCs w:val="21"/>
        </w:rPr>
        <w:t xml:space="preserve">brak możliwości prawidłowego korzystania </w:t>
      </w:r>
      <w:r w:rsidR="009035C5">
        <w:rPr>
          <w:rFonts w:ascii="Arial" w:hAnsi="Arial" w:cs="Arial"/>
          <w:color w:val="000000" w:themeColor="text1"/>
          <w:sz w:val="21"/>
          <w:szCs w:val="21"/>
        </w:rPr>
        <w:br/>
      </w:r>
      <w:r w:rsidR="004C0D6E" w:rsidRPr="00C54E70">
        <w:rPr>
          <w:rFonts w:ascii="Arial" w:hAnsi="Arial" w:cs="Arial"/>
          <w:color w:val="000000" w:themeColor="text1"/>
          <w:sz w:val="21"/>
          <w:szCs w:val="21"/>
        </w:rPr>
        <w:t>na dotychczasowe cele</w:t>
      </w:r>
      <w:r w:rsidRPr="00C54E70">
        <w:rPr>
          <w:rFonts w:ascii="Arial" w:hAnsi="Arial" w:cs="Arial"/>
          <w:color w:val="000000" w:themeColor="text1"/>
          <w:sz w:val="21"/>
          <w:szCs w:val="21"/>
        </w:rPr>
        <w:t xml:space="preserve"> będąc</w:t>
      </w:r>
      <w:r w:rsidR="00286CED" w:rsidRPr="00C54E70">
        <w:rPr>
          <w:rFonts w:ascii="Arial" w:hAnsi="Arial" w:cs="Arial"/>
          <w:color w:val="000000" w:themeColor="text1"/>
          <w:sz w:val="21"/>
          <w:szCs w:val="21"/>
        </w:rPr>
        <w:t>e</w:t>
      </w:r>
      <w:r w:rsidRPr="00C54E70">
        <w:rPr>
          <w:rFonts w:ascii="Arial" w:hAnsi="Arial" w:cs="Arial"/>
          <w:color w:val="000000" w:themeColor="text1"/>
          <w:sz w:val="21"/>
          <w:szCs w:val="21"/>
        </w:rPr>
        <w:t xml:space="preserve"> wynikiem częściowego wywłaszczenia</w:t>
      </w:r>
      <w:r w:rsidR="00286CED" w:rsidRPr="00C54E70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1EB0BC4A" w14:textId="77777777" w:rsidR="00ED07B5" w:rsidRDefault="00ED07B5" w:rsidP="00A56277">
      <w:p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5707A284" w14:textId="77777777" w:rsidR="00ED07B5" w:rsidRDefault="00ED07B5" w:rsidP="00A56277">
      <w:p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2749C0F7" w14:textId="77777777" w:rsidR="00ED07B5" w:rsidRDefault="00ED07B5" w:rsidP="00A56277">
      <w:p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6E1A82B1" w14:textId="77777777" w:rsidR="00ED07B5" w:rsidRDefault="00ED07B5" w:rsidP="00A56277">
      <w:p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7AD15B29" w14:textId="77777777" w:rsidR="002F2512" w:rsidRPr="002364B5" w:rsidRDefault="002F2512" w:rsidP="00A56277">
      <w:p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1CCA5081" w14:textId="33D7681D" w:rsidR="002F2512" w:rsidRDefault="142058E5" w:rsidP="00A56277">
      <w:p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Pojęcie </w:t>
      </w:r>
      <w:r w:rsidRPr="002364B5">
        <w:rPr>
          <w:rFonts w:ascii="Arial" w:hAnsi="Arial" w:cs="Arial"/>
          <w:b/>
          <w:bCs/>
          <w:color w:val="000000" w:themeColor="text1"/>
          <w:sz w:val="21"/>
          <w:szCs w:val="21"/>
        </w:rPr>
        <w:t>„dotychczasowych celów”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 zostało wyłożone w wyroku Sądu Najwyższego </w:t>
      </w:r>
      <w:r w:rsidR="00A56277">
        <w:rPr>
          <w:rFonts w:ascii="Arial" w:hAnsi="Arial" w:cs="Arial"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z 9 października 2015 r., sygn. akt IV CSK 702/14. Zwrot ten dotyczy czynienia z pozostałej części nieruchomości użytku odpowiadającego wcześniejszemu założeniu; określenie tych celów następuje w drodze analizy sposobu korzystania z nieruchomości przed podziałem i przejęciem </w:t>
      </w:r>
      <w:r w:rsidR="009035C5">
        <w:rPr>
          <w:rFonts w:ascii="Arial" w:hAnsi="Arial" w:cs="Arial"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jej części oraz możliwości kontynuacji tego korzystania. </w:t>
      </w:r>
    </w:p>
    <w:p w14:paraId="616AB588" w14:textId="77777777" w:rsidR="002F2512" w:rsidRDefault="002F2512" w:rsidP="00A56277">
      <w:p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4306DE3D" w14:textId="30C24F09" w:rsidR="000A63F5" w:rsidRDefault="142058E5" w:rsidP="00A56277">
      <w:p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Chodzi przy tym o faktyczne korzystanie z nieruchomości przez właściciela, </w:t>
      </w:r>
      <w:r w:rsidRPr="002364B5">
        <w:rPr>
          <w:rFonts w:ascii="Arial" w:hAnsi="Arial" w:cs="Arial"/>
          <w:b/>
          <w:bCs/>
          <w:color w:val="000000" w:themeColor="text1"/>
          <w:sz w:val="21"/>
          <w:szCs w:val="21"/>
        </w:rPr>
        <w:t>nawet przy dokonaniu zmiany sposobu</w:t>
      </w:r>
      <w:r w:rsidR="00A56277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Pr="002364B5">
        <w:rPr>
          <w:rFonts w:ascii="Arial" w:hAnsi="Arial" w:cs="Arial"/>
          <w:b/>
          <w:bCs/>
          <w:color w:val="000000" w:themeColor="text1"/>
          <w:sz w:val="21"/>
          <w:szCs w:val="21"/>
        </w:rPr>
        <w:t>osiągania dotychczasowych celów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>. Dla oceny zasadności roszczenia bez znaczenia</w:t>
      </w:r>
      <w:r w:rsidR="00A56277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pozostaje okoliczność, że dla wykorzystywania pozostałej części nieruchomości na dotychczasowe cele niezbędna jest zmiana sposobu ich osiągania – choćby </w:t>
      </w:r>
      <w:r w:rsidR="009035C5">
        <w:rPr>
          <w:rFonts w:ascii="Arial" w:hAnsi="Arial" w:cs="Arial"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za pomocą innych maszyn i urządzeń czy też przez wydzierżawienie nieruchomości osobie trzeciej. Za takim rozumieniem przepisu przemawia również wykładnia funkcjonalna, wskazująca </w:t>
      </w:r>
      <w:r w:rsidR="009035C5">
        <w:rPr>
          <w:rFonts w:ascii="Arial" w:hAnsi="Arial" w:cs="Arial"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na dążenie ustawodawcy do ograniczenia negatywnych skutków wywłaszczenia, nie zaś </w:t>
      </w:r>
      <w:r w:rsidR="009035C5">
        <w:rPr>
          <w:rFonts w:ascii="Arial" w:hAnsi="Arial" w:cs="Arial"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color w:val="000000" w:themeColor="text1"/>
          <w:sz w:val="21"/>
          <w:szCs w:val="21"/>
        </w:rPr>
        <w:t>do kreowania po stronie właściciela uprawnienia do wyzbycia się gruntu, którego dalsze wykorzystywanie stało się jedynie mniej dogodne lub mniej opłacalne.</w:t>
      </w:r>
    </w:p>
    <w:p w14:paraId="6D0167F8" w14:textId="77777777" w:rsidR="00A56277" w:rsidRPr="002364B5" w:rsidRDefault="00A56277" w:rsidP="00A56277">
      <w:p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47203970" w14:textId="77777777" w:rsidR="000A63F5" w:rsidRDefault="142058E5" w:rsidP="00A56277">
      <w:p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W przywołanym wyroku Sąd Najwyższy zaakcentował nadto, że brak jest argumentów na rzecz stanowiska, iż do przesłanek roszczenia z art. 13 ust. 3 specustawy drogowej należy pogorszenie warunków korzystania z nieruchomości – również w zakresie poprzednio prowadzonej działalności – spowodowane nie wywłaszczeniem części nieruchomości, lecz </w:t>
      </w:r>
      <w:r w:rsidRPr="002364B5">
        <w:rPr>
          <w:rFonts w:ascii="Arial" w:hAnsi="Arial" w:cs="Arial"/>
          <w:b/>
          <w:bCs/>
          <w:color w:val="000000" w:themeColor="text1"/>
          <w:sz w:val="21"/>
          <w:szCs w:val="21"/>
        </w:rPr>
        <w:t>zrealizowaniem inwestycji budowy drogi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>, zwłaszcza gdy samo wywłaszczenie części nieruchomości nie zmieniło sytuacji właściciela. Uciążliwości wynikające z sąsiedztwa inwestycji drogowej (hałas, zapylenie, czasowe utrudnienia w dojeździe) nie mieszczą się zatem w hipotezie art. 13 ust. 3 specustawy drogowej.</w:t>
      </w:r>
    </w:p>
    <w:p w14:paraId="6564E55B" w14:textId="77777777" w:rsidR="00A56277" w:rsidRPr="002364B5" w:rsidRDefault="00A56277" w:rsidP="00A56277">
      <w:p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02788DA9" w14:textId="38A07C44" w:rsidR="00A56277" w:rsidRDefault="142058E5" w:rsidP="00A56277">
      <w:p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5DE4F2F1">
        <w:rPr>
          <w:rFonts w:ascii="Arial" w:hAnsi="Arial" w:cs="Arial"/>
          <w:color w:val="000000" w:themeColor="text1"/>
          <w:sz w:val="21"/>
          <w:szCs w:val="21"/>
        </w:rPr>
        <w:t xml:space="preserve">Wykładni pojęcia </w:t>
      </w:r>
      <w:r w:rsidRPr="5DE4F2F1">
        <w:rPr>
          <w:rFonts w:ascii="Arial" w:hAnsi="Arial" w:cs="Arial"/>
          <w:b/>
          <w:bCs/>
          <w:color w:val="000000" w:themeColor="text1"/>
          <w:sz w:val="21"/>
          <w:szCs w:val="21"/>
        </w:rPr>
        <w:t>„prawidłowego wykorzystania”</w:t>
      </w:r>
      <w:r w:rsidRPr="5DE4F2F1">
        <w:rPr>
          <w:rFonts w:ascii="Arial" w:hAnsi="Arial" w:cs="Arial"/>
          <w:color w:val="000000" w:themeColor="text1"/>
          <w:sz w:val="21"/>
          <w:szCs w:val="21"/>
        </w:rPr>
        <w:t xml:space="preserve"> dokonał Sąd Apelacyjny w Warszawie </w:t>
      </w:r>
      <w:r w:rsidR="00A56277">
        <w:br/>
      </w:r>
      <w:r w:rsidRPr="5DE4F2F1">
        <w:rPr>
          <w:rFonts w:ascii="Arial" w:hAnsi="Arial" w:cs="Arial"/>
          <w:color w:val="000000" w:themeColor="text1"/>
          <w:sz w:val="21"/>
          <w:szCs w:val="21"/>
        </w:rPr>
        <w:t xml:space="preserve">w wyroku z 18 czerwca 2015 r., sygn. akt I </w:t>
      </w:r>
      <w:proofErr w:type="spellStart"/>
      <w:r w:rsidRPr="5DE4F2F1">
        <w:rPr>
          <w:rFonts w:ascii="Arial" w:hAnsi="Arial" w:cs="Arial"/>
          <w:color w:val="000000" w:themeColor="text1"/>
          <w:sz w:val="21"/>
          <w:szCs w:val="21"/>
        </w:rPr>
        <w:t>ACa</w:t>
      </w:r>
      <w:proofErr w:type="spellEnd"/>
      <w:r w:rsidRPr="5DE4F2F1">
        <w:rPr>
          <w:rFonts w:ascii="Arial" w:hAnsi="Arial" w:cs="Arial"/>
          <w:color w:val="000000" w:themeColor="text1"/>
          <w:sz w:val="21"/>
          <w:szCs w:val="21"/>
        </w:rPr>
        <w:t xml:space="preserve"> 1729/14, wskazując, że w powszechnym rozumieniu oznacza ono korzystanie zgodne z zasadami wynikającymi z wiedzy w danej dziedzinie, logicznego rozumowania i współżycia społecznego, oraz podkreślając, że tylko całkowita nieprzydatność pozostałej części nieruchomości w wyniku częściowego wywłaszczenia lub wykupu kreuje roszczenie o zobowiązanie zarządcy drogi do jej nabycia. Nie jest przy tym istotne, jaka część nieruchomości pozostała po wywłaszczeniu w porównaniu z jej pierwotną powierzchnią – kluczowe jest wyłącznie to, czy pozostała część utraciła przydatność do realizacji celu, któremu dotychczas służyła.</w:t>
      </w:r>
    </w:p>
    <w:p w14:paraId="1F604AEA" w14:textId="77777777" w:rsidR="00A56277" w:rsidRPr="002364B5" w:rsidRDefault="00A56277" w:rsidP="00A56277">
      <w:p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028D8FAD" w14:textId="77777777" w:rsidR="000A63F5" w:rsidRPr="002364B5" w:rsidRDefault="142058E5" w:rsidP="00A56277">
      <w:p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Z przywołanego orzecznictwa wynika zatem, że roszczenia o nabycie pozostałej części nieruchomości </w:t>
      </w:r>
      <w:r w:rsidRPr="002364B5">
        <w:rPr>
          <w:rFonts w:ascii="Arial" w:hAnsi="Arial" w:cs="Arial"/>
          <w:b/>
          <w:bCs/>
          <w:color w:val="000000" w:themeColor="text1"/>
          <w:sz w:val="21"/>
          <w:szCs w:val="21"/>
        </w:rPr>
        <w:t>nie uzasadniają</w:t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 w szczególności następujące okoliczności:</w:t>
      </w:r>
    </w:p>
    <w:p w14:paraId="7AC84A0A" w14:textId="75AD5CF3" w:rsidR="000A63F5" w:rsidRPr="002364B5" w:rsidRDefault="142058E5" w:rsidP="00A56277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ograniczenie w gospodarowaniu nieruchomością oraz nieakceptowanie przez właściciela zmian sposobu korzystania z nieruchomości, przy jednoczesnym zachowaniu możliwości </w:t>
      </w:r>
      <w:r w:rsidR="00C54E70">
        <w:rPr>
          <w:rFonts w:ascii="Arial" w:hAnsi="Arial" w:cs="Arial"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color w:val="000000" w:themeColor="text1"/>
          <w:sz w:val="21"/>
          <w:szCs w:val="21"/>
        </w:rPr>
        <w:t>jej wykorzystania na dotychczasowe cele;</w:t>
      </w:r>
    </w:p>
    <w:p w14:paraId="09A54D11" w14:textId="75FC9357" w:rsidR="000A63F5" w:rsidRPr="002364B5" w:rsidRDefault="142058E5" w:rsidP="00A56277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negatywne skutki inwestycji, w tym zniszczenia dokonane podczas budowy oraz obniżenie komfortu życia przez przenikanie na nieruchomość hałasów, pyłów i drgań wynikających </w:t>
      </w:r>
      <w:r w:rsidR="00C54E70">
        <w:rPr>
          <w:rFonts w:ascii="Arial" w:hAnsi="Arial" w:cs="Arial"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color w:val="000000" w:themeColor="text1"/>
          <w:sz w:val="21"/>
          <w:szCs w:val="21"/>
        </w:rPr>
        <w:t>z realizacji i eksploatacji inwestycji – okoliczności te nie są następstwem odłączenia części wywłaszczonej;</w:t>
      </w:r>
    </w:p>
    <w:p w14:paraId="04ED4830" w14:textId="77777777" w:rsidR="000A63F5" w:rsidRPr="002364B5" w:rsidRDefault="142058E5" w:rsidP="00A56277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>twierdzenie o niemożności prowadzenia produkcji rolnej bez jego wykazania – właściciel powinien udowodnić, że nie ma możliwości kontynuowania tej samej rodzajowo produkcji rolnej;</w:t>
      </w:r>
    </w:p>
    <w:p w14:paraId="75248958" w14:textId="77777777" w:rsidR="000A63F5" w:rsidRPr="002364B5" w:rsidRDefault="142058E5" w:rsidP="00A56277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>kształt działki uniemożliwiający obsługę upraw ciężkim sprzętem, jeżeli istnieje możliwość zastosowania innego sprzętu, choćby zwiększało to koszty produkcji – zmniejszenie dochodu nie oznacza nieprzydatności gruntu do dotychczasowych celów;</w:t>
      </w:r>
    </w:p>
    <w:p w14:paraId="15C3AD99" w14:textId="295ECCDC" w:rsidR="002F2512" w:rsidRPr="00ED07B5" w:rsidRDefault="142058E5" w:rsidP="00ED07B5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utrata dotychczasowego dojazdu do drogi publicznej – dłuższy i trudniejszy dojazd </w:t>
      </w:r>
      <w:r w:rsidR="009035C5">
        <w:rPr>
          <w:rFonts w:ascii="Arial" w:hAnsi="Arial" w:cs="Arial"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color w:val="000000" w:themeColor="text1"/>
          <w:sz w:val="21"/>
          <w:szCs w:val="21"/>
        </w:rPr>
        <w:t>nie uniemożliwia dalszego korzystania z działki w tym samym celu.</w:t>
      </w:r>
    </w:p>
    <w:p w14:paraId="61DABC44" w14:textId="77777777" w:rsidR="002F2512" w:rsidRPr="002364B5" w:rsidRDefault="002F2512" w:rsidP="00A56277">
      <w:pPr>
        <w:pStyle w:val="Akapitzlist"/>
        <w:spacing w:line="276" w:lineRule="auto"/>
        <w:ind w:left="360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3B5809FF" w14:textId="4F09F367" w:rsidR="000A63F5" w:rsidRPr="002364B5" w:rsidRDefault="00012E90" w:rsidP="00572FE3">
      <w:pPr>
        <w:spacing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5AC1E1BF">
        <w:rPr>
          <w:rFonts w:ascii="Arial" w:hAnsi="Arial" w:cs="Arial"/>
          <w:color w:val="000000" w:themeColor="text1"/>
          <w:sz w:val="21"/>
          <w:szCs w:val="21"/>
        </w:rPr>
        <w:t>Stosownie do art. 6 ustawy z dnia 23 kwietnia 1964 r. Kodeks cywilny (</w:t>
      </w:r>
      <w:proofErr w:type="spellStart"/>
      <w:r w:rsidRPr="5AC1E1BF">
        <w:rPr>
          <w:rFonts w:ascii="Arial" w:hAnsi="Arial" w:cs="Arial"/>
          <w:color w:val="000000" w:themeColor="text1"/>
          <w:sz w:val="21"/>
          <w:szCs w:val="21"/>
        </w:rPr>
        <w:t>t.j</w:t>
      </w:r>
      <w:proofErr w:type="spellEnd"/>
      <w:r w:rsidRPr="5AC1E1BF">
        <w:rPr>
          <w:rFonts w:ascii="Arial" w:hAnsi="Arial" w:cs="Arial"/>
          <w:color w:val="000000" w:themeColor="text1"/>
          <w:sz w:val="21"/>
          <w:szCs w:val="21"/>
        </w:rPr>
        <w:t>. Dz.U. z 2026 r. poz. 795)</w:t>
      </w:r>
      <w:r>
        <w:br/>
      </w:r>
      <w:r w:rsidR="00CA1847" w:rsidRPr="5AC1E1BF">
        <w:rPr>
          <w:rFonts w:ascii="Arial" w:hAnsi="Arial" w:cs="Arial"/>
          <w:color w:val="000000" w:themeColor="text1"/>
          <w:sz w:val="21"/>
          <w:szCs w:val="21"/>
        </w:rPr>
        <w:t>-</w:t>
      </w:r>
      <w:r w:rsidR="004712F3" w:rsidRPr="5AC1E1BF">
        <w:rPr>
          <w:rFonts w:ascii="Arial" w:hAnsi="Arial" w:cs="Arial"/>
          <w:color w:val="000000" w:themeColor="text1"/>
          <w:sz w:val="21"/>
          <w:szCs w:val="21"/>
        </w:rPr>
        <w:t xml:space="preserve"> („</w:t>
      </w:r>
      <w:r w:rsidRPr="5AC1E1BF">
        <w:rPr>
          <w:rFonts w:ascii="Arial" w:hAnsi="Arial" w:cs="Arial"/>
          <w:i/>
          <w:iCs/>
          <w:color w:val="000000" w:themeColor="text1"/>
          <w:sz w:val="21"/>
          <w:szCs w:val="21"/>
        </w:rPr>
        <w:t>dalej KC</w:t>
      </w:r>
      <w:r w:rsidR="004712F3" w:rsidRPr="5AC1E1BF">
        <w:rPr>
          <w:rFonts w:ascii="Arial" w:hAnsi="Arial" w:cs="Arial"/>
          <w:i/>
          <w:iCs/>
          <w:color w:val="000000" w:themeColor="text1"/>
          <w:sz w:val="21"/>
          <w:szCs w:val="21"/>
        </w:rPr>
        <w:t>”)</w:t>
      </w:r>
      <w:r w:rsidRPr="5AC1E1BF">
        <w:rPr>
          <w:rFonts w:ascii="Arial" w:hAnsi="Arial" w:cs="Arial"/>
          <w:i/>
          <w:iCs/>
          <w:color w:val="000000" w:themeColor="text1"/>
          <w:sz w:val="21"/>
          <w:szCs w:val="21"/>
        </w:rPr>
        <w:t>,</w:t>
      </w:r>
      <w:r w:rsidRPr="5AC1E1BF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CA1847" w:rsidRPr="5AC1E1BF">
        <w:rPr>
          <w:rFonts w:ascii="Arial" w:hAnsi="Arial" w:cs="Arial"/>
          <w:color w:val="000000" w:themeColor="text1"/>
          <w:sz w:val="21"/>
          <w:szCs w:val="21"/>
        </w:rPr>
        <w:t>c</w:t>
      </w:r>
      <w:r w:rsidR="142058E5" w:rsidRPr="5AC1E1BF">
        <w:rPr>
          <w:rFonts w:ascii="Arial" w:hAnsi="Arial" w:cs="Arial"/>
          <w:color w:val="000000" w:themeColor="text1"/>
          <w:sz w:val="21"/>
          <w:szCs w:val="21"/>
        </w:rPr>
        <w:t xml:space="preserve">iężar wykazania przesłanki utraty przydatności pozostałej części nieruchomości </w:t>
      </w:r>
      <w:r>
        <w:br/>
      </w:r>
      <w:r w:rsidR="142058E5" w:rsidRPr="5AC1E1BF">
        <w:rPr>
          <w:rFonts w:ascii="Arial" w:hAnsi="Arial" w:cs="Arial"/>
          <w:color w:val="000000" w:themeColor="text1"/>
          <w:sz w:val="21"/>
          <w:szCs w:val="21"/>
        </w:rPr>
        <w:t>do prawidłowego wykorzystania na dotychczasowe cele spoczywa na właścicielu nieruchomości, jako na podmiocie wywodzącym z tego faktu skutki prawne w postaci obowiązku nabycia nieruchomości przez zarządcę drogi.</w:t>
      </w:r>
    </w:p>
    <w:p w14:paraId="3AAF72D0" w14:textId="7252AADC" w:rsidR="000A63F5" w:rsidRPr="00AB5463" w:rsidRDefault="00383B5B" w:rsidP="003054BA">
      <w:pPr>
        <w:pStyle w:val="Podtytu"/>
        <w:numPr>
          <w:ilvl w:val="0"/>
          <w:numId w:val="6"/>
        </w:numPr>
        <w:tabs>
          <w:tab w:val="left" w:pos="993"/>
        </w:tabs>
        <w:spacing w:before="100" w:beforeAutospacing="1" w:after="100" w:afterAutospacing="1" w:line="276" w:lineRule="auto"/>
        <w:ind w:left="567" w:hanging="567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AB5463">
        <w:rPr>
          <w:rFonts w:ascii="Arial" w:hAnsi="Arial" w:cs="Arial"/>
          <w:b/>
          <w:bCs/>
          <w:color w:val="000000" w:themeColor="text1"/>
          <w:sz w:val="21"/>
          <w:szCs w:val="21"/>
        </w:rPr>
        <w:t>O</w:t>
      </w:r>
      <w:r w:rsidR="142058E5" w:rsidRPr="00AB5463">
        <w:rPr>
          <w:rFonts w:ascii="Arial" w:hAnsi="Arial" w:cs="Arial"/>
          <w:b/>
          <w:bCs/>
          <w:color w:val="000000" w:themeColor="text1"/>
          <w:sz w:val="21"/>
          <w:szCs w:val="21"/>
        </w:rPr>
        <w:t>cena prawna ustalonego stanu faktycznego</w:t>
      </w:r>
    </w:p>
    <w:p w14:paraId="08265279" w14:textId="101802FB" w:rsidR="000A63F5" w:rsidRPr="002364B5" w:rsidRDefault="142058E5" w:rsidP="00572FE3">
      <w:pPr>
        <w:spacing w:after="240" w:line="276" w:lineRule="auto"/>
        <w:jc w:val="both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W ocenie Zarządu Województwa Śląskiego zgromadzony w sprawie materiał dowodowy </w:t>
      </w:r>
      <w:r w:rsidR="00A56277">
        <w:rPr>
          <w:rFonts w:ascii="Arial" w:hAnsi="Arial" w:cs="Arial"/>
          <w:b/>
          <w:bCs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nie pozwala na przyjęcie, że działki nr </w:t>
      </w:r>
      <w:r w:rsidR="00540E4B">
        <w:rPr>
          <w:rFonts w:ascii="Arial" w:hAnsi="Arial" w:cs="Arial"/>
          <w:b/>
          <w:bCs/>
          <w:color w:val="000000" w:themeColor="text1"/>
          <w:sz w:val="21"/>
          <w:szCs w:val="21"/>
        </w:rPr>
        <w:t>…………..</w:t>
      </w:r>
      <w:r w:rsidRPr="002364B5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utraciły możliwość prawidłowego wykorzystania na dotychczasowe cele w rozumieniu art. 13 ust. 3 specustawy drogowej.</w:t>
      </w:r>
    </w:p>
    <w:p w14:paraId="2C5CB0EF" w14:textId="7B0C4B52" w:rsidR="000A63F5" w:rsidRPr="00F24D61" w:rsidRDefault="00A56277" w:rsidP="00F24D61">
      <w:pPr>
        <w:pStyle w:val="Akapitzlist"/>
        <w:numPr>
          <w:ilvl w:val="0"/>
          <w:numId w:val="7"/>
        </w:numPr>
        <w:spacing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F24D61">
        <w:rPr>
          <w:rFonts w:ascii="Arial" w:hAnsi="Arial" w:cs="Arial"/>
          <w:color w:val="000000" w:themeColor="text1"/>
          <w:sz w:val="21"/>
          <w:szCs w:val="21"/>
        </w:rPr>
        <w:t>D</w:t>
      </w:r>
      <w:r w:rsidR="142058E5" w:rsidRPr="00F24D61">
        <w:rPr>
          <w:rFonts w:ascii="Arial" w:hAnsi="Arial" w:cs="Arial"/>
          <w:color w:val="000000" w:themeColor="text1"/>
          <w:sz w:val="21"/>
          <w:szCs w:val="21"/>
        </w:rPr>
        <w:t xml:space="preserve">ziałki powstałe w wyniku podziału zachowały charakter gruntów rolnych (grunty orne klasy </w:t>
      </w:r>
      <w:proofErr w:type="spellStart"/>
      <w:r w:rsidR="142058E5" w:rsidRPr="00F24D61">
        <w:rPr>
          <w:rFonts w:ascii="Arial" w:hAnsi="Arial" w:cs="Arial"/>
          <w:color w:val="000000" w:themeColor="text1"/>
          <w:sz w:val="21"/>
          <w:szCs w:val="21"/>
        </w:rPr>
        <w:t>RIIIa</w:t>
      </w:r>
      <w:proofErr w:type="spellEnd"/>
      <w:r w:rsidR="142058E5" w:rsidRPr="00F24D61">
        <w:rPr>
          <w:rFonts w:ascii="Arial" w:hAnsi="Arial" w:cs="Arial"/>
          <w:color w:val="000000" w:themeColor="text1"/>
          <w:sz w:val="21"/>
          <w:szCs w:val="21"/>
        </w:rPr>
        <w:t xml:space="preserve"> – klasyfikacja nie uległa zmianie) i nadal mogą być wykorzystywane zgodnie </w:t>
      </w:r>
      <w:r w:rsidRPr="00F24D61">
        <w:rPr>
          <w:rFonts w:ascii="Arial" w:hAnsi="Arial" w:cs="Arial"/>
          <w:color w:val="000000" w:themeColor="text1"/>
          <w:sz w:val="21"/>
          <w:szCs w:val="21"/>
        </w:rPr>
        <w:br/>
      </w:r>
      <w:r w:rsidR="142058E5" w:rsidRPr="00F24D61">
        <w:rPr>
          <w:rFonts w:ascii="Arial" w:hAnsi="Arial" w:cs="Arial"/>
          <w:color w:val="000000" w:themeColor="text1"/>
          <w:sz w:val="21"/>
          <w:szCs w:val="21"/>
        </w:rPr>
        <w:t>z dotychczasowym przeznaczeniem, tj. na cele produkcji rolniczej. Z materiału zgromadzonego w sprawie nie wynika, aby uprawa zbóż lub warzyw została trwale uniemożliwiona wskutek odłączenia części wywłaszczonej.</w:t>
      </w:r>
    </w:p>
    <w:p w14:paraId="075B268D" w14:textId="0B27F780" w:rsidR="00A56277" w:rsidRPr="002364B5" w:rsidRDefault="00A56277" w:rsidP="00F24D61">
      <w:pPr>
        <w:pStyle w:val="Akapitzlist"/>
        <w:numPr>
          <w:ilvl w:val="0"/>
          <w:numId w:val="7"/>
        </w:numPr>
        <w:spacing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B73C23">
        <w:rPr>
          <w:rFonts w:ascii="Arial" w:hAnsi="Arial" w:cs="Arial"/>
          <w:color w:val="000000" w:themeColor="text1"/>
          <w:sz w:val="21"/>
          <w:szCs w:val="21"/>
        </w:rPr>
        <w:t>D</w:t>
      </w:r>
      <w:r w:rsidR="142058E5" w:rsidRPr="00B73C23">
        <w:rPr>
          <w:rFonts w:ascii="Arial" w:hAnsi="Arial" w:cs="Arial"/>
          <w:color w:val="000000" w:themeColor="text1"/>
          <w:sz w:val="21"/>
          <w:szCs w:val="21"/>
        </w:rPr>
        <w:t>ziałka</w:t>
      </w:r>
      <w:r w:rsidR="142058E5" w:rsidRPr="002364B5">
        <w:rPr>
          <w:rFonts w:ascii="Arial" w:hAnsi="Arial" w:cs="Arial"/>
          <w:color w:val="000000" w:themeColor="text1"/>
          <w:sz w:val="21"/>
          <w:szCs w:val="21"/>
        </w:rPr>
        <w:t xml:space="preserve"> nr </w:t>
      </w:r>
      <w:r w:rsidR="00540E4B">
        <w:rPr>
          <w:rFonts w:ascii="Arial" w:hAnsi="Arial" w:cs="Arial"/>
          <w:color w:val="000000" w:themeColor="text1"/>
          <w:sz w:val="21"/>
          <w:szCs w:val="21"/>
        </w:rPr>
        <w:t>…….</w:t>
      </w:r>
      <w:r w:rsidR="142058E5" w:rsidRPr="002364B5">
        <w:rPr>
          <w:rFonts w:ascii="Arial" w:hAnsi="Arial" w:cs="Arial"/>
          <w:color w:val="000000" w:themeColor="text1"/>
          <w:sz w:val="21"/>
          <w:szCs w:val="21"/>
        </w:rPr>
        <w:t xml:space="preserve"> będzie posiadała zapewniony dostęp do drogi publicznej za pośrednictwem nowo wybudowanej drogi serwisowej, a dojazd do działki nr </w:t>
      </w:r>
      <w:r w:rsidR="00540E4B">
        <w:rPr>
          <w:rFonts w:ascii="Arial" w:hAnsi="Arial" w:cs="Arial"/>
          <w:color w:val="000000" w:themeColor="text1"/>
          <w:sz w:val="21"/>
          <w:szCs w:val="21"/>
        </w:rPr>
        <w:t>……..</w:t>
      </w:r>
      <w:r w:rsidR="142058E5" w:rsidRPr="002364B5">
        <w:rPr>
          <w:rFonts w:ascii="Arial" w:hAnsi="Arial" w:cs="Arial"/>
          <w:color w:val="000000" w:themeColor="text1"/>
          <w:sz w:val="21"/>
          <w:szCs w:val="21"/>
        </w:rPr>
        <w:t xml:space="preserve"> będzie realizowany – tak jak dotychczas w odniesieniu do działki pierwotnej nr </w:t>
      </w:r>
      <w:r w:rsidR="00540E4B">
        <w:rPr>
          <w:rFonts w:ascii="Arial" w:hAnsi="Arial" w:cs="Arial"/>
          <w:color w:val="000000" w:themeColor="text1"/>
          <w:sz w:val="21"/>
          <w:szCs w:val="21"/>
        </w:rPr>
        <w:t>……</w:t>
      </w:r>
      <w:r w:rsidR="142058E5" w:rsidRPr="002364B5">
        <w:rPr>
          <w:rFonts w:ascii="Arial" w:hAnsi="Arial" w:cs="Arial"/>
          <w:color w:val="000000" w:themeColor="text1"/>
          <w:sz w:val="21"/>
          <w:szCs w:val="21"/>
        </w:rPr>
        <w:t xml:space="preserve"> – przez działkę sąsiednią należącą </w:t>
      </w:r>
      <w:r w:rsidR="00F14B9A">
        <w:rPr>
          <w:rFonts w:ascii="Arial" w:hAnsi="Arial" w:cs="Arial"/>
          <w:color w:val="000000" w:themeColor="text1"/>
          <w:sz w:val="21"/>
          <w:szCs w:val="21"/>
        </w:rPr>
        <w:br/>
      </w:r>
      <w:r w:rsidR="142058E5" w:rsidRPr="002364B5">
        <w:rPr>
          <w:rFonts w:ascii="Arial" w:hAnsi="Arial" w:cs="Arial"/>
          <w:color w:val="000000" w:themeColor="text1"/>
          <w:sz w:val="21"/>
          <w:szCs w:val="21"/>
        </w:rPr>
        <w:t xml:space="preserve">do wnioskodawcy. Wydłużenie drogi dojazdowej z ok. 200 m do ok. 400 m oraz okresowe utrudnienia związane z prowadzeniem robót budowlanych (w tym zapylenie terenu) mogą świadczyć co najwyżej o pogorszeniu warunków korzystania z nieruchomości, które – w świetle jednolitego orzecznictwa Sądu Najwyższego (wyroki: z 26 maja 2021 r., V CSKP 79/21 oraz </w:t>
      </w:r>
      <w:r w:rsidR="00AC7C43">
        <w:rPr>
          <w:rFonts w:ascii="Arial" w:hAnsi="Arial" w:cs="Arial"/>
          <w:color w:val="000000" w:themeColor="text1"/>
          <w:sz w:val="21"/>
          <w:szCs w:val="21"/>
        </w:rPr>
        <w:br/>
      </w:r>
      <w:r w:rsidR="142058E5" w:rsidRPr="002364B5">
        <w:rPr>
          <w:rFonts w:ascii="Arial" w:hAnsi="Arial" w:cs="Arial"/>
          <w:color w:val="000000" w:themeColor="text1"/>
          <w:sz w:val="21"/>
          <w:szCs w:val="21"/>
        </w:rPr>
        <w:t>z 9 października 2015 r., IV CSK 702/14) – nie stanowi przesłanki zastosowania art. 13 ust. 3 specustawy drogowej. Utrudnienia związane z realizacją robót miały nadto charakter przejściowy i wynikały z prowadzenia inwestycji, a nie z samego odłączenia części wywłaszczonej.</w:t>
      </w:r>
    </w:p>
    <w:p w14:paraId="2AA25901" w14:textId="49F573F3" w:rsidR="00425E3F" w:rsidRPr="00425E3F" w:rsidRDefault="00A56277" w:rsidP="00425E3F">
      <w:pPr>
        <w:pStyle w:val="Akapitzlist"/>
        <w:numPr>
          <w:ilvl w:val="0"/>
          <w:numId w:val="7"/>
        </w:numPr>
        <w:spacing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B73C23">
        <w:rPr>
          <w:rFonts w:ascii="Arial" w:hAnsi="Arial" w:cs="Arial"/>
          <w:color w:val="000000" w:themeColor="text1"/>
          <w:sz w:val="21"/>
          <w:szCs w:val="21"/>
        </w:rPr>
        <w:t>P</w:t>
      </w:r>
      <w:r w:rsidR="142058E5" w:rsidRPr="00B73C23">
        <w:rPr>
          <w:rFonts w:ascii="Arial" w:hAnsi="Arial" w:cs="Arial"/>
          <w:color w:val="000000" w:themeColor="text1"/>
          <w:sz w:val="21"/>
          <w:szCs w:val="21"/>
        </w:rPr>
        <w:t>owierzchnia</w:t>
      </w:r>
      <w:r w:rsidR="142058E5" w:rsidRPr="002364B5">
        <w:rPr>
          <w:rFonts w:ascii="Arial" w:hAnsi="Arial" w:cs="Arial"/>
          <w:color w:val="000000" w:themeColor="text1"/>
          <w:sz w:val="21"/>
          <w:szCs w:val="21"/>
        </w:rPr>
        <w:t xml:space="preserve">, kształt ani położenie działek nr </w:t>
      </w:r>
      <w:r w:rsidR="00540E4B">
        <w:rPr>
          <w:rFonts w:ascii="Arial" w:hAnsi="Arial" w:cs="Arial"/>
          <w:color w:val="000000" w:themeColor="text1"/>
          <w:sz w:val="21"/>
          <w:szCs w:val="21"/>
        </w:rPr>
        <w:t>…….</w:t>
      </w:r>
      <w:r w:rsidR="142058E5" w:rsidRPr="002364B5">
        <w:rPr>
          <w:rFonts w:ascii="Arial" w:hAnsi="Arial" w:cs="Arial"/>
          <w:color w:val="000000" w:themeColor="text1"/>
          <w:sz w:val="21"/>
          <w:szCs w:val="21"/>
        </w:rPr>
        <w:t xml:space="preserve"> nie powodują ich nieprzydatności gospodarczej</w:t>
      </w:r>
      <w:r w:rsidR="00425E3F">
        <w:rPr>
          <w:rFonts w:ascii="Arial" w:hAnsi="Arial" w:cs="Arial"/>
          <w:color w:val="000000" w:themeColor="text1"/>
          <w:sz w:val="21"/>
          <w:szCs w:val="21"/>
        </w:rPr>
        <w:t xml:space="preserve"> lub </w:t>
      </w:r>
      <w:r w:rsidR="00425E3F" w:rsidRPr="00425E3F">
        <w:rPr>
          <w:rFonts w:ascii="Arial" w:hAnsi="Arial" w:cs="Arial"/>
          <w:color w:val="000000" w:themeColor="text1"/>
          <w:sz w:val="21"/>
          <w:szCs w:val="21"/>
        </w:rPr>
        <w:t>brak</w:t>
      </w:r>
      <w:r w:rsidR="00425E3F">
        <w:rPr>
          <w:rFonts w:ascii="Arial" w:hAnsi="Arial" w:cs="Arial"/>
          <w:color w:val="000000" w:themeColor="text1"/>
          <w:sz w:val="21"/>
          <w:szCs w:val="21"/>
        </w:rPr>
        <w:t>u</w:t>
      </w:r>
      <w:r w:rsidR="00425E3F" w:rsidRPr="00425E3F">
        <w:rPr>
          <w:rFonts w:ascii="Arial" w:hAnsi="Arial" w:cs="Arial"/>
          <w:color w:val="000000" w:themeColor="text1"/>
          <w:sz w:val="21"/>
          <w:szCs w:val="21"/>
        </w:rPr>
        <w:t xml:space="preserve"> możliwości prawidłowego korzystania na dotychczasowe cele.</w:t>
      </w:r>
    </w:p>
    <w:p w14:paraId="26DE4BBF" w14:textId="5F200D9B" w:rsidR="00F24D61" w:rsidRPr="00425E3F" w:rsidRDefault="142058E5" w:rsidP="00F24D61">
      <w:pPr>
        <w:pStyle w:val="Akapitzlist"/>
        <w:numPr>
          <w:ilvl w:val="0"/>
          <w:numId w:val="7"/>
        </w:numPr>
        <w:spacing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Podnoszona przez wnioskodawcę nieopłacalność uprawy małego areału przy użyciu współczesnego sprzętu rolniczego oznacza konieczność zmiany sposobu osiągania dotychczasowego celu (np. użycie innych maszyn i urządzeń, wydzierżawienie gruntu sąsiadowi prowadzącemu gospodarstwo rolne), co zgodnie z wyrokiem Sądu Najwyższego </w:t>
      </w:r>
      <w:r w:rsidR="00425E3F">
        <w:rPr>
          <w:rFonts w:ascii="Arial" w:hAnsi="Arial" w:cs="Arial"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color w:val="000000" w:themeColor="text1"/>
          <w:sz w:val="21"/>
          <w:szCs w:val="21"/>
        </w:rPr>
        <w:t xml:space="preserve">z 9 października 2015 r., IV CSK 702/14 – pozostaje bez znaczenia dla oceny zasadności roszczenia. Działki pozostają funkcjonalnie powiązane z otaczającymi gruntami rolnymi, </w:t>
      </w:r>
      <w:r w:rsidR="00425E3F">
        <w:rPr>
          <w:rFonts w:ascii="Arial" w:hAnsi="Arial" w:cs="Arial"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color w:val="000000" w:themeColor="text1"/>
          <w:sz w:val="21"/>
          <w:szCs w:val="21"/>
        </w:rPr>
        <w:t>a właściciel zachowuje możliwość ich dalszego użytkowania, wydzierżawienia lub zbycia.</w:t>
      </w:r>
    </w:p>
    <w:p w14:paraId="3D71C86E" w14:textId="23565968" w:rsidR="0039705D" w:rsidRPr="0039705D" w:rsidRDefault="00A56277" w:rsidP="0039705D">
      <w:pPr>
        <w:pStyle w:val="Akapitzlist"/>
        <w:numPr>
          <w:ilvl w:val="0"/>
          <w:numId w:val="7"/>
        </w:numPr>
        <w:spacing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>
        <w:rPr>
          <w:rFonts w:ascii="Arial" w:hAnsi="Arial" w:cs="Arial"/>
          <w:color w:val="000000" w:themeColor="text1"/>
          <w:sz w:val="21"/>
          <w:szCs w:val="21"/>
        </w:rPr>
        <w:t>W</w:t>
      </w:r>
      <w:r w:rsidR="142058E5" w:rsidRPr="002364B5">
        <w:rPr>
          <w:rFonts w:ascii="Arial" w:hAnsi="Arial" w:cs="Arial"/>
          <w:color w:val="000000" w:themeColor="text1"/>
          <w:sz w:val="21"/>
          <w:szCs w:val="21"/>
        </w:rPr>
        <w:t xml:space="preserve">nioskodawca pomimo wezwania do uzupełnienia informacji – nie wykazał, stosownie </w:t>
      </w:r>
      <w:r>
        <w:rPr>
          <w:rFonts w:ascii="Arial" w:hAnsi="Arial" w:cs="Arial"/>
          <w:color w:val="000000" w:themeColor="text1"/>
          <w:sz w:val="21"/>
          <w:szCs w:val="21"/>
        </w:rPr>
        <w:br/>
      </w:r>
      <w:r w:rsidR="142058E5" w:rsidRPr="002364B5">
        <w:rPr>
          <w:rFonts w:ascii="Arial" w:hAnsi="Arial" w:cs="Arial"/>
          <w:color w:val="000000" w:themeColor="text1"/>
          <w:sz w:val="21"/>
          <w:szCs w:val="21"/>
        </w:rPr>
        <w:t xml:space="preserve">do art. 6 Kodeksu cywilnego, aby działki nr </w:t>
      </w:r>
      <w:r w:rsidR="00540E4B">
        <w:rPr>
          <w:rFonts w:ascii="Arial" w:hAnsi="Arial" w:cs="Arial"/>
          <w:color w:val="000000" w:themeColor="text1"/>
          <w:sz w:val="21"/>
          <w:szCs w:val="21"/>
        </w:rPr>
        <w:t>……..</w:t>
      </w:r>
      <w:r w:rsidR="0039705D" w:rsidRPr="0039705D">
        <w:rPr>
          <w:rFonts w:ascii="Segoe UI" w:eastAsia="Times New Roman" w:hAnsi="Segoe UI" w:cs="Segoe UI"/>
          <w:sz w:val="21"/>
          <w:szCs w:val="21"/>
        </w:rPr>
        <w:t xml:space="preserve"> </w:t>
      </w:r>
      <w:r w:rsidR="0039705D" w:rsidRPr="0039705D">
        <w:rPr>
          <w:rFonts w:ascii="Arial" w:hAnsi="Arial" w:cs="Arial"/>
          <w:color w:val="000000" w:themeColor="text1"/>
          <w:sz w:val="21"/>
          <w:szCs w:val="21"/>
        </w:rPr>
        <w:t xml:space="preserve">„nie wykazał (...) aby działki nr </w:t>
      </w:r>
      <w:r w:rsidR="00540E4B">
        <w:rPr>
          <w:rFonts w:ascii="Arial" w:hAnsi="Arial" w:cs="Arial"/>
          <w:color w:val="000000" w:themeColor="text1"/>
          <w:sz w:val="21"/>
          <w:szCs w:val="21"/>
        </w:rPr>
        <w:t>……….</w:t>
      </w:r>
      <w:r w:rsidR="0039705D" w:rsidRPr="0039705D">
        <w:rPr>
          <w:rFonts w:ascii="Arial" w:hAnsi="Arial" w:cs="Arial"/>
          <w:color w:val="000000" w:themeColor="text1"/>
          <w:sz w:val="21"/>
          <w:szCs w:val="21"/>
        </w:rPr>
        <w:t xml:space="preserve"> utraciły możliwość prawidłowego wykorzystania do prowadzenia produkcji rolniczej.</w:t>
      </w:r>
    </w:p>
    <w:p w14:paraId="34E25ED3" w14:textId="3A829A36" w:rsidR="00F24D61" w:rsidRDefault="142058E5" w:rsidP="00F14B9A">
      <w:pPr>
        <w:pStyle w:val="Akapitzlist"/>
        <w:numPr>
          <w:ilvl w:val="0"/>
          <w:numId w:val="7"/>
        </w:numPr>
        <w:spacing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color w:val="000000" w:themeColor="text1"/>
          <w:sz w:val="21"/>
          <w:szCs w:val="21"/>
        </w:rPr>
        <w:t>Przedstawiona argumentacja odnosi się do obniżenia opłacalności i dogodności gospodarowania, nie zaś do obiektywnej niemożności kontynuowania dotychczasowego sposobu korzystania z gruntu.</w:t>
      </w:r>
    </w:p>
    <w:p w14:paraId="782BCF49" w14:textId="77777777" w:rsidR="00540990" w:rsidRDefault="00540990" w:rsidP="00540990">
      <w:pPr>
        <w:spacing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01F4A383" w14:textId="77777777" w:rsidR="00540990" w:rsidRDefault="00540990" w:rsidP="00540990">
      <w:pPr>
        <w:spacing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033C2C59" w14:textId="77777777" w:rsidR="00540990" w:rsidRPr="00540990" w:rsidRDefault="00540990" w:rsidP="00540990">
      <w:pPr>
        <w:spacing w:after="240"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557E28A6" w14:textId="77777777" w:rsidR="000A63F5" w:rsidRPr="00684C8A" w:rsidRDefault="142058E5" w:rsidP="00F14B9A">
      <w:pPr>
        <w:pStyle w:val="Nagwek2"/>
        <w:spacing w:before="100" w:beforeAutospacing="1" w:after="100" w:afterAutospacing="1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684C8A"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  <w:t>III. WNIOSKI</w:t>
      </w:r>
    </w:p>
    <w:p w14:paraId="2AFFCD38" w14:textId="4C60EFE7" w:rsidR="000A63F5" w:rsidRPr="002364B5" w:rsidRDefault="142058E5" w:rsidP="3E362076">
      <w:pPr>
        <w:spacing w:before="100" w:beforeAutospacing="1" w:after="100" w:afterAutospacing="1"/>
        <w:jc w:val="both"/>
      </w:pPr>
      <w:r w:rsidRPr="3E362076">
        <w:rPr>
          <w:rFonts w:ascii="Arial" w:hAnsi="Arial" w:cs="Arial"/>
          <w:color w:val="000000" w:themeColor="text1"/>
          <w:sz w:val="21"/>
          <w:szCs w:val="21"/>
        </w:rPr>
        <w:t xml:space="preserve">W wyniku podziału nieruchomości pierwotnych oznaczonych jako działki nr </w:t>
      </w:r>
      <w:r w:rsidR="00540E4B">
        <w:rPr>
          <w:rFonts w:ascii="Arial" w:hAnsi="Arial" w:cs="Arial"/>
          <w:color w:val="000000" w:themeColor="text1"/>
          <w:sz w:val="21"/>
          <w:szCs w:val="21"/>
        </w:rPr>
        <w:t>……………</w:t>
      </w:r>
      <w:r w:rsidRPr="3E362076">
        <w:rPr>
          <w:rFonts w:ascii="Arial" w:hAnsi="Arial" w:cs="Arial"/>
          <w:color w:val="000000" w:themeColor="text1"/>
          <w:sz w:val="21"/>
          <w:szCs w:val="21"/>
        </w:rPr>
        <w:t xml:space="preserve">, dokonanego decyzją ZRID w związku z realizacją inwestycji drogowej pn. </w:t>
      </w:r>
      <w:r w:rsidRPr="3E362076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„Budowa mostu </w:t>
      </w:r>
      <w:r>
        <w:br/>
      </w:r>
      <w:r w:rsidRPr="3E362076">
        <w:rPr>
          <w:rFonts w:ascii="Arial" w:hAnsi="Arial" w:cs="Arial"/>
          <w:i/>
          <w:iCs/>
          <w:color w:val="000000" w:themeColor="text1"/>
          <w:sz w:val="21"/>
          <w:szCs w:val="21"/>
        </w:rPr>
        <w:t>nad rzeką Odrą w ciągu drogi wojewódzkiej nr 421”</w:t>
      </w:r>
      <w:r w:rsidRPr="3E362076">
        <w:rPr>
          <w:rFonts w:ascii="Arial" w:hAnsi="Arial" w:cs="Arial"/>
          <w:color w:val="000000" w:themeColor="text1"/>
          <w:sz w:val="21"/>
          <w:szCs w:val="21"/>
        </w:rPr>
        <w:t xml:space="preserve">, nie doszło do takiej zmiany sytuacji właściciela, która uniemożliwiałaby wykorzystanie pozostałej części nieruchomości zgodnie </w:t>
      </w:r>
      <w:r>
        <w:br/>
      </w:r>
      <w:r w:rsidRPr="3E362076">
        <w:rPr>
          <w:rFonts w:ascii="Arial" w:hAnsi="Arial" w:cs="Arial"/>
          <w:color w:val="000000" w:themeColor="text1"/>
          <w:sz w:val="21"/>
          <w:szCs w:val="21"/>
        </w:rPr>
        <w:t xml:space="preserve">z jej dotychczasowym sposobem użytkowania. Działki nr </w:t>
      </w:r>
      <w:r w:rsidR="00540E4B">
        <w:rPr>
          <w:rFonts w:ascii="Arial" w:hAnsi="Arial" w:cs="Arial"/>
          <w:color w:val="000000" w:themeColor="text1"/>
          <w:sz w:val="21"/>
          <w:szCs w:val="21"/>
        </w:rPr>
        <w:t>…………</w:t>
      </w:r>
      <w:r w:rsidRPr="3E362076">
        <w:rPr>
          <w:rFonts w:ascii="Arial" w:hAnsi="Arial" w:cs="Arial"/>
          <w:color w:val="000000" w:themeColor="text1"/>
          <w:sz w:val="21"/>
          <w:szCs w:val="21"/>
        </w:rPr>
        <w:t xml:space="preserve"> (tzw. resztówka) zachowują cechy umożliwiające ich racjonalne i zgodne z dotychczasowym przeznaczeniem wykorzystanie na cele rolnicze.</w:t>
      </w:r>
    </w:p>
    <w:p w14:paraId="78648567" w14:textId="11A0C905" w:rsidR="00A56277" w:rsidRPr="002364B5" w:rsidRDefault="142058E5" w:rsidP="00A56277">
      <w:pPr>
        <w:spacing w:after="240" w:line="276" w:lineRule="auto"/>
        <w:jc w:val="both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2364B5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W konsekwencji nie została spełniona przesłanka utraty przydatności pozostałej części nieruchomości do prawidłowego wykorzystania na dotychczasowe cele, określona </w:t>
      </w:r>
      <w:r w:rsidR="009035C5">
        <w:rPr>
          <w:rFonts w:ascii="Arial" w:hAnsi="Arial" w:cs="Arial"/>
          <w:b/>
          <w:bCs/>
          <w:color w:val="000000" w:themeColor="text1"/>
          <w:sz w:val="21"/>
          <w:szCs w:val="21"/>
        </w:rPr>
        <w:br/>
      </w:r>
      <w:r w:rsidRPr="002364B5">
        <w:rPr>
          <w:rFonts w:ascii="Arial" w:hAnsi="Arial" w:cs="Arial"/>
          <w:b/>
          <w:bCs/>
          <w:color w:val="000000" w:themeColor="text1"/>
          <w:sz w:val="21"/>
          <w:szCs w:val="21"/>
        </w:rPr>
        <w:t>w art. 13 ust. 3 specustawy drogowej i warunkująca powstanie po stronie zarządcy drogi obowiązku nabycia nieruchomości. Odmowa uwzględnienia wniosku jest zatem</w:t>
      </w:r>
      <w:r w:rsidR="00094094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</w:t>
      </w:r>
      <w:r w:rsidR="002D4A79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zasadna, </w:t>
      </w:r>
      <w:r w:rsidR="00094094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zgodna </w:t>
      </w:r>
      <w:r w:rsidR="002D4A79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z prawem i </w:t>
      </w:r>
      <w:r w:rsidR="00660E49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ze </w:t>
      </w:r>
      <w:r w:rsidR="00094094">
        <w:rPr>
          <w:rFonts w:ascii="Arial" w:hAnsi="Arial" w:cs="Arial"/>
          <w:b/>
          <w:bCs/>
          <w:color w:val="000000" w:themeColor="text1"/>
          <w:sz w:val="21"/>
          <w:szCs w:val="21"/>
        </w:rPr>
        <w:t>stanowiskiem Zarządu Dróg Wojewódzkich w Katowicach</w:t>
      </w:r>
      <w:r w:rsidR="002D4A79">
        <w:rPr>
          <w:rFonts w:ascii="Arial" w:hAnsi="Arial" w:cs="Arial"/>
          <w:b/>
          <w:bCs/>
          <w:color w:val="000000" w:themeColor="text1"/>
          <w:sz w:val="21"/>
          <w:szCs w:val="21"/>
        </w:rPr>
        <w:t>.</w:t>
      </w:r>
    </w:p>
    <w:p w14:paraId="27FDE248" w14:textId="77777777" w:rsidR="00612F79" w:rsidRPr="002364B5" w:rsidRDefault="00612F79" w:rsidP="00572FE3">
      <w:pPr>
        <w:spacing w:after="240" w:line="276" w:lineRule="auto"/>
        <w:rPr>
          <w:rFonts w:ascii="Arial" w:hAnsi="Arial" w:cs="Arial"/>
          <w:color w:val="000000" w:themeColor="text1"/>
          <w:sz w:val="21"/>
          <w:szCs w:val="21"/>
        </w:rPr>
      </w:pPr>
    </w:p>
    <w:sectPr w:rsidR="00612F79" w:rsidRPr="002364B5" w:rsidSect="00A56277">
      <w:footerReference w:type="default" r:id="rId8"/>
      <w:pgSz w:w="11906" w:h="16838"/>
      <w:pgMar w:top="851" w:right="1417" w:bottom="1417" w:left="1417" w:header="708" w:footer="5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E12AC" w14:textId="77777777" w:rsidR="001577BB" w:rsidRDefault="001577BB" w:rsidP="00FC0355">
      <w:r>
        <w:separator/>
      </w:r>
    </w:p>
  </w:endnote>
  <w:endnote w:type="continuationSeparator" w:id="0">
    <w:p w14:paraId="316E40A7" w14:textId="77777777" w:rsidR="001577BB" w:rsidRDefault="001577BB" w:rsidP="00FC0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1"/>
        <w:szCs w:val="21"/>
      </w:rPr>
      <w:id w:val="-122551625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1"/>
            <w:szCs w:val="21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2B3267" w14:textId="143F4D07" w:rsidR="00A56277" w:rsidRPr="00A56277" w:rsidRDefault="00A56277">
            <w:pPr>
              <w:pStyle w:val="Stopka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A56277">
              <w:rPr>
                <w:rFonts w:ascii="Arial" w:hAnsi="Arial" w:cs="Arial"/>
                <w:sz w:val="21"/>
                <w:szCs w:val="21"/>
              </w:rPr>
              <w:t xml:space="preserve">Strona </w:t>
            </w:r>
            <w:r w:rsidRPr="00A56277">
              <w:rPr>
                <w:rFonts w:ascii="Arial" w:hAnsi="Arial" w:cs="Arial"/>
                <w:sz w:val="21"/>
                <w:szCs w:val="21"/>
              </w:rPr>
              <w:fldChar w:fldCharType="begin"/>
            </w:r>
            <w:r w:rsidRPr="00A56277">
              <w:rPr>
                <w:rFonts w:ascii="Arial" w:hAnsi="Arial" w:cs="Arial"/>
                <w:sz w:val="21"/>
                <w:szCs w:val="21"/>
              </w:rPr>
              <w:instrText>PAGE</w:instrText>
            </w:r>
            <w:r w:rsidRPr="00A56277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56277">
              <w:rPr>
                <w:rFonts w:ascii="Arial" w:hAnsi="Arial" w:cs="Arial"/>
                <w:sz w:val="21"/>
                <w:szCs w:val="21"/>
              </w:rPr>
              <w:t>2</w:t>
            </w:r>
            <w:r w:rsidRPr="00A56277">
              <w:rPr>
                <w:rFonts w:ascii="Arial" w:hAnsi="Arial" w:cs="Arial"/>
                <w:sz w:val="21"/>
                <w:szCs w:val="21"/>
              </w:rPr>
              <w:fldChar w:fldCharType="end"/>
            </w:r>
            <w:r w:rsidRPr="00A56277">
              <w:rPr>
                <w:rFonts w:ascii="Arial" w:hAnsi="Arial" w:cs="Arial"/>
                <w:sz w:val="21"/>
                <w:szCs w:val="21"/>
              </w:rPr>
              <w:t xml:space="preserve"> z </w:t>
            </w:r>
            <w:r w:rsidRPr="00A56277">
              <w:rPr>
                <w:rFonts w:ascii="Arial" w:hAnsi="Arial" w:cs="Arial"/>
                <w:sz w:val="21"/>
                <w:szCs w:val="21"/>
              </w:rPr>
              <w:fldChar w:fldCharType="begin"/>
            </w:r>
            <w:r w:rsidRPr="00A56277">
              <w:rPr>
                <w:rFonts w:ascii="Arial" w:hAnsi="Arial" w:cs="Arial"/>
                <w:sz w:val="21"/>
                <w:szCs w:val="21"/>
              </w:rPr>
              <w:instrText>NUMPAGES</w:instrText>
            </w:r>
            <w:r w:rsidRPr="00A56277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A56277">
              <w:rPr>
                <w:rFonts w:ascii="Arial" w:hAnsi="Arial" w:cs="Arial"/>
                <w:sz w:val="21"/>
                <w:szCs w:val="21"/>
              </w:rPr>
              <w:t>2</w:t>
            </w:r>
            <w:r w:rsidRPr="00A56277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sdtContent>
      </w:sdt>
    </w:sdtContent>
  </w:sdt>
  <w:p w14:paraId="14F670AA" w14:textId="77777777" w:rsidR="00A56277" w:rsidRDefault="00A562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05CF6" w14:textId="77777777" w:rsidR="001577BB" w:rsidRDefault="001577BB" w:rsidP="00FC0355">
      <w:r>
        <w:separator/>
      </w:r>
    </w:p>
  </w:footnote>
  <w:footnote w:type="continuationSeparator" w:id="0">
    <w:p w14:paraId="131E4C2E" w14:textId="77777777" w:rsidR="001577BB" w:rsidRDefault="001577BB" w:rsidP="00FC0355">
      <w:r>
        <w:continuationSeparator/>
      </w:r>
    </w:p>
  </w:footnote>
  <w:footnote w:id="1">
    <w:p w14:paraId="1CFF2B18" w14:textId="4871CE3E" w:rsidR="00FC0355" w:rsidRPr="004D4081" w:rsidRDefault="00FC0355">
      <w:pPr>
        <w:pStyle w:val="Tekstprzypisudolnego"/>
        <w:rPr>
          <w:rFonts w:ascii="Arial" w:hAnsi="Arial" w:cs="Arial"/>
          <w:sz w:val="21"/>
          <w:szCs w:val="21"/>
        </w:rPr>
      </w:pPr>
      <w:r w:rsidRPr="004D4081">
        <w:rPr>
          <w:rStyle w:val="Odwoanieprzypisudolnego"/>
          <w:rFonts w:ascii="Arial" w:hAnsi="Arial" w:cs="Arial"/>
          <w:sz w:val="21"/>
          <w:szCs w:val="21"/>
        </w:rPr>
        <w:footnoteRef/>
      </w:r>
      <w:r w:rsidRPr="004D4081">
        <w:rPr>
          <w:rFonts w:ascii="Arial" w:hAnsi="Arial" w:cs="Arial"/>
          <w:sz w:val="21"/>
          <w:szCs w:val="21"/>
        </w:rPr>
        <w:t xml:space="preserve"> </w:t>
      </w:r>
      <w:r w:rsidRPr="004D4081">
        <w:rPr>
          <w:rFonts w:ascii="Arial" w:hAnsi="Arial" w:cs="Arial"/>
          <w:color w:val="000000" w:themeColor="text1"/>
          <w:sz w:val="21"/>
          <w:szCs w:val="21"/>
        </w:rPr>
        <w:t>data wpływu do Urzędu Marszałkowskiego Województwa Śląskiego: 12 stycznia 2026 r.</w:t>
      </w:r>
    </w:p>
  </w:footnote>
  <w:footnote w:id="2">
    <w:p w14:paraId="4A536FD5" w14:textId="2485296A" w:rsidR="00FC0355" w:rsidRDefault="00FC0355">
      <w:pPr>
        <w:pStyle w:val="Tekstprzypisudolnego"/>
      </w:pPr>
      <w:r w:rsidRPr="004D4081">
        <w:rPr>
          <w:rStyle w:val="Odwoanieprzypisudolnego"/>
          <w:rFonts w:ascii="Arial" w:hAnsi="Arial" w:cs="Arial"/>
          <w:sz w:val="21"/>
          <w:szCs w:val="21"/>
        </w:rPr>
        <w:footnoteRef/>
      </w:r>
      <w:r w:rsidRPr="004D4081">
        <w:rPr>
          <w:rFonts w:ascii="Arial" w:hAnsi="Arial" w:cs="Arial"/>
          <w:sz w:val="21"/>
          <w:szCs w:val="21"/>
        </w:rPr>
        <w:t xml:space="preserve"> </w:t>
      </w:r>
      <w:r w:rsidRPr="004D4081">
        <w:rPr>
          <w:rFonts w:ascii="Arial" w:hAnsi="Arial" w:cs="Arial"/>
          <w:color w:val="000000" w:themeColor="text1"/>
          <w:sz w:val="21"/>
          <w:szCs w:val="21"/>
        </w:rPr>
        <w:t>data wpływu: 30 stycznia 2026 r.</w:t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9IyRe6GJQgyga" int2:id="5vIe1Fft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94143"/>
    <w:multiLevelType w:val="hybridMultilevel"/>
    <w:tmpl w:val="E0302FC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5CAFF9B"/>
    <w:multiLevelType w:val="hybridMultilevel"/>
    <w:tmpl w:val="66A42B4C"/>
    <w:lvl w:ilvl="0" w:tplc="9118E8E2">
      <w:start w:val="1"/>
      <w:numFmt w:val="decimal"/>
      <w:lvlText w:val="%1)"/>
      <w:lvlJc w:val="left"/>
      <w:pPr>
        <w:ind w:left="360" w:hanging="360"/>
      </w:pPr>
    </w:lvl>
    <w:lvl w:ilvl="1" w:tplc="BA20054C">
      <w:numFmt w:val="decimal"/>
      <w:lvlText w:val=""/>
      <w:lvlJc w:val="left"/>
    </w:lvl>
    <w:lvl w:ilvl="2" w:tplc="75A6E9B4">
      <w:numFmt w:val="decimal"/>
      <w:lvlText w:val=""/>
      <w:lvlJc w:val="left"/>
    </w:lvl>
    <w:lvl w:ilvl="3" w:tplc="47086CE2">
      <w:numFmt w:val="decimal"/>
      <w:lvlText w:val=""/>
      <w:lvlJc w:val="left"/>
    </w:lvl>
    <w:lvl w:ilvl="4" w:tplc="9E2A631C">
      <w:numFmt w:val="decimal"/>
      <w:lvlText w:val=""/>
      <w:lvlJc w:val="left"/>
    </w:lvl>
    <w:lvl w:ilvl="5" w:tplc="988E1A10">
      <w:numFmt w:val="decimal"/>
      <w:lvlText w:val=""/>
      <w:lvlJc w:val="left"/>
    </w:lvl>
    <w:lvl w:ilvl="6" w:tplc="46140426">
      <w:numFmt w:val="decimal"/>
      <w:lvlText w:val=""/>
      <w:lvlJc w:val="left"/>
    </w:lvl>
    <w:lvl w:ilvl="7" w:tplc="7916A350">
      <w:numFmt w:val="decimal"/>
      <w:lvlText w:val=""/>
      <w:lvlJc w:val="left"/>
    </w:lvl>
    <w:lvl w:ilvl="8" w:tplc="AF40AE38">
      <w:numFmt w:val="decimal"/>
      <w:lvlText w:val=""/>
      <w:lvlJc w:val="left"/>
    </w:lvl>
  </w:abstractNum>
  <w:abstractNum w:abstractNumId="2" w15:restartNumberingAfterBreak="0">
    <w:nsid w:val="1DC00240"/>
    <w:multiLevelType w:val="hybridMultilevel"/>
    <w:tmpl w:val="DABE56A6"/>
    <w:lvl w:ilvl="0" w:tplc="7368C432">
      <w:start w:val="1"/>
      <w:numFmt w:val="decimal"/>
      <w:lvlText w:val="2.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9BEBB"/>
    <w:multiLevelType w:val="hybridMultilevel"/>
    <w:tmpl w:val="6658B5A6"/>
    <w:lvl w:ilvl="0" w:tplc="325C5E3C">
      <w:start w:val="1"/>
      <w:numFmt w:val="bullet"/>
      <w:lvlText w:val="–"/>
      <w:lvlJc w:val="left"/>
      <w:pPr>
        <w:ind w:left="360" w:hanging="360"/>
      </w:pPr>
    </w:lvl>
    <w:lvl w:ilvl="1" w:tplc="8AF6895E">
      <w:numFmt w:val="decimal"/>
      <w:lvlText w:val=""/>
      <w:lvlJc w:val="left"/>
    </w:lvl>
    <w:lvl w:ilvl="2" w:tplc="8264CAB4">
      <w:numFmt w:val="decimal"/>
      <w:lvlText w:val=""/>
      <w:lvlJc w:val="left"/>
    </w:lvl>
    <w:lvl w:ilvl="3" w:tplc="FB3231DC">
      <w:numFmt w:val="decimal"/>
      <w:lvlText w:val=""/>
      <w:lvlJc w:val="left"/>
    </w:lvl>
    <w:lvl w:ilvl="4" w:tplc="2B36444A">
      <w:numFmt w:val="decimal"/>
      <w:lvlText w:val=""/>
      <w:lvlJc w:val="left"/>
    </w:lvl>
    <w:lvl w:ilvl="5" w:tplc="36FA6524">
      <w:numFmt w:val="decimal"/>
      <w:lvlText w:val=""/>
      <w:lvlJc w:val="left"/>
    </w:lvl>
    <w:lvl w:ilvl="6" w:tplc="6C5A2DFE">
      <w:numFmt w:val="decimal"/>
      <w:lvlText w:val=""/>
      <w:lvlJc w:val="left"/>
    </w:lvl>
    <w:lvl w:ilvl="7" w:tplc="EF58A19C">
      <w:numFmt w:val="decimal"/>
      <w:lvlText w:val=""/>
      <w:lvlJc w:val="left"/>
    </w:lvl>
    <w:lvl w:ilvl="8" w:tplc="719A9702">
      <w:numFmt w:val="decimal"/>
      <w:lvlText w:val=""/>
      <w:lvlJc w:val="left"/>
    </w:lvl>
  </w:abstractNum>
  <w:abstractNum w:abstractNumId="4" w15:restartNumberingAfterBreak="0">
    <w:nsid w:val="467E8155"/>
    <w:multiLevelType w:val="hybridMultilevel"/>
    <w:tmpl w:val="B81E0E36"/>
    <w:lvl w:ilvl="0" w:tplc="8F7E4F46">
      <w:start w:val="1"/>
      <w:numFmt w:val="bullet"/>
      <w:lvlText w:val="●"/>
      <w:lvlJc w:val="left"/>
      <w:pPr>
        <w:ind w:left="720" w:hanging="360"/>
      </w:pPr>
    </w:lvl>
    <w:lvl w:ilvl="1" w:tplc="88DA9624">
      <w:start w:val="1"/>
      <w:numFmt w:val="bullet"/>
      <w:lvlText w:val="○"/>
      <w:lvlJc w:val="left"/>
      <w:pPr>
        <w:ind w:left="1440" w:hanging="360"/>
      </w:pPr>
    </w:lvl>
    <w:lvl w:ilvl="2" w:tplc="89505440">
      <w:start w:val="1"/>
      <w:numFmt w:val="bullet"/>
      <w:lvlText w:val="■"/>
      <w:lvlJc w:val="left"/>
      <w:pPr>
        <w:ind w:left="2160" w:hanging="360"/>
      </w:pPr>
    </w:lvl>
    <w:lvl w:ilvl="3" w:tplc="9AA6745A">
      <w:start w:val="1"/>
      <w:numFmt w:val="bullet"/>
      <w:lvlText w:val="●"/>
      <w:lvlJc w:val="left"/>
      <w:pPr>
        <w:ind w:left="2880" w:hanging="360"/>
      </w:pPr>
    </w:lvl>
    <w:lvl w:ilvl="4" w:tplc="3856B1E2">
      <w:start w:val="1"/>
      <w:numFmt w:val="bullet"/>
      <w:lvlText w:val="○"/>
      <w:lvlJc w:val="left"/>
      <w:pPr>
        <w:ind w:left="3600" w:hanging="360"/>
      </w:pPr>
    </w:lvl>
    <w:lvl w:ilvl="5" w:tplc="BFE67342">
      <w:start w:val="1"/>
      <w:numFmt w:val="bullet"/>
      <w:lvlText w:val="■"/>
      <w:lvlJc w:val="left"/>
      <w:pPr>
        <w:ind w:left="4320" w:hanging="360"/>
      </w:pPr>
    </w:lvl>
    <w:lvl w:ilvl="6" w:tplc="05F04AC0">
      <w:start w:val="1"/>
      <w:numFmt w:val="bullet"/>
      <w:lvlText w:val="●"/>
      <w:lvlJc w:val="left"/>
      <w:pPr>
        <w:ind w:left="5040" w:hanging="360"/>
      </w:pPr>
    </w:lvl>
    <w:lvl w:ilvl="7" w:tplc="3F6C89AE">
      <w:start w:val="1"/>
      <w:numFmt w:val="bullet"/>
      <w:lvlText w:val="●"/>
      <w:lvlJc w:val="left"/>
      <w:pPr>
        <w:ind w:left="5760" w:hanging="360"/>
      </w:pPr>
    </w:lvl>
    <w:lvl w:ilvl="8" w:tplc="405A1084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4E7115A0"/>
    <w:multiLevelType w:val="hybridMultilevel"/>
    <w:tmpl w:val="C02850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5839666">
    <w:abstractNumId w:val="4"/>
    <w:lvlOverride w:ilvl="0">
      <w:startOverride w:val="1"/>
    </w:lvlOverride>
  </w:num>
  <w:num w:numId="2" w16cid:durableId="933434934">
    <w:abstractNumId w:val="1"/>
    <w:lvlOverride w:ilvl="0">
      <w:startOverride w:val="1"/>
    </w:lvlOverride>
  </w:num>
  <w:num w:numId="3" w16cid:durableId="91358783">
    <w:abstractNumId w:val="3"/>
    <w:lvlOverride w:ilvl="0">
      <w:startOverride w:val="1"/>
    </w:lvlOverride>
  </w:num>
  <w:num w:numId="4" w16cid:durableId="573010833">
    <w:abstractNumId w:val="3"/>
  </w:num>
  <w:num w:numId="5" w16cid:durableId="1924794374">
    <w:abstractNumId w:val="0"/>
  </w:num>
  <w:num w:numId="6" w16cid:durableId="78983822">
    <w:abstractNumId w:val="2"/>
  </w:num>
  <w:num w:numId="7" w16cid:durableId="161267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2058E5"/>
    <w:rsid w:val="00006C03"/>
    <w:rsid w:val="00012E90"/>
    <w:rsid w:val="00051AF7"/>
    <w:rsid w:val="00075D68"/>
    <w:rsid w:val="0007775F"/>
    <w:rsid w:val="00087DA0"/>
    <w:rsid w:val="00094094"/>
    <w:rsid w:val="000A63F5"/>
    <w:rsid w:val="000B47C5"/>
    <w:rsid w:val="000B4CC8"/>
    <w:rsid w:val="00133ABB"/>
    <w:rsid w:val="00137BEF"/>
    <w:rsid w:val="001577BB"/>
    <w:rsid w:val="00180763"/>
    <w:rsid w:val="0019019B"/>
    <w:rsid w:val="001A4803"/>
    <w:rsid w:val="001A7825"/>
    <w:rsid w:val="001E7E15"/>
    <w:rsid w:val="002364B5"/>
    <w:rsid w:val="00270C28"/>
    <w:rsid w:val="002817C5"/>
    <w:rsid w:val="00286CED"/>
    <w:rsid w:val="00296763"/>
    <w:rsid w:val="002C59F3"/>
    <w:rsid w:val="002D4A79"/>
    <w:rsid w:val="002F2512"/>
    <w:rsid w:val="003054BA"/>
    <w:rsid w:val="00383B5B"/>
    <w:rsid w:val="0039705D"/>
    <w:rsid w:val="003B5FEC"/>
    <w:rsid w:val="00422D81"/>
    <w:rsid w:val="00425E3F"/>
    <w:rsid w:val="0046234A"/>
    <w:rsid w:val="004712F3"/>
    <w:rsid w:val="004918B4"/>
    <w:rsid w:val="00492818"/>
    <w:rsid w:val="004C0D6E"/>
    <w:rsid w:val="004D4081"/>
    <w:rsid w:val="004F1088"/>
    <w:rsid w:val="00520723"/>
    <w:rsid w:val="0052764C"/>
    <w:rsid w:val="00540990"/>
    <w:rsid w:val="00540E4B"/>
    <w:rsid w:val="00572FE3"/>
    <w:rsid w:val="0057698C"/>
    <w:rsid w:val="005A4F62"/>
    <w:rsid w:val="005C0DC5"/>
    <w:rsid w:val="005E7A72"/>
    <w:rsid w:val="00612F79"/>
    <w:rsid w:val="00620A68"/>
    <w:rsid w:val="00660E49"/>
    <w:rsid w:val="00667C92"/>
    <w:rsid w:val="00684C8A"/>
    <w:rsid w:val="006B4B9E"/>
    <w:rsid w:val="006E6C7F"/>
    <w:rsid w:val="00730C21"/>
    <w:rsid w:val="0076495B"/>
    <w:rsid w:val="007C2F63"/>
    <w:rsid w:val="007C4CB4"/>
    <w:rsid w:val="00807975"/>
    <w:rsid w:val="00862672"/>
    <w:rsid w:val="00875184"/>
    <w:rsid w:val="0089476E"/>
    <w:rsid w:val="00897133"/>
    <w:rsid w:val="008D5937"/>
    <w:rsid w:val="009035C5"/>
    <w:rsid w:val="00914BB2"/>
    <w:rsid w:val="00957AB0"/>
    <w:rsid w:val="009838D8"/>
    <w:rsid w:val="009A35D7"/>
    <w:rsid w:val="00A25B09"/>
    <w:rsid w:val="00A3558E"/>
    <w:rsid w:val="00A35FBF"/>
    <w:rsid w:val="00A4751A"/>
    <w:rsid w:val="00A56277"/>
    <w:rsid w:val="00A62633"/>
    <w:rsid w:val="00A81CEA"/>
    <w:rsid w:val="00AB5463"/>
    <w:rsid w:val="00AC5507"/>
    <w:rsid w:val="00AC7C43"/>
    <w:rsid w:val="00B235D3"/>
    <w:rsid w:val="00B73C23"/>
    <w:rsid w:val="00BD70CC"/>
    <w:rsid w:val="00BE6FAD"/>
    <w:rsid w:val="00BF27FF"/>
    <w:rsid w:val="00C132E2"/>
    <w:rsid w:val="00C330DB"/>
    <w:rsid w:val="00C42D4C"/>
    <w:rsid w:val="00C54E70"/>
    <w:rsid w:val="00C978E8"/>
    <w:rsid w:val="00CA1847"/>
    <w:rsid w:val="00D2302A"/>
    <w:rsid w:val="00D40A09"/>
    <w:rsid w:val="00D52FFE"/>
    <w:rsid w:val="00DB5E40"/>
    <w:rsid w:val="00DE4E38"/>
    <w:rsid w:val="00ED07B5"/>
    <w:rsid w:val="00ED26FF"/>
    <w:rsid w:val="00F14B9A"/>
    <w:rsid w:val="00F24D61"/>
    <w:rsid w:val="00F3319D"/>
    <w:rsid w:val="00F85589"/>
    <w:rsid w:val="00FB4B85"/>
    <w:rsid w:val="00FC0355"/>
    <w:rsid w:val="00FE06A0"/>
    <w:rsid w:val="07DCB047"/>
    <w:rsid w:val="1091398E"/>
    <w:rsid w:val="13F5D7A6"/>
    <w:rsid w:val="142058E5"/>
    <w:rsid w:val="16A242FA"/>
    <w:rsid w:val="16B5937B"/>
    <w:rsid w:val="1C8CBED7"/>
    <w:rsid w:val="27ADE72E"/>
    <w:rsid w:val="2BAD0B9C"/>
    <w:rsid w:val="36B17D9C"/>
    <w:rsid w:val="3DA97DFD"/>
    <w:rsid w:val="3E362076"/>
    <w:rsid w:val="422A141C"/>
    <w:rsid w:val="5332A0FD"/>
    <w:rsid w:val="5AC1E1BF"/>
    <w:rsid w:val="5DE4F2F1"/>
    <w:rsid w:val="5E04C74C"/>
    <w:rsid w:val="61E7B0AE"/>
    <w:rsid w:val="64C9BB33"/>
    <w:rsid w:val="677FD631"/>
    <w:rsid w:val="70D7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7D7CC"/>
  <w15:docId w15:val="{9BE287F5-CDD5-44CA-A8FD-B628212B5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142058E5"/>
  </w:style>
  <w:style w:type="paragraph" w:styleId="Nagwek1">
    <w:name w:val="heading 1"/>
    <w:basedOn w:val="Normalny"/>
    <w:next w:val="Normalny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rPr>
      <w:sz w:val="56"/>
      <w:szCs w:val="56"/>
    </w:rPr>
  </w:style>
  <w:style w:type="paragraph" w:customStyle="1" w:styleId="Pogrubienie1">
    <w:name w:val="Pogrubienie1"/>
    <w:basedOn w:val="Normalny"/>
    <w:next w:val="Normalny"/>
    <w:qFormat/>
    <w:rPr>
      <w:b/>
      <w:bCs/>
    </w:rPr>
  </w:style>
  <w:style w:type="paragraph" w:styleId="Akapitzlist">
    <w:name w:val="List Paragraph"/>
    <w:basedOn w:val="Normalny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7C92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5627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6277"/>
  </w:style>
  <w:style w:type="paragraph" w:styleId="Stopka">
    <w:name w:val="footer"/>
    <w:basedOn w:val="Normalny"/>
    <w:link w:val="StopkaZnak"/>
    <w:uiPriority w:val="99"/>
    <w:unhideWhenUsed/>
    <w:rsid w:val="00A562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6277"/>
  </w:style>
  <w:style w:type="paragraph" w:styleId="Podtytu">
    <w:name w:val="Subtitle"/>
    <w:basedOn w:val="Normalny"/>
    <w:next w:val="Normalny"/>
    <w:link w:val="PodtytuZnak"/>
    <w:uiPriority w:val="11"/>
    <w:qFormat/>
    <w:rsid w:val="0089476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9476E"/>
    <w:rPr>
      <w:rFonts w:asciiTheme="minorHAnsi" w:eastAsiaTheme="minorEastAsia" w:hAnsiTheme="minorHAnsi" w:cstheme="minorBidi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3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20/10/relationships/intelligence" Target="intelligence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81B6E-D009-4506-BE93-619421689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1987</Words>
  <Characters>11928</Characters>
  <Application>Microsoft Office Word</Application>
  <DocSecurity>0</DocSecurity>
  <Lines>99</Lines>
  <Paragraphs>27</Paragraphs>
  <ScaleCrop>false</ScaleCrop>
  <Company/>
  <LinksUpToDate>false</LinksUpToDate>
  <CharactersWithSpaces>13888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Szczecina Beata</cp:lastModifiedBy>
  <cp:revision>2</cp:revision>
  <dcterms:created xsi:type="dcterms:W3CDTF">2026-08-11T10:45:00Z</dcterms:created>
  <dcterms:modified xsi:type="dcterms:W3CDTF">2026-08-11T10:45:00Z</dcterms:modified>
</cp:coreProperties>
</file>