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D00F6" w14:textId="77777777" w:rsidR="004C7E36" w:rsidRPr="006C7340" w:rsidRDefault="004C7E36" w:rsidP="004C7E36">
      <w:pPr>
        <w:ind w:left="6372"/>
        <w:jc w:val="right"/>
        <w:rPr>
          <w:rFonts w:cs="Arial"/>
        </w:rPr>
      </w:pPr>
      <w:r>
        <w:rPr>
          <w:szCs w:val="20"/>
        </w:rPr>
        <w:t xml:space="preserve">           </w:t>
      </w:r>
      <w:r w:rsidRPr="006C7340">
        <w:rPr>
          <w:rFonts w:cs="Arial"/>
        </w:rPr>
        <w:t xml:space="preserve">Załącznik do Uchwały </w:t>
      </w:r>
    </w:p>
    <w:p w14:paraId="2CAA9E55" w14:textId="77777777" w:rsidR="004C7E36" w:rsidRPr="006C7340" w:rsidRDefault="004C7E36" w:rsidP="004C7E36">
      <w:pPr>
        <w:jc w:val="right"/>
        <w:rPr>
          <w:rFonts w:cs="Arial"/>
        </w:rPr>
      </w:pPr>
      <w:r>
        <w:rPr>
          <w:rFonts w:cs="Arial"/>
        </w:rPr>
        <w:t>n</w:t>
      </w:r>
      <w:r w:rsidRPr="006C7340">
        <w:rPr>
          <w:rFonts w:cs="Arial"/>
        </w:rPr>
        <w:t>r</w:t>
      </w:r>
      <w:r>
        <w:rPr>
          <w:rFonts w:cs="Arial"/>
        </w:rPr>
        <w:t xml:space="preserve"> 2505/291/VI/</w:t>
      </w:r>
      <w:r w:rsidRPr="006C7340">
        <w:rPr>
          <w:rFonts w:cs="Arial"/>
        </w:rPr>
        <w:t>2021</w:t>
      </w:r>
    </w:p>
    <w:p w14:paraId="2888E8DD" w14:textId="77777777" w:rsidR="004C7E36" w:rsidRPr="006C7340" w:rsidRDefault="004C7E36" w:rsidP="004C7E36">
      <w:pPr>
        <w:jc w:val="right"/>
        <w:rPr>
          <w:rFonts w:cs="Arial"/>
        </w:rPr>
      </w:pPr>
      <w:r w:rsidRPr="006C7340">
        <w:rPr>
          <w:rFonts w:cs="Arial"/>
        </w:rPr>
        <w:t xml:space="preserve">Zarządu Województwa </w:t>
      </w:r>
    </w:p>
    <w:p w14:paraId="275A32CA" w14:textId="77777777" w:rsidR="004C7E36" w:rsidRPr="006C7340" w:rsidRDefault="004C7E36" w:rsidP="004C7E36">
      <w:pPr>
        <w:jc w:val="right"/>
        <w:rPr>
          <w:rFonts w:cs="Arial"/>
        </w:rPr>
      </w:pPr>
      <w:r w:rsidRPr="006C7340">
        <w:rPr>
          <w:rFonts w:cs="Arial"/>
        </w:rPr>
        <w:t>Śląskiego z dnia</w:t>
      </w:r>
    </w:p>
    <w:p w14:paraId="4A5B3451" w14:textId="77777777" w:rsidR="004C7E36" w:rsidRPr="006C7340" w:rsidRDefault="004C7E36" w:rsidP="004C7E36">
      <w:pPr>
        <w:jc w:val="right"/>
        <w:rPr>
          <w:rFonts w:cs="Arial"/>
        </w:rPr>
      </w:pPr>
      <w:r>
        <w:rPr>
          <w:rFonts w:cs="Arial"/>
        </w:rPr>
        <w:t>24.11.2021r.</w:t>
      </w:r>
    </w:p>
    <w:p w14:paraId="27F2E576" w14:textId="77777777" w:rsidR="004C7E36" w:rsidRDefault="004C7E36" w:rsidP="004C7E36">
      <w:pPr>
        <w:jc w:val="right"/>
        <w:rPr>
          <w:rFonts w:cs="Arial"/>
        </w:rPr>
      </w:pPr>
    </w:p>
    <w:p w14:paraId="2C59B822" w14:textId="77777777" w:rsidR="004C7E36" w:rsidRDefault="004C7E36" w:rsidP="004C7E36">
      <w:pPr>
        <w:jc w:val="both"/>
        <w:rPr>
          <w:rFonts w:cs="Arial"/>
        </w:rPr>
      </w:pPr>
    </w:p>
    <w:p w14:paraId="08F9C925" w14:textId="77777777" w:rsidR="004C7E36" w:rsidRDefault="004C7E36" w:rsidP="004C7E36">
      <w:pPr>
        <w:jc w:val="both"/>
        <w:rPr>
          <w:rFonts w:cs="Arial"/>
        </w:rPr>
      </w:pPr>
    </w:p>
    <w:p w14:paraId="71A64D48" w14:textId="77777777" w:rsidR="004C7E36" w:rsidRPr="008D79FA" w:rsidRDefault="004C7E36" w:rsidP="004C7E36">
      <w:pPr>
        <w:ind w:left="4248" w:firstLine="708"/>
        <w:jc w:val="both"/>
        <w:rPr>
          <w:rFonts w:cs="Arial"/>
          <w:b/>
        </w:rPr>
      </w:pPr>
      <w:r w:rsidRPr="008D79FA">
        <w:rPr>
          <w:rFonts w:cs="Arial"/>
          <w:b/>
        </w:rPr>
        <w:t xml:space="preserve">Pan </w:t>
      </w:r>
    </w:p>
    <w:p w14:paraId="13EFAFE1" w14:textId="77777777" w:rsidR="004C7E36" w:rsidRDefault="004C7E36" w:rsidP="004C7E36">
      <w:pPr>
        <w:jc w:val="both"/>
        <w:rPr>
          <w:rFonts w:cs="Arial"/>
          <w:b/>
        </w:rPr>
      </w:pPr>
      <w:r w:rsidRPr="008D79FA">
        <w:rPr>
          <w:rFonts w:cs="Arial"/>
          <w:b/>
        </w:rPr>
        <w:tab/>
      </w:r>
      <w:r w:rsidRPr="008D79FA">
        <w:rPr>
          <w:rFonts w:cs="Arial"/>
          <w:b/>
        </w:rPr>
        <w:tab/>
      </w:r>
      <w:r w:rsidRPr="008D79FA">
        <w:rPr>
          <w:rFonts w:cs="Arial"/>
          <w:b/>
        </w:rPr>
        <w:tab/>
      </w:r>
      <w:r w:rsidRPr="008D79FA">
        <w:rPr>
          <w:rFonts w:cs="Arial"/>
          <w:b/>
        </w:rPr>
        <w:tab/>
      </w:r>
      <w:r w:rsidRPr="008D79FA">
        <w:rPr>
          <w:rFonts w:cs="Arial"/>
          <w:b/>
        </w:rPr>
        <w:tab/>
      </w:r>
      <w:r w:rsidRPr="008D79FA">
        <w:rPr>
          <w:rFonts w:cs="Arial"/>
          <w:b/>
        </w:rPr>
        <w:tab/>
      </w:r>
      <w:r w:rsidRPr="008D79FA">
        <w:rPr>
          <w:rFonts w:cs="Arial"/>
          <w:b/>
        </w:rPr>
        <w:tab/>
      </w:r>
      <w:proofErr w:type="spellStart"/>
      <w:r>
        <w:rPr>
          <w:rFonts w:cs="Arial"/>
          <w:b/>
        </w:rPr>
        <w:t>xxxxxxxxxxxxx</w:t>
      </w:r>
      <w:proofErr w:type="spellEnd"/>
    </w:p>
    <w:p w14:paraId="6D3B13CA" w14:textId="77777777" w:rsidR="004C7E36" w:rsidRDefault="004C7E36" w:rsidP="004C7E36">
      <w:pPr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proofErr w:type="spellStart"/>
      <w:r>
        <w:rPr>
          <w:rFonts w:cs="Arial"/>
          <w:b/>
        </w:rPr>
        <w:t>xxxxxxxxxxxxx</w:t>
      </w:r>
      <w:proofErr w:type="spellEnd"/>
    </w:p>
    <w:p w14:paraId="0E733069" w14:textId="77777777" w:rsidR="004C7E36" w:rsidRDefault="004C7E36" w:rsidP="004C7E36">
      <w:pPr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proofErr w:type="spellStart"/>
      <w:r>
        <w:rPr>
          <w:rFonts w:cs="Arial"/>
          <w:b/>
        </w:rPr>
        <w:t>xxxxxxxxxxxxx</w:t>
      </w:r>
      <w:proofErr w:type="spellEnd"/>
    </w:p>
    <w:p w14:paraId="7414E1B7" w14:textId="77777777" w:rsidR="004C7E36" w:rsidRDefault="004C7E36" w:rsidP="004C7E36">
      <w:pPr>
        <w:ind w:left="2832"/>
        <w:jc w:val="center"/>
        <w:rPr>
          <w:rFonts w:cs="Arial"/>
          <w:b/>
        </w:rPr>
      </w:pPr>
      <w:r>
        <w:rPr>
          <w:rFonts w:cs="Arial"/>
          <w:b/>
        </w:rPr>
        <w:t xml:space="preserve">    Reprezentowany przez</w:t>
      </w:r>
    </w:p>
    <w:p w14:paraId="602424D0" w14:textId="77777777" w:rsidR="004C7E36" w:rsidRDefault="004C7E36" w:rsidP="004C7E36">
      <w:pPr>
        <w:ind w:left="2832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proofErr w:type="spellStart"/>
      <w:r>
        <w:rPr>
          <w:rFonts w:cs="Arial"/>
          <w:b/>
        </w:rPr>
        <w:t>xxxxxxxxxxxxx</w:t>
      </w:r>
      <w:proofErr w:type="spellEnd"/>
    </w:p>
    <w:p w14:paraId="65A518CD" w14:textId="77777777" w:rsidR="004C7E36" w:rsidRDefault="004C7E36" w:rsidP="004C7E36">
      <w:pPr>
        <w:ind w:left="2832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proofErr w:type="spellStart"/>
      <w:r>
        <w:rPr>
          <w:rFonts w:cs="Arial"/>
          <w:b/>
        </w:rPr>
        <w:t>xxxxxxxxxxxxx</w:t>
      </w:r>
      <w:proofErr w:type="spellEnd"/>
    </w:p>
    <w:p w14:paraId="09B55721" w14:textId="77777777" w:rsidR="004C7E36" w:rsidRPr="008D79FA" w:rsidRDefault="004C7E36" w:rsidP="004C7E36">
      <w:pPr>
        <w:ind w:left="4248" w:firstLine="708"/>
        <w:jc w:val="both"/>
        <w:rPr>
          <w:rFonts w:cs="Arial"/>
          <w:b/>
        </w:rPr>
      </w:pPr>
      <w:r w:rsidRPr="008D79FA">
        <w:rPr>
          <w:rFonts w:cs="Arial"/>
          <w:b/>
        </w:rPr>
        <w:t xml:space="preserve">Kancelaria Adwokacka </w:t>
      </w:r>
    </w:p>
    <w:p w14:paraId="0CDC3AA0" w14:textId="77777777" w:rsidR="004C7E36" w:rsidRDefault="004C7E36" w:rsidP="004C7E36">
      <w:pPr>
        <w:jc w:val="both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proofErr w:type="spellStart"/>
      <w:r>
        <w:rPr>
          <w:rFonts w:cs="Arial"/>
          <w:b/>
        </w:rPr>
        <w:t>xxxxxxxxxxxxxxxxxxx</w:t>
      </w:r>
      <w:proofErr w:type="spellEnd"/>
    </w:p>
    <w:p w14:paraId="77C1B0FD" w14:textId="77777777" w:rsidR="004C7E36" w:rsidRDefault="004C7E36" w:rsidP="004C7E36">
      <w:pPr>
        <w:jc w:val="both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proofErr w:type="spellStart"/>
      <w:r>
        <w:rPr>
          <w:rFonts w:cs="Arial"/>
          <w:b/>
        </w:rPr>
        <w:t>xxxxxxxxxxxxxxxxxxx</w:t>
      </w:r>
      <w:proofErr w:type="spellEnd"/>
    </w:p>
    <w:p w14:paraId="5CAFC1D6" w14:textId="77777777" w:rsidR="004C7E36" w:rsidRDefault="004C7E36" w:rsidP="004C7E36">
      <w:pPr>
        <w:jc w:val="both"/>
        <w:rPr>
          <w:rFonts w:cs="Arial"/>
          <w:b/>
        </w:rPr>
      </w:pPr>
    </w:p>
    <w:p w14:paraId="5DAC062F" w14:textId="77777777" w:rsidR="004C7E36" w:rsidRDefault="004C7E36" w:rsidP="004C7E36">
      <w:pPr>
        <w:jc w:val="both"/>
        <w:rPr>
          <w:rFonts w:cs="Arial"/>
          <w:b/>
        </w:rPr>
      </w:pPr>
    </w:p>
    <w:p w14:paraId="2B7611F1" w14:textId="77777777" w:rsidR="004C7E36" w:rsidRDefault="004C7E36" w:rsidP="004C7E36">
      <w:pPr>
        <w:jc w:val="both"/>
        <w:rPr>
          <w:rFonts w:cs="Arial"/>
        </w:rPr>
      </w:pPr>
      <w:r>
        <w:rPr>
          <w:rFonts w:cs="Arial"/>
        </w:rPr>
        <w:t xml:space="preserve">Nawiązując do złożonej przez Pana petycji z dnia 1 września 2021 r. w sprawie przeprowadzenia inwentaryzacji środowiskowej umożliwiającej określenie bioróżnorodności przyrodniczej obszaru oraz podjęcia uchwały w przedmiocie zmniejszenia obszaru chronionego krajobrazu „Dobra- </w:t>
      </w:r>
      <w:proofErr w:type="spellStart"/>
      <w:r>
        <w:rPr>
          <w:rFonts w:cs="Arial"/>
        </w:rPr>
        <w:t>Wilkoszyn</w:t>
      </w:r>
      <w:proofErr w:type="spellEnd"/>
      <w:r>
        <w:rPr>
          <w:rFonts w:cs="Arial"/>
        </w:rPr>
        <w:t>” informuję co następuje.</w:t>
      </w:r>
    </w:p>
    <w:p w14:paraId="6B9B0E5C" w14:textId="77777777" w:rsidR="004C7E36" w:rsidRDefault="004C7E36" w:rsidP="004C7E36">
      <w:pPr>
        <w:jc w:val="both"/>
        <w:rPr>
          <w:rFonts w:cs="Arial"/>
        </w:rPr>
      </w:pPr>
      <w:r>
        <w:rPr>
          <w:rFonts w:cs="Arial"/>
        </w:rPr>
        <w:t xml:space="preserve">Zgodnie z art. 23 ustawy z dnia 16 kwietnia 2004 r. o ochronie przyrody ( </w:t>
      </w:r>
      <w:proofErr w:type="spellStart"/>
      <w:r>
        <w:rPr>
          <w:rFonts w:cs="Arial"/>
        </w:rPr>
        <w:t>t.j</w:t>
      </w:r>
      <w:proofErr w:type="spellEnd"/>
      <w:r>
        <w:rPr>
          <w:rFonts w:cs="Arial"/>
        </w:rPr>
        <w:t xml:space="preserve"> Dz.U. z 2021 r. poz. 1098) obszar chronionego krajobrazu obejmuje tereny chronione ze względu na wyróżniający </w:t>
      </w:r>
      <w:r>
        <w:rPr>
          <w:rFonts w:cs="Arial"/>
        </w:rPr>
        <w:br/>
        <w:t xml:space="preserve">się krajobraz o zróżnicowanych ekosystemach, wartościowych ze względu na możliwości zaspokajania potrzeb związanych z turystyką i wypoczynkiem lub pełnioną funkcją korytarzy ekologicznych. Likwidacja lub zmniejszenie obszaru chronionego krajobrazu może nastąpić wyłącznie z powodu bezpowrotnej utraty ww. charakterystyki terenu. </w:t>
      </w:r>
      <w:r w:rsidRPr="000C35A3">
        <w:rPr>
          <w:rFonts w:cs="Arial"/>
          <w:color w:val="000000" w:themeColor="text1"/>
        </w:rPr>
        <w:t>Sejmik Województwa Śląskiego 21 października 2019 r. podjął Uchwałę nr VI/14/12/2019 w sprawie Obszaru Chronionego Krajobrazu „Dobra-</w:t>
      </w:r>
      <w:proofErr w:type="spellStart"/>
      <w:r w:rsidRPr="000C35A3">
        <w:rPr>
          <w:rFonts w:cs="Arial"/>
          <w:color w:val="000000" w:themeColor="text1"/>
        </w:rPr>
        <w:t>Wilkoszyn</w:t>
      </w:r>
      <w:proofErr w:type="spellEnd"/>
      <w:r w:rsidRPr="000C35A3">
        <w:rPr>
          <w:rFonts w:cs="Arial"/>
          <w:color w:val="000000" w:themeColor="text1"/>
        </w:rPr>
        <w:t xml:space="preserve">” po wcześniejszej weryfikacji obszarów chronionego krajobrazu w województwie śląskim oraz aktualizacji powołujących je aktów prawnych. Weryfikacja miała miejsce w 2017 </w:t>
      </w:r>
      <w:r w:rsidRPr="0004009A">
        <w:rPr>
          <w:rFonts w:cs="Arial"/>
          <w:color w:val="000000" w:themeColor="text1"/>
        </w:rPr>
        <w:t>i 2018</w:t>
      </w:r>
      <w:r>
        <w:rPr>
          <w:rFonts w:cs="Arial"/>
          <w:color w:val="000000" w:themeColor="text1"/>
        </w:rPr>
        <w:t xml:space="preserve"> </w:t>
      </w:r>
      <w:r w:rsidRPr="000C35A3">
        <w:rPr>
          <w:rFonts w:cs="Arial"/>
          <w:color w:val="000000" w:themeColor="text1"/>
        </w:rPr>
        <w:t xml:space="preserve">r. i obejmowała ocenę zasadności ochrony w świetle aktualnie obowiązującej definicji obszaru chronionego krajobrazu oraz analizę potrzeb uszczegółowienia bądź zmiany przebiegu granic obszaru w oparciu o istniejące uwarunkowania przestrzenne </w:t>
      </w:r>
      <w:r>
        <w:rPr>
          <w:rFonts w:cs="Arial"/>
          <w:color w:val="000000" w:themeColor="text1"/>
        </w:rPr>
        <w:br/>
      </w:r>
      <w:r w:rsidRPr="000C35A3">
        <w:rPr>
          <w:rFonts w:cs="Arial"/>
          <w:color w:val="000000" w:themeColor="text1"/>
        </w:rPr>
        <w:t>i środowiskowe oraz potrzeby jego ochrony</w:t>
      </w:r>
      <w:r w:rsidRPr="0004009A">
        <w:rPr>
          <w:rFonts w:cs="Arial"/>
          <w:color w:val="000000" w:themeColor="text1"/>
        </w:rPr>
        <w:t>.</w:t>
      </w:r>
      <w:r w:rsidRPr="0004009A">
        <w:rPr>
          <w:rFonts w:cs="Arial"/>
        </w:rPr>
        <w:t xml:space="preserve"> Na potrzeby weryfikacji wykorzystano sporządzoną </w:t>
      </w:r>
      <w:r>
        <w:rPr>
          <w:rFonts w:cs="Arial"/>
        </w:rPr>
        <w:br/>
      </w:r>
      <w:r w:rsidRPr="0004009A">
        <w:rPr>
          <w:rFonts w:cs="Arial"/>
        </w:rPr>
        <w:t>w 2016 r. dla miasta Jaworzna przez</w:t>
      </w:r>
      <w:r w:rsidRPr="0004009A">
        <w:t xml:space="preserve"> </w:t>
      </w:r>
      <w:r w:rsidRPr="0004009A">
        <w:rPr>
          <w:rFonts w:cs="Arial"/>
        </w:rPr>
        <w:t xml:space="preserve">zespół w składzie: prof. dr hab. Barbara Tokarska-Guzik, </w:t>
      </w:r>
      <w:r>
        <w:rPr>
          <w:rFonts w:cs="Arial"/>
        </w:rPr>
        <w:br/>
      </w:r>
      <w:r w:rsidRPr="0004009A">
        <w:rPr>
          <w:rFonts w:cs="Arial"/>
        </w:rPr>
        <w:t xml:space="preserve">dr hab. Barbara Fojcik i dr Jerzy </w:t>
      </w:r>
      <w:proofErr w:type="spellStart"/>
      <w:r w:rsidRPr="0004009A">
        <w:rPr>
          <w:rFonts w:cs="Arial"/>
        </w:rPr>
        <w:t>Parusel</w:t>
      </w:r>
      <w:proofErr w:type="spellEnd"/>
      <w:r w:rsidRPr="0004009A">
        <w:rPr>
          <w:rFonts w:cs="Arial"/>
        </w:rPr>
        <w:t xml:space="preserve"> opinię w zakresie stanu zachowania walorów przyrodniczych tego terenu oraz przeprowadzono wizję terenową obszaru (przedmiotowe działki objęto kontrolą w dn. 06.07.2018 r.). </w:t>
      </w:r>
      <w:r>
        <w:rPr>
          <w:rFonts w:cs="Arial"/>
        </w:rPr>
        <w:t>U</w:t>
      </w:r>
      <w:r w:rsidRPr="0004009A">
        <w:rPr>
          <w:rFonts w:cs="Arial"/>
        </w:rPr>
        <w:t>chwałę Nr VI/14/12/2019 Sejmiku Województwa Śląskiego podjęto</w:t>
      </w:r>
      <w:r>
        <w:rPr>
          <w:rFonts w:cs="Arial"/>
        </w:rPr>
        <w:t xml:space="preserve"> zatem po</w:t>
      </w:r>
      <w:r w:rsidRPr="0004009A">
        <w:rPr>
          <w:rFonts w:cs="Arial"/>
        </w:rPr>
        <w:t xml:space="preserve"> dokonania odpowiedniej, rzetelnej analizy środowiskowej obszaru</w:t>
      </w:r>
      <w:r>
        <w:rPr>
          <w:rFonts w:cs="Arial"/>
        </w:rPr>
        <w:t xml:space="preserve"> </w:t>
      </w:r>
      <w:r>
        <w:rPr>
          <w:rFonts w:cs="Arial"/>
        </w:rPr>
        <w:br/>
        <w:t>i potwierdzeniu, że teren spełnia określone w ustawie o ochronie przyrody kryteria obszaru chronionego krajobrazu</w:t>
      </w:r>
      <w:r w:rsidRPr="0004009A">
        <w:rPr>
          <w:rFonts w:cs="Arial"/>
        </w:rPr>
        <w:t>.</w:t>
      </w:r>
      <w:r>
        <w:rPr>
          <w:rFonts w:cs="Arial"/>
        </w:rPr>
        <w:t xml:space="preserve"> Wyniki przedstawione z Pana </w:t>
      </w:r>
      <w:r w:rsidRPr="0004009A">
        <w:rPr>
          <w:rFonts w:cs="Arial"/>
        </w:rPr>
        <w:t>inwentaryzacji nie dają podstaw do stwierdzenia, że wszystkie obserwowane w roku 2018 gatunki chronione i rzadkie bezpowrotnie zanikły. Niezależnie od przedstawionych zastrzeżeń należy także podkreślić, że nawet potwierdzenie braku obecności gatunków chronionych czy siedlisk przyrodniczych będących przedmiotem zainteresowania Wspólnoty na działkach, ws</w:t>
      </w:r>
      <w:r>
        <w:rPr>
          <w:rFonts w:cs="Arial"/>
        </w:rPr>
        <w:t>kazanych w piśmie</w:t>
      </w:r>
      <w:r w:rsidRPr="0004009A">
        <w:rPr>
          <w:rFonts w:cs="Arial"/>
        </w:rPr>
        <w:t xml:space="preserve">, nie stanowi przesłanki dla podważenia zapisów uchwały Sejmiku Województwa. Przesłanką taką jest wyłącznie bezpowrotna utrata wyróżniającego się krajobrazu o zróżnicowanych ekosystemach </w:t>
      </w:r>
      <w:r>
        <w:rPr>
          <w:rFonts w:cs="Arial"/>
        </w:rPr>
        <w:br/>
      </w:r>
      <w:r w:rsidRPr="0004009A">
        <w:rPr>
          <w:rFonts w:cs="Arial"/>
        </w:rPr>
        <w:t>i możliwości zaspokajania potrzeb związanych z turystyką i wypoczynkiem.</w:t>
      </w:r>
      <w:r>
        <w:rPr>
          <w:rFonts w:cs="Arial"/>
        </w:rPr>
        <w:t xml:space="preserve"> Należy również</w:t>
      </w:r>
      <w:r w:rsidRPr="0004009A">
        <w:rPr>
          <w:rFonts w:cs="Arial"/>
        </w:rPr>
        <w:t xml:space="preserve"> zaznaczyć, że zróżnicowanie ekosystemów powinno być rozpatrywane w kontekście całego obszaru chronionego krajobrazu,</w:t>
      </w:r>
      <w:r>
        <w:rPr>
          <w:rFonts w:cs="Arial"/>
        </w:rPr>
        <w:t xml:space="preserve"> a nie pojedynczych działek. </w:t>
      </w:r>
    </w:p>
    <w:p w14:paraId="3682C806" w14:textId="77777777" w:rsidR="004C7E36" w:rsidRPr="0004009A" w:rsidRDefault="004C7E36" w:rsidP="004C7E36">
      <w:pPr>
        <w:jc w:val="both"/>
        <w:rPr>
          <w:rFonts w:cs="Arial"/>
        </w:rPr>
      </w:pPr>
      <w:r w:rsidRPr="0004009A">
        <w:rPr>
          <w:rFonts w:cs="Arial"/>
        </w:rPr>
        <w:t xml:space="preserve">Zgodnie z koncepcją regionalnych korytarzy ekologicznych, opracowaną na potrzeby Planu Zagospodarowania Przestrzennego Województwa Śląskiego już w 2007 roku, tereny rolne położone na południe od ulicy Ciężkowickiej, zlokalizowane są w obszarze korytarza spójności obszarów chronionych M16 (Dobra </w:t>
      </w:r>
      <w:proofErr w:type="spellStart"/>
      <w:r w:rsidRPr="0004009A">
        <w:rPr>
          <w:rFonts w:cs="Arial"/>
        </w:rPr>
        <w:t>Wilkoszyn</w:t>
      </w:r>
      <w:proofErr w:type="spellEnd"/>
      <w:r w:rsidRPr="0004009A">
        <w:rPr>
          <w:rFonts w:cs="Arial"/>
        </w:rPr>
        <w:t xml:space="preserve"> - Biała Przemsza), zapewniającego łączność </w:t>
      </w:r>
      <w:r w:rsidRPr="0004009A">
        <w:rPr>
          <w:rFonts w:cs="Arial"/>
        </w:rPr>
        <w:lastRenderedPageBreak/>
        <w:t xml:space="preserve">obszarowych form ochrony przyrody w województwie śląskim. Należy jednocześnie podkreślić, że otwarte tereny rolne (także zarastające w wyniku braku użytkowania) pełnią istotne funkcje ekologiczne, umożliwiając migrację organizmów oraz stanowią ważny element </w:t>
      </w:r>
      <w:proofErr w:type="spellStart"/>
      <w:r w:rsidRPr="0004009A">
        <w:rPr>
          <w:rFonts w:cs="Arial"/>
        </w:rPr>
        <w:t>krajobr</w:t>
      </w:r>
      <w:r>
        <w:rPr>
          <w:rFonts w:cs="Arial"/>
        </w:rPr>
        <w:t>azotwórczy</w:t>
      </w:r>
      <w:proofErr w:type="spellEnd"/>
      <w:r>
        <w:rPr>
          <w:rFonts w:cs="Arial"/>
        </w:rPr>
        <w:t>. Przywołana w piśmie</w:t>
      </w:r>
      <w:r w:rsidRPr="0004009A">
        <w:rPr>
          <w:rFonts w:cs="Arial"/>
        </w:rPr>
        <w:t xml:space="preserve"> ulica Ciężkowicka nie stanowi nieprzekraczalnej bariery dla przemieszczania się organizmów, więc nie wymaga specjalnych rozwiązań technicznych zapewniających migrację w poprzek drogi. Jej obecność nie przekreśla możliwości przemieszczania się organizmów pomiędzy częścią obszaru chronionego krajobrazu położoną na północ od ulicy Ciężkowickiej </w:t>
      </w:r>
      <w:r>
        <w:rPr>
          <w:rFonts w:cs="Arial"/>
        </w:rPr>
        <w:br/>
      </w:r>
      <w:r w:rsidRPr="0004009A">
        <w:rPr>
          <w:rFonts w:cs="Arial"/>
        </w:rPr>
        <w:t xml:space="preserve">a częścią południową. </w:t>
      </w:r>
      <w:r>
        <w:rPr>
          <w:rFonts w:cs="Arial"/>
        </w:rPr>
        <w:t xml:space="preserve">Informuję </w:t>
      </w:r>
      <w:r w:rsidRPr="0004009A">
        <w:rPr>
          <w:rFonts w:cs="Arial"/>
        </w:rPr>
        <w:t xml:space="preserve">także, że pomimo braku występowania na terenie powiększonym uchwałą szlaków turystycznych oraz obiektów małej architektury nie należy uznawać tej części obszaru chronionego krajobrazu za pozbawioną możliwości zaspokajania potrzeb związanych </w:t>
      </w:r>
      <w:r>
        <w:rPr>
          <w:rFonts w:cs="Arial"/>
        </w:rPr>
        <w:br/>
      </w:r>
      <w:r w:rsidRPr="0004009A">
        <w:rPr>
          <w:rFonts w:cs="Arial"/>
        </w:rPr>
        <w:t>z turystyką i wypoczynkiem, zwłaszcza w kontekście rozpatrywania obszaru chronionego jako całości.</w:t>
      </w:r>
      <w:r>
        <w:rPr>
          <w:rFonts w:cs="Arial"/>
        </w:rPr>
        <w:t xml:space="preserve"> </w:t>
      </w:r>
    </w:p>
    <w:p w14:paraId="52405789" w14:textId="77777777" w:rsidR="004C7E36" w:rsidRDefault="004C7E36" w:rsidP="004C7E36">
      <w:pPr>
        <w:jc w:val="both"/>
        <w:rPr>
          <w:rFonts w:cs="Arial"/>
        </w:rPr>
      </w:pPr>
      <w:r>
        <w:rPr>
          <w:rFonts w:cs="Arial"/>
        </w:rPr>
        <w:t xml:space="preserve">Ponadto informuję, że </w:t>
      </w:r>
      <w:r w:rsidRPr="000C35A3">
        <w:rPr>
          <w:rFonts w:cs="Arial"/>
          <w:color w:val="000000" w:themeColor="text1"/>
        </w:rPr>
        <w:t xml:space="preserve">projekt uchwały był poddany konsultacjom, które trwały do 10.09.2019 r. </w:t>
      </w:r>
      <w:r>
        <w:rPr>
          <w:rFonts w:cs="Arial"/>
          <w:color w:val="000000" w:themeColor="text1"/>
        </w:rPr>
        <w:br/>
      </w:r>
      <w:r w:rsidRPr="000C35A3">
        <w:rPr>
          <w:rFonts w:cs="Arial"/>
          <w:color w:val="000000" w:themeColor="text1"/>
        </w:rPr>
        <w:t xml:space="preserve">i na </w:t>
      </w:r>
      <w:r>
        <w:rPr>
          <w:rFonts w:cs="Arial"/>
          <w:color w:val="000000" w:themeColor="text1"/>
        </w:rPr>
        <w:t>tym etapie nie zgłoszono</w:t>
      </w:r>
      <w:r w:rsidRPr="000C35A3">
        <w:rPr>
          <w:rFonts w:cs="Arial"/>
          <w:color w:val="000000" w:themeColor="text1"/>
        </w:rPr>
        <w:t xml:space="preserve"> żadnych sprzeciwów odnośnie treści i zakresu uchwały. </w:t>
      </w:r>
      <w:r>
        <w:rPr>
          <w:rFonts w:cs="Arial"/>
        </w:rPr>
        <w:t>W związku z powyższym nie zachodzi przesłanka do podjęcia działań zmierzających do zmiany uchwały nr VI/14/12/2019 Sejmiku Województwa Śląskiego z dnia 21 października 2019r.</w:t>
      </w:r>
    </w:p>
    <w:p w14:paraId="096AF5F2" w14:textId="77777777" w:rsidR="004C7E36" w:rsidRPr="00385C7E" w:rsidRDefault="004C7E36" w:rsidP="004C7E36">
      <w:pPr>
        <w:jc w:val="both"/>
        <w:rPr>
          <w:rFonts w:cs="Arial"/>
          <w:color w:val="000000" w:themeColor="text1"/>
        </w:rPr>
      </w:pPr>
      <w:r>
        <w:rPr>
          <w:rFonts w:cs="Arial"/>
        </w:rPr>
        <w:t>W związku z powyższym zostaje podtrzymane stanowisko przyjęte w poprzedniej odpowiedzi na petycję z dnia 26 maja 2021r.</w:t>
      </w:r>
    </w:p>
    <w:p w14:paraId="6769E9DA" w14:textId="77777777" w:rsidR="004C7E36" w:rsidRPr="006A1DDB" w:rsidRDefault="004C7E36" w:rsidP="004C7E36">
      <w:pPr>
        <w:pStyle w:val="Tre0"/>
        <w:rPr>
          <w:color w:val="auto"/>
        </w:rPr>
      </w:pPr>
    </w:p>
    <w:p w14:paraId="653D3F16" w14:textId="77777777" w:rsidR="00AF21B1" w:rsidRDefault="00AF21B1">
      <w:bookmarkStart w:id="0" w:name="_GoBack"/>
      <w:bookmarkEnd w:id="0"/>
    </w:p>
    <w:sectPr w:rsidR="00AF2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E36"/>
    <w:rsid w:val="004C7E36"/>
    <w:rsid w:val="00AF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1DD18"/>
  <w15:chartTrackingRefBased/>
  <w15:docId w15:val="{0B993352-558F-4F30-813F-BAF980CA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C7E36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0">
    <w:name w:val="Treść_0"/>
    <w:link w:val="Tre0Znak"/>
    <w:qFormat/>
    <w:rsid w:val="004C7E36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4C7E36"/>
    <w:rPr>
      <w:rFonts w:ascii="Arial" w:eastAsia="Calibri" w:hAnsi="Arial" w:cs="Times New Roman"/>
      <w:color w:val="00000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44D654AD2D1D468D246BEA40EE3EC5" ma:contentTypeVersion="2" ma:contentTypeDescription="Utwórz nowy dokument." ma:contentTypeScope="" ma:versionID="dfc56ef49f466914ce1f5df4acd8e941">
  <xsd:schema xmlns:xsd="http://www.w3.org/2001/XMLSchema" xmlns:xs="http://www.w3.org/2001/XMLSchema" xmlns:p="http://schemas.microsoft.com/office/2006/metadata/properties" xmlns:ns3="af259783-2d2c-44db-a38b-f19e8c5da6b9" targetNamespace="http://schemas.microsoft.com/office/2006/metadata/properties" ma:root="true" ma:fieldsID="ac62130d09565f06ce3b62e2c772601d" ns3:_="">
    <xsd:import namespace="af259783-2d2c-44db-a38b-f19e8c5da6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59783-2d2c-44db-a38b-f19e8c5da6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07F7B1-01F6-486B-B9F5-77E4A0C5A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59783-2d2c-44db-a38b-f19e8c5da6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B9FE7A-C1EF-4336-BD1F-B615913084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C2CFA1-7D33-4CA0-AB40-A3B0EDD3C49E}">
  <ds:schemaRefs>
    <ds:schemaRef ds:uri="http://schemas.openxmlformats.org/package/2006/metadata/core-properties"/>
    <ds:schemaRef ds:uri="http://schemas.microsoft.com/office/2006/documentManagement/types"/>
    <ds:schemaRef ds:uri="af259783-2d2c-44db-a38b-f19e8c5da6b9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Dzida Aleksandra</dc:creator>
  <cp:keywords/>
  <dc:description/>
  <cp:lastModifiedBy>Dzida Aleksandra</cp:lastModifiedBy>
  <cp:revision>1</cp:revision>
  <dcterms:created xsi:type="dcterms:W3CDTF">2021-12-02T07:12:00Z</dcterms:created>
  <dcterms:modified xsi:type="dcterms:W3CDTF">2021-12-02T07:12:00Z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0x010100C644D654AD2D1D468D246BEA40EE3EC5</vt:lpwstr>
  </property>
</Properties>
</file>