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DDBB3" w14:textId="2B88BF07" w:rsidR="00E709BE" w:rsidRPr="009209D4" w:rsidRDefault="009209D4" w:rsidP="009209D4">
      <w:pPr>
        <w:jc w:val="center"/>
        <w:rPr>
          <w:rFonts w:ascii="Candara 10,5" w:hAnsi="Candara 10,5"/>
          <w:b/>
          <w:sz w:val="21"/>
          <w:szCs w:val="21"/>
        </w:rPr>
      </w:pPr>
      <w:bookmarkStart w:id="0" w:name="_GoBack"/>
      <w:bookmarkEnd w:id="0"/>
      <w:r w:rsidRPr="009209D4">
        <w:rPr>
          <w:rFonts w:ascii="Candara 10,5" w:hAnsi="Candara 10,5"/>
          <w:b/>
          <w:sz w:val="21"/>
          <w:szCs w:val="21"/>
        </w:rPr>
        <w:t>Aneks nr 41</w:t>
      </w:r>
    </w:p>
    <w:p w14:paraId="2AD27666" w14:textId="419ADF6A" w:rsidR="00CA1DC3" w:rsidRPr="009209D4" w:rsidRDefault="00CA1DC3" w:rsidP="000761B7">
      <w:pPr>
        <w:spacing w:after="0" w:line="276" w:lineRule="auto"/>
        <w:rPr>
          <w:rFonts w:ascii="Candara 10,5" w:hAnsi="Candara 10,5"/>
        </w:rPr>
      </w:pPr>
    </w:p>
    <w:p w14:paraId="5A62271C" w14:textId="77777777" w:rsidR="00E709BE" w:rsidRPr="009209D4" w:rsidRDefault="00253EB9" w:rsidP="000761B7">
      <w:pPr>
        <w:spacing w:after="0" w:line="276" w:lineRule="auto"/>
        <w:jc w:val="center"/>
        <w:rPr>
          <w:rFonts w:ascii="Candara 10,5" w:hAnsi="Candara 10,5"/>
          <w:b/>
          <w:sz w:val="21"/>
          <w:szCs w:val="21"/>
        </w:rPr>
      </w:pPr>
      <w:r w:rsidRPr="009209D4">
        <w:rPr>
          <w:rFonts w:ascii="Candara 10,5" w:hAnsi="Candara 10,5"/>
          <w:b/>
          <w:sz w:val="21"/>
          <w:szCs w:val="21"/>
        </w:rPr>
        <w:t>do umowy wykonawczej nr 215/IR/2015 z dnia 18 lutego 2015 r. dotyczącej wykonywania zadania własnego Województwa Śląskiego z zakresu edukacji, kultury, kultury fizycznej oraz sportu pn. „Zadaszenie widowni oraz niezbędna infrastruktura techniczna Stadionu Śląskiego w Chorzowie” – I etap: zaplecze rozgrzewkowo treningowe dla funkcji lekkoatletycznej i II etap: Zadaszenie widowni, oraz powierzenie zarządzania Stadionem Śląskim w Chorzowie</w:t>
      </w:r>
    </w:p>
    <w:p w14:paraId="02834926" w14:textId="77777777" w:rsidR="00E709BE" w:rsidRPr="009209D4" w:rsidRDefault="00E709BE" w:rsidP="000761B7">
      <w:pPr>
        <w:spacing w:after="0" w:line="276" w:lineRule="auto"/>
        <w:jc w:val="center"/>
        <w:rPr>
          <w:rFonts w:ascii="Candara 10,5" w:hAnsi="Candara 10,5"/>
          <w:b/>
          <w:sz w:val="21"/>
          <w:szCs w:val="21"/>
        </w:rPr>
      </w:pPr>
    </w:p>
    <w:p w14:paraId="0199E078" w14:textId="5E8AFB28" w:rsidR="00E709BE" w:rsidRPr="009209D4" w:rsidRDefault="00253EB9" w:rsidP="009209D4">
      <w:pPr>
        <w:rPr>
          <w:rFonts w:ascii="Candara 10,5" w:hAnsi="Candara 10,5"/>
        </w:rPr>
      </w:pPr>
      <w:r w:rsidRPr="009209D4">
        <w:rPr>
          <w:rFonts w:ascii="Candara 10,5" w:hAnsi="Candara 10,5"/>
        </w:rPr>
        <w:t xml:space="preserve">zwanej dalej Umową wykonawczą, zawarty w dniu </w:t>
      </w:r>
      <w:r w:rsidR="000766D3" w:rsidRPr="009209D4">
        <w:rPr>
          <w:rFonts w:ascii="Candara 10,5" w:hAnsi="Candara 10,5"/>
        </w:rPr>
        <w:t xml:space="preserve">______grudnia 2021 </w:t>
      </w:r>
      <w:r w:rsidRPr="009209D4">
        <w:rPr>
          <w:rFonts w:ascii="Candara 10,5" w:hAnsi="Candara 10,5"/>
        </w:rPr>
        <w:t xml:space="preserve">roku w Katowicach, pomiędzy: </w:t>
      </w:r>
    </w:p>
    <w:p w14:paraId="07450EC7" w14:textId="14D21144" w:rsidR="00E709BE" w:rsidRPr="009209D4" w:rsidRDefault="00253EB9" w:rsidP="000761B7">
      <w:pPr>
        <w:spacing w:after="0" w:line="276" w:lineRule="auto"/>
        <w:jc w:val="both"/>
        <w:rPr>
          <w:rFonts w:ascii="Candara 10,5" w:hAnsi="Candara 10,5"/>
        </w:rPr>
      </w:pPr>
      <w:r w:rsidRPr="009209D4">
        <w:rPr>
          <w:rFonts w:ascii="Candara 10,5" w:hAnsi="Candara 10,5"/>
          <w:b/>
          <w:bCs/>
          <w:sz w:val="21"/>
          <w:szCs w:val="21"/>
        </w:rPr>
        <w:t>Województwem Śląskim</w:t>
      </w:r>
      <w:r w:rsidRPr="009209D4">
        <w:rPr>
          <w:rFonts w:ascii="Candara 10,5" w:hAnsi="Candara 10,5"/>
          <w:sz w:val="21"/>
          <w:szCs w:val="21"/>
        </w:rPr>
        <w:t xml:space="preserve"> z siedzibą w Katowicach, przy ulicy Ligonia 46, 40-</w:t>
      </w:r>
      <w:r w:rsidR="000766D3" w:rsidRPr="009209D4">
        <w:rPr>
          <w:rFonts w:ascii="Candara 10,5" w:hAnsi="Candara 10,5"/>
          <w:sz w:val="21"/>
          <w:szCs w:val="21"/>
        </w:rPr>
        <w:t xml:space="preserve">037 </w:t>
      </w:r>
      <w:r w:rsidRPr="009209D4">
        <w:rPr>
          <w:rFonts w:ascii="Candara 10,5" w:hAnsi="Candara 10,5"/>
          <w:sz w:val="21"/>
          <w:szCs w:val="21"/>
        </w:rPr>
        <w:t xml:space="preserve">Katowice, zwanym w dalszej części aneksu </w:t>
      </w:r>
      <w:r w:rsidRPr="009209D4">
        <w:rPr>
          <w:rFonts w:ascii="Candara 10,5" w:hAnsi="Candara 10,5"/>
          <w:b/>
          <w:bCs/>
          <w:sz w:val="21"/>
          <w:szCs w:val="21"/>
        </w:rPr>
        <w:t>Województwem</w:t>
      </w:r>
      <w:r w:rsidRPr="009209D4">
        <w:rPr>
          <w:rFonts w:ascii="Candara 10,5" w:hAnsi="Candara 10,5"/>
          <w:sz w:val="21"/>
          <w:szCs w:val="21"/>
        </w:rPr>
        <w:t>, reprezentowanym przez:</w:t>
      </w:r>
    </w:p>
    <w:p w14:paraId="7F548EB9" w14:textId="77777777" w:rsidR="00E709BE" w:rsidRPr="009209D4" w:rsidRDefault="00E709BE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</w:p>
    <w:p w14:paraId="69F44340" w14:textId="6B508419" w:rsidR="00E709BE" w:rsidRPr="009209D4" w:rsidRDefault="00253EB9" w:rsidP="009209D4">
      <w:pPr>
        <w:rPr>
          <w:rFonts w:ascii="Candara 10,5" w:hAnsi="Candara 10,5"/>
        </w:rPr>
      </w:pPr>
      <w:r w:rsidRPr="009209D4">
        <w:rPr>
          <w:rFonts w:ascii="Candara 10,5" w:hAnsi="Candara 10,5"/>
        </w:rPr>
        <w:t>______________________________</w:t>
      </w:r>
      <w:r w:rsidR="009209D4">
        <w:rPr>
          <w:rFonts w:ascii="Candara 10,5" w:hAnsi="Candara 10,5"/>
        </w:rPr>
        <w:t>_______________</w:t>
      </w:r>
      <w:r w:rsidRPr="009209D4">
        <w:rPr>
          <w:rFonts w:ascii="Candara 10,5" w:hAnsi="Candara 10,5"/>
        </w:rPr>
        <w:t>_____ - _______________</w:t>
      </w:r>
      <w:r w:rsidR="009209D4">
        <w:rPr>
          <w:rFonts w:ascii="Candara 10,5" w:hAnsi="Candara 10,5"/>
        </w:rPr>
        <w:t>_______________</w:t>
      </w:r>
      <w:r w:rsidRPr="009209D4">
        <w:rPr>
          <w:rFonts w:ascii="Candara 10,5" w:hAnsi="Candara 10,5"/>
        </w:rPr>
        <w:t>____________________________,</w:t>
      </w:r>
    </w:p>
    <w:p w14:paraId="5AC4DDD1" w14:textId="77777777" w:rsidR="00E709BE" w:rsidRPr="009209D4" w:rsidRDefault="00E709BE" w:rsidP="009209D4">
      <w:pPr>
        <w:rPr>
          <w:rFonts w:ascii="Candara 10,5" w:hAnsi="Candara 10,5"/>
        </w:rPr>
      </w:pPr>
    </w:p>
    <w:p w14:paraId="4F923455" w14:textId="77777777" w:rsidR="009209D4" w:rsidRPr="009209D4" w:rsidRDefault="009209D4" w:rsidP="009209D4">
      <w:pPr>
        <w:rPr>
          <w:rFonts w:ascii="Candara 10,5" w:hAnsi="Candara 10,5"/>
        </w:rPr>
      </w:pPr>
      <w:r w:rsidRPr="009209D4">
        <w:rPr>
          <w:rFonts w:ascii="Candara 10,5" w:hAnsi="Candara 10,5"/>
        </w:rPr>
        <w:t>______________________________</w:t>
      </w:r>
      <w:r>
        <w:rPr>
          <w:rFonts w:ascii="Candara 10,5" w:hAnsi="Candara 10,5"/>
        </w:rPr>
        <w:t>_______________</w:t>
      </w:r>
      <w:r w:rsidRPr="009209D4">
        <w:rPr>
          <w:rFonts w:ascii="Candara 10,5" w:hAnsi="Candara 10,5"/>
        </w:rPr>
        <w:t>_____ - _______________</w:t>
      </w:r>
      <w:r>
        <w:rPr>
          <w:rFonts w:ascii="Candara 10,5" w:hAnsi="Candara 10,5"/>
        </w:rPr>
        <w:t>_______________</w:t>
      </w:r>
      <w:r w:rsidRPr="009209D4">
        <w:rPr>
          <w:rFonts w:ascii="Candara 10,5" w:hAnsi="Candara 10,5"/>
        </w:rPr>
        <w:t>____________________________,</w:t>
      </w:r>
    </w:p>
    <w:p w14:paraId="09FB963A" w14:textId="77777777" w:rsidR="00E709BE" w:rsidRPr="009209D4" w:rsidRDefault="00253EB9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  <w:r w:rsidRPr="009209D4">
        <w:rPr>
          <w:rFonts w:ascii="Candara 10,5" w:hAnsi="Candara 10,5"/>
          <w:sz w:val="21"/>
          <w:szCs w:val="21"/>
        </w:rPr>
        <w:t>a</w:t>
      </w:r>
    </w:p>
    <w:p w14:paraId="13BEF6DB" w14:textId="77777777" w:rsidR="00E709BE" w:rsidRPr="009209D4" w:rsidRDefault="00253EB9" w:rsidP="000761B7">
      <w:pPr>
        <w:spacing w:after="0" w:line="276" w:lineRule="auto"/>
        <w:jc w:val="both"/>
        <w:rPr>
          <w:rFonts w:ascii="Candara 10,5" w:hAnsi="Candara 10,5"/>
        </w:rPr>
      </w:pPr>
      <w:r w:rsidRPr="009209D4">
        <w:rPr>
          <w:rFonts w:ascii="Candara 10,5" w:hAnsi="Candara 10,5"/>
          <w:b/>
          <w:bCs/>
          <w:sz w:val="21"/>
          <w:szCs w:val="21"/>
        </w:rPr>
        <w:t>Stadion Śląski Spółką z ograniczoną odpowiedzialnością</w:t>
      </w:r>
      <w:r w:rsidRPr="009209D4">
        <w:rPr>
          <w:rFonts w:ascii="Candara 10,5" w:hAnsi="Candara 10,5"/>
          <w:sz w:val="21"/>
          <w:szCs w:val="21"/>
        </w:rPr>
        <w:t xml:space="preserve"> z siedzibą w Katowicach, przy ulicy Reymonta 24/203, 40-029 Katowice, wpisaną do Rejestru Przedsiębiorców Krajowego Rejestru Sądowego przez Sąd Rejonowy Katowice – Wschód w Katowicach, nr KRS 0000477883, kapitał zakładowy 249.911.100,00 zł, NIP 954-274-52-09, REGON 243373827, zwaną w dalszej części aneksu </w:t>
      </w:r>
      <w:r w:rsidRPr="009209D4">
        <w:rPr>
          <w:rFonts w:ascii="Candara 10,5" w:hAnsi="Candara 10,5"/>
          <w:b/>
          <w:bCs/>
          <w:sz w:val="21"/>
          <w:szCs w:val="21"/>
        </w:rPr>
        <w:t>Spółką</w:t>
      </w:r>
      <w:r w:rsidRPr="009209D4">
        <w:rPr>
          <w:rFonts w:ascii="Candara 10,5" w:hAnsi="Candara 10,5"/>
          <w:sz w:val="21"/>
          <w:szCs w:val="21"/>
        </w:rPr>
        <w:t>, reprezentowaną przez:</w:t>
      </w:r>
    </w:p>
    <w:p w14:paraId="2010E37C" w14:textId="77777777" w:rsidR="00E709BE" w:rsidRPr="009209D4" w:rsidRDefault="00253EB9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  <w:r w:rsidRPr="009209D4">
        <w:rPr>
          <w:rFonts w:ascii="Candara 10,5" w:hAnsi="Candara 10,5"/>
          <w:sz w:val="21"/>
          <w:szCs w:val="21"/>
        </w:rPr>
        <w:t>Pana Jana Widerę – Prezesa Zarządu</w:t>
      </w:r>
    </w:p>
    <w:p w14:paraId="42F3E12A" w14:textId="77777777" w:rsidR="00E709BE" w:rsidRPr="009209D4" w:rsidRDefault="00253EB9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  <w:r w:rsidRPr="009209D4">
        <w:rPr>
          <w:rFonts w:ascii="Candara 10,5" w:hAnsi="Candara 10,5"/>
          <w:sz w:val="21"/>
          <w:szCs w:val="21"/>
        </w:rPr>
        <w:t>o następującej treści:</w:t>
      </w:r>
    </w:p>
    <w:p w14:paraId="2111EF49" w14:textId="1FD56A5F" w:rsidR="00E709BE" w:rsidRPr="009209D4" w:rsidRDefault="00E709BE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</w:p>
    <w:p w14:paraId="1A3EA671" w14:textId="6624D52E" w:rsidR="00121330" w:rsidRPr="009209D4" w:rsidRDefault="00121330" w:rsidP="000766D3">
      <w:pPr>
        <w:spacing w:after="0" w:line="276" w:lineRule="auto"/>
        <w:jc w:val="both"/>
        <w:rPr>
          <w:rFonts w:ascii="Candara 10,5" w:hAnsi="Candara 10,5"/>
          <w:i/>
          <w:sz w:val="21"/>
          <w:szCs w:val="21"/>
        </w:rPr>
      </w:pPr>
      <w:r w:rsidRPr="009209D4">
        <w:rPr>
          <w:rFonts w:ascii="Candara 10,5" w:hAnsi="Candara 10,5"/>
          <w:i/>
          <w:sz w:val="21"/>
          <w:szCs w:val="21"/>
        </w:rPr>
        <w:t xml:space="preserve">W związku z faktem, iż w toku realizacji Umowy </w:t>
      </w:r>
      <w:r w:rsidR="00997B98" w:rsidRPr="009209D4">
        <w:rPr>
          <w:rFonts w:ascii="Candara 10,5" w:hAnsi="Candara 10,5"/>
          <w:i/>
          <w:sz w:val="21"/>
          <w:szCs w:val="21"/>
        </w:rPr>
        <w:t>wykonawczej</w:t>
      </w:r>
      <w:r w:rsidRPr="009209D4">
        <w:rPr>
          <w:rFonts w:ascii="Candara 10,5" w:hAnsi="Candara 10,5"/>
          <w:i/>
          <w:sz w:val="21"/>
          <w:szCs w:val="21"/>
        </w:rPr>
        <w:t xml:space="preserve"> </w:t>
      </w:r>
      <w:r w:rsidR="000761B7" w:rsidRPr="009209D4">
        <w:rPr>
          <w:rFonts w:ascii="Candara 10,5" w:hAnsi="Candara 10,5"/>
          <w:i/>
          <w:iCs/>
          <w:sz w:val="21"/>
          <w:szCs w:val="21"/>
        </w:rPr>
        <w:t>nr 215/IR/2015 z dnia 18 lutego 2015 r.</w:t>
      </w:r>
      <w:r w:rsidR="000761B7" w:rsidRPr="009209D4">
        <w:rPr>
          <w:rFonts w:ascii="Candara 10,5" w:hAnsi="Candara 10,5"/>
          <w:sz w:val="21"/>
          <w:szCs w:val="21"/>
        </w:rPr>
        <w:t xml:space="preserve"> </w:t>
      </w:r>
      <w:r w:rsidRPr="009209D4">
        <w:rPr>
          <w:rFonts w:ascii="Candara 10,5" w:hAnsi="Candara 10,5"/>
          <w:i/>
          <w:sz w:val="21"/>
          <w:szCs w:val="21"/>
        </w:rPr>
        <w:t xml:space="preserve">dotyczącej wykonywania zadania własnego Województwa Śląskiego z zakresu edukacji, kultury, kultury fizycznej oraz sportu pn. </w:t>
      </w:r>
      <w:r w:rsidRPr="009209D4">
        <w:rPr>
          <w:rFonts w:ascii="Candara 10,5" w:hAnsi="Candara 10,5"/>
          <w:bCs/>
          <w:sz w:val="21"/>
          <w:szCs w:val="21"/>
        </w:rPr>
        <w:t>„Zadaszenie widowni oraz niezbędna infrastruktura techniczna Stadionu Śląskiego w Chorzowie” – I etap: zaplecze rozgrzewkowo treningowe dla funkcji lekkoatletycznej i II etap: Zadaszenie widowni, oraz powierzenie zarządzania Stadionem Śląskim w Chorzowie</w:t>
      </w:r>
      <w:r w:rsidR="000766D3" w:rsidRPr="009209D4">
        <w:rPr>
          <w:rFonts w:ascii="Candara 10,5" w:hAnsi="Candara 10,5"/>
          <w:bCs/>
          <w:sz w:val="21"/>
          <w:szCs w:val="21"/>
        </w:rPr>
        <w:t>”</w:t>
      </w:r>
      <w:r w:rsidRPr="009209D4">
        <w:rPr>
          <w:rFonts w:ascii="Candara 10,5" w:hAnsi="Candara 10,5"/>
          <w:b/>
          <w:sz w:val="21"/>
          <w:szCs w:val="21"/>
        </w:rPr>
        <w:t xml:space="preserve"> </w:t>
      </w:r>
      <w:r w:rsidRPr="009209D4">
        <w:rPr>
          <w:rFonts w:ascii="Candara 10,5" w:hAnsi="Candara 10,5"/>
          <w:i/>
          <w:sz w:val="21"/>
          <w:szCs w:val="21"/>
        </w:rPr>
        <w:t>Spółka stwierdziła, iż kwota rekompensaty eksploatacyjnej na rok 2021 jest niewystarczająca na pokrycie bieżących kosztów utrzymania obiektu, Strony postanowiły co następuje:</w:t>
      </w:r>
    </w:p>
    <w:p w14:paraId="595E85C4" w14:textId="77777777" w:rsidR="00121330" w:rsidRPr="009209D4" w:rsidRDefault="00121330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</w:p>
    <w:p w14:paraId="481593FE" w14:textId="77777777" w:rsidR="00E709BE" w:rsidRPr="009209D4" w:rsidRDefault="00253EB9" w:rsidP="000761B7">
      <w:pPr>
        <w:spacing w:after="0" w:line="276" w:lineRule="auto"/>
        <w:jc w:val="center"/>
        <w:rPr>
          <w:rFonts w:ascii="Candara 10,5" w:hAnsi="Candara 10,5"/>
          <w:b/>
          <w:bCs/>
          <w:sz w:val="21"/>
          <w:szCs w:val="21"/>
        </w:rPr>
      </w:pPr>
      <w:r w:rsidRPr="009209D4">
        <w:rPr>
          <w:rFonts w:ascii="Candara 10,5" w:hAnsi="Candara 10,5"/>
          <w:b/>
          <w:bCs/>
          <w:sz w:val="21"/>
          <w:szCs w:val="21"/>
        </w:rPr>
        <w:t>§ 1</w:t>
      </w:r>
    </w:p>
    <w:p w14:paraId="7EDB5442" w14:textId="77777777" w:rsidR="00E709BE" w:rsidRPr="009209D4" w:rsidRDefault="00E709BE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</w:p>
    <w:p w14:paraId="55EC4787" w14:textId="74F93513" w:rsidR="00121330" w:rsidRPr="009209D4" w:rsidRDefault="00121330" w:rsidP="000766D3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  <w:r w:rsidRPr="009209D4">
        <w:rPr>
          <w:rFonts w:ascii="Candara 10,5" w:hAnsi="Candara 10,5"/>
          <w:sz w:val="21"/>
          <w:szCs w:val="21"/>
        </w:rPr>
        <w:t xml:space="preserve">Województwo postanawia przenieść niewykorzystaną w 2021 roku  kwotę rekompensaty wykonawczej z tytułu realizacji </w:t>
      </w:r>
      <w:r w:rsidRPr="009209D4">
        <w:rPr>
          <w:rFonts w:ascii="Candara 10,5" w:hAnsi="Candara 10,5" w:cs="Arial"/>
          <w:sz w:val="21"/>
          <w:szCs w:val="21"/>
        </w:rPr>
        <w:t xml:space="preserve">usług publicznych powierzonych Oddziałowi  Spółki Umową </w:t>
      </w:r>
      <w:r w:rsidRPr="009209D4">
        <w:rPr>
          <w:rFonts w:ascii="Candara 10,5" w:hAnsi="Candara 10,5"/>
          <w:sz w:val="21"/>
          <w:szCs w:val="21"/>
        </w:rPr>
        <w:t>wykonawczą</w:t>
      </w:r>
      <w:r w:rsidR="00765B25" w:rsidRPr="009209D4">
        <w:rPr>
          <w:rFonts w:ascii="Candara 10,5" w:hAnsi="Candara 10,5"/>
          <w:sz w:val="21"/>
          <w:szCs w:val="21"/>
        </w:rPr>
        <w:t xml:space="preserve"> nr 2243/GP/2015 z dnia 28 września 2015 roku</w:t>
      </w:r>
      <w:r w:rsidRPr="009209D4">
        <w:rPr>
          <w:rFonts w:ascii="Candara 10,5" w:hAnsi="Candara 10,5"/>
          <w:sz w:val="21"/>
          <w:szCs w:val="21"/>
        </w:rPr>
        <w:t xml:space="preserve">, to jest w kwocie </w:t>
      </w:r>
      <w:r w:rsidRPr="009209D4">
        <w:rPr>
          <w:rFonts w:ascii="Candara 10,5" w:hAnsi="Candara 10,5"/>
          <w:sz w:val="21"/>
          <w:szCs w:val="21"/>
        </w:rPr>
        <w:lastRenderedPageBreak/>
        <w:t xml:space="preserve">1.000.000,00 zł netto tj. 1.230.000,00 zł brutto (słownie: jeden milion dwieście trzydzieści tysięcy złotych 00/100 brutto), na rekompensatę eksploatacyjną na 2021 rok, z przeznaczeniem na pokrycie przez Spółkę </w:t>
      </w:r>
      <w:r w:rsidRPr="009209D4">
        <w:rPr>
          <w:rFonts w:ascii="Candara 10,5" w:eastAsia="Times New Roman" w:hAnsi="Candara 10,5" w:cs="Helvetica"/>
          <w:kern w:val="3"/>
          <w:sz w:val="21"/>
          <w:szCs w:val="21"/>
          <w:lang w:eastAsia="ar-SA"/>
        </w:rPr>
        <w:t xml:space="preserve">działalności związanej z utrzymaniem obiektu. </w:t>
      </w:r>
      <w:r w:rsidRPr="009209D4">
        <w:rPr>
          <w:rFonts w:ascii="Candara 10,5" w:hAnsi="Candara 10,5"/>
          <w:sz w:val="21"/>
          <w:szCs w:val="21"/>
        </w:rPr>
        <w:t xml:space="preserve">Rozliczenie rekompensaty </w:t>
      </w:r>
      <w:r w:rsidR="00FD3B07" w:rsidRPr="009209D4">
        <w:rPr>
          <w:rFonts w:ascii="Candara 10,5" w:hAnsi="Candara 10,5"/>
          <w:sz w:val="21"/>
          <w:szCs w:val="21"/>
        </w:rPr>
        <w:t>nastąpi do dnia</w:t>
      </w:r>
      <w:r w:rsidRPr="009209D4">
        <w:rPr>
          <w:rFonts w:ascii="Candara 10,5" w:hAnsi="Candara 10,5"/>
          <w:sz w:val="21"/>
          <w:szCs w:val="21"/>
        </w:rPr>
        <w:t xml:space="preserve"> 11 lutego 2022 roku. </w:t>
      </w:r>
    </w:p>
    <w:p w14:paraId="6940A1AE" w14:textId="77777777" w:rsidR="00E709BE" w:rsidRPr="009209D4" w:rsidRDefault="00E709BE" w:rsidP="000761B7">
      <w:pPr>
        <w:spacing w:after="0" w:line="276" w:lineRule="auto"/>
        <w:jc w:val="both"/>
        <w:rPr>
          <w:rFonts w:ascii="Candara 10,5" w:hAnsi="Candara 10,5"/>
          <w:i/>
          <w:sz w:val="21"/>
          <w:szCs w:val="21"/>
        </w:rPr>
      </w:pPr>
    </w:p>
    <w:p w14:paraId="6F8787DE" w14:textId="77777777" w:rsidR="00E709BE" w:rsidRPr="009209D4" w:rsidRDefault="00253EB9" w:rsidP="000761B7">
      <w:pPr>
        <w:spacing w:after="0" w:line="276" w:lineRule="auto"/>
        <w:jc w:val="center"/>
        <w:rPr>
          <w:rFonts w:ascii="Candara 10,5" w:hAnsi="Candara 10,5"/>
          <w:b/>
          <w:bCs/>
          <w:sz w:val="21"/>
          <w:szCs w:val="21"/>
        </w:rPr>
      </w:pPr>
      <w:r w:rsidRPr="009209D4">
        <w:rPr>
          <w:rFonts w:ascii="Candara 10,5" w:hAnsi="Candara 10,5"/>
          <w:b/>
          <w:bCs/>
          <w:sz w:val="21"/>
          <w:szCs w:val="21"/>
        </w:rPr>
        <w:t>§ 2</w:t>
      </w:r>
    </w:p>
    <w:p w14:paraId="3D7452EC" w14:textId="77777777" w:rsidR="00E709BE" w:rsidRPr="009209D4" w:rsidRDefault="00E709BE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</w:p>
    <w:p w14:paraId="588C5FC7" w14:textId="309C9FA7" w:rsidR="00765B25" w:rsidRPr="009209D4" w:rsidRDefault="00765B25" w:rsidP="000766D3">
      <w:pPr>
        <w:tabs>
          <w:tab w:val="left" w:pos="284"/>
        </w:tabs>
        <w:spacing w:after="0" w:line="276" w:lineRule="auto"/>
        <w:jc w:val="both"/>
        <w:rPr>
          <w:rFonts w:ascii="Candara 10,5" w:hAnsi="Candara 10,5" w:cs="Arial"/>
          <w:b/>
          <w:sz w:val="21"/>
          <w:szCs w:val="21"/>
        </w:rPr>
      </w:pPr>
      <w:r w:rsidRPr="009209D4">
        <w:rPr>
          <w:rFonts w:ascii="Candara 10,5" w:hAnsi="Candara 10,5" w:cs="Arial"/>
          <w:sz w:val="21"/>
          <w:szCs w:val="21"/>
        </w:rPr>
        <w:t xml:space="preserve">W związku z dokonanym w § </w:t>
      </w:r>
      <w:r w:rsidR="00997B98" w:rsidRPr="009209D4">
        <w:rPr>
          <w:rFonts w:ascii="Candara 10,5" w:hAnsi="Candara 10,5" w:cs="Arial"/>
          <w:sz w:val="21"/>
          <w:szCs w:val="21"/>
        </w:rPr>
        <w:t>1 zwiększeniem</w:t>
      </w:r>
      <w:r w:rsidRPr="009209D4">
        <w:rPr>
          <w:rFonts w:ascii="Candara 10,5" w:hAnsi="Candara 10,5" w:cs="Arial"/>
          <w:sz w:val="21"/>
          <w:szCs w:val="21"/>
        </w:rPr>
        <w:t xml:space="preserve"> rekompensaty eksploatacyjnej, Województwo i Spółka zgodnie postanawiają dokonać aktualizacji „</w:t>
      </w:r>
      <w:r w:rsidRPr="009209D4">
        <w:rPr>
          <w:rFonts w:ascii="Candara 10,5" w:hAnsi="Candara 10,5" w:cs="Arial"/>
          <w:i/>
          <w:sz w:val="21"/>
          <w:szCs w:val="21"/>
        </w:rPr>
        <w:t>Prognozy rocznej wysokości rekompensaty eksploatacyjnej na rok 2021 do umowy 215/IR/2015 z dnia 18.02.2015 roku”</w:t>
      </w:r>
      <w:r w:rsidRPr="009209D4">
        <w:rPr>
          <w:rFonts w:ascii="Candara 10,5" w:hAnsi="Candara 10,5" w:cs="Arial"/>
          <w:sz w:val="21"/>
          <w:szCs w:val="21"/>
        </w:rPr>
        <w:t xml:space="preserve">, poprzez nadanie jej treści zgodnie z </w:t>
      </w:r>
      <w:r w:rsidRPr="009209D4">
        <w:rPr>
          <w:rFonts w:ascii="Candara 10,5" w:hAnsi="Candara 10,5" w:cs="Arial"/>
          <w:bCs/>
          <w:color w:val="000000" w:themeColor="text1"/>
          <w:sz w:val="21"/>
          <w:szCs w:val="21"/>
        </w:rPr>
        <w:t>załącznikiem nr 1</w:t>
      </w:r>
      <w:r w:rsidRPr="009209D4">
        <w:rPr>
          <w:rFonts w:ascii="Candara 10,5" w:hAnsi="Candara 10,5" w:cs="Arial"/>
          <w:b/>
          <w:sz w:val="21"/>
          <w:szCs w:val="21"/>
        </w:rPr>
        <w:t xml:space="preserve"> </w:t>
      </w:r>
      <w:r w:rsidRPr="009209D4">
        <w:rPr>
          <w:rFonts w:ascii="Candara 10,5" w:hAnsi="Candara 10,5" w:cs="Arial"/>
          <w:sz w:val="21"/>
          <w:szCs w:val="21"/>
        </w:rPr>
        <w:t>do niniejszego aneksu.</w:t>
      </w:r>
    </w:p>
    <w:p w14:paraId="7408268D" w14:textId="77777777" w:rsidR="00E709BE" w:rsidRPr="009209D4" w:rsidRDefault="00E709BE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</w:p>
    <w:p w14:paraId="77BBF32B" w14:textId="77777777" w:rsidR="00E709BE" w:rsidRPr="009209D4" w:rsidRDefault="00253EB9" w:rsidP="000761B7">
      <w:pPr>
        <w:spacing w:after="0" w:line="276" w:lineRule="auto"/>
        <w:jc w:val="center"/>
        <w:rPr>
          <w:rFonts w:ascii="Candara 10,5" w:hAnsi="Candara 10,5"/>
          <w:b/>
          <w:bCs/>
          <w:sz w:val="21"/>
          <w:szCs w:val="21"/>
        </w:rPr>
      </w:pPr>
      <w:r w:rsidRPr="009209D4">
        <w:rPr>
          <w:rFonts w:ascii="Candara 10,5" w:hAnsi="Candara 10,5"/>
          <w:b/>
          <w:bCs/>
          <w:sz w:val="21"/>
          <w:szCs w:val="21"/>
        </w:rPr>
        <w:t>§ 3</w:t>
      </w:r>
    </w:p>
    <w:p w14:paraId="006CB3E2" w14:textId="77777777" w:rsidR="00E709BE" w:rsidRPr="009209D4" w:rsidRDefault="00E709BE" w:rsidP="000761B7">
      <w:pPr>
        <w:spacing w:after="0" w:line="276" w:lineRule="auto"/>
        <w:jc w:val="center"/>
        <w:rPr>
          <w:rFonts w:ascii="Candara 10,5" w:hAnsi="Candara 10,5"/>
          <w:b/>
          <w:bCs/>
          <w:sz w:val="21"/>
          <w:szCs w:val="21"/>
        </w:rPr>
      </w:pPr>
    </w:p>
    <w:p w14:paraId="653D90EF" w14:textId="63E7F801" w:rsidR="00E709BE" w:rsidRPr="009209D4" w:rsidRDefault="00253EB9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  <w:bookmarkStart w:id="1" w:name="_Hlk90039807"/>
      <w:r w:rsidRPr="009209D4">
        <w:rPr>
          <w:rFonts w:ascii="Candara 10,5" w:hAnsi="Candara 10,5"/>
          <w:sz w:val="21"/>
          <w:szCs w:val="21"/>
        </w:rPr>
        <w:t>Ustalenia niniejszego aneksu nie wpływają na uzgodnione między Stronami kwoty i terminy zapłaty zaliczek rekompensat na rok 20</w:t>
      </w:r>
      <w:r w:rsidR="00765B25" w:rsidRPr="009209D4">
        <w:rPr>
          <w:rFonts w:ascii="Candara 10,5" w:hAnsi="Candara 10,5"/>
          <w:sz w:val="21"/>
          <w:szCs w:val="21"/>
        </w:rPr>
        <w:t>21</w:t>
      </w:r>
      <w:r w:rsidRPr="009209D4">
        <w:rPr>
          <w:rFonts w:ascii="Candara 10,5" w:hAnsi="Candara 10,5"/>
          <w:sz w:val="21"/>
          <w:szCs w:val="21"/>
        </w:rPr>
        <w:t xml:space="preserve">, które pozostają bez zmian. </w:t>
      </w:r>
    </w:p>
    <w:bookmarkEnd w:id="1"/>
    <w:p w14:paraId="05EE04A2" w14:textId="77777777" w:rsidR="00E709BE" w:rsidRPr="009209D4" w:rsidRDefault="00E709BE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</w:p>
    <w:p w14:paraId="173477B2" w14:textId="77777777" w:rsidR="00E709BE" w:rsidRPr="009209D4" w:rsidRDefault="00253EB9" w:rsidP="000761B7">
      <w:pPr>
        <w:spacing w:after="0" w:line="276" w:lineRule="auto"/>
        <w:jc w:val="center"/>
        <w:rPr>
          <w:rFonts w:ascii="Candara 10,5" w:hAnsi="Candara 10,5"/>
          <w:b/>
          <w:bCs/>
          <w:sz w:val="21"/>
          <w:szCs w:val="21"/>
        </w:rPr>
      </w:pPr>
      <w:r w:rsidRPr="009209D4">
        <w:rPr>
          <w:rFonts w:ascii="Candara 10,5" w:hAnsi="Candara 10,5"/>
          <w:b/>
          <w:bCs/>
          <w:sz w:val="21"/>
          <w:szCs w:val="21"/>
        </w:rPr>
        <w:t>§ 4</w:t>
      </w:r>
    </w:p>
    <w:p w14:paraId="52E0AE05" w14:textId="77777777" w:rsidR="00E709BE" w:rsidRPr="009209D4" w:rsidRDefault="00E709BE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</w:p>
    <w:p w14:paraId="1080E52A" w14:textId="77777777" w:rsidR="00E709BE" w:rsidRPr="009209D4" w:rsidRDefault="00253EB9" w:rsidP="000761B7">
      <w:pPr>
        <w:spacing w:after="0" w:line="276" w:lineRule="auto"/>
        <w:ind w:left="426" w:hanging="426"/>
        <w:jc w:val="both"/>
        <w:rPr>
          <w:rFonts w:ascii="Candara 10,5" w:hAnsi="Candara 10,5"/>
          <w:sz w:val="21"/>
          <w:szCs w:val="21"/>
        </w:rPr>
      </w:pPr>
      <w:r w:rsidRPr="009209D4">
        <w:rPr>
          <w:rFonts w:ascii="Candara 10,5" w:hAnsi="Candara 10,5"/>
          <w:sz w:val="21"/>
          <w:szCs w:val="21"/>
        </w:rPr>
        <w:t>1.</w:t>
      </w:r>
      <w:r w:rsidRPr="009209D4">
        <w:rPr>
          <w:rFonts w:ascii="Candara 10,5" w:hAnsi="Candara 10,5"/>
          <w:sz w:val="21"/>
          <w:szCs w:val="21"/>
        </w:rPr>
        <w:tab/>
        <w:t xml:space="preserve">Pozostała treść Umowy wykonawczej pozostaje bez zmian. </w:t>
      </w:r>
    </w:p>
    <w:p w14:paraId="3BE42C96" w14:textId="77777777" w:rsidR="00E709BE" w:rsidRPr="009209D4" w:rsidRDefault="00253EB9" w:rsidP="000761B7">
      <w:pPr>
        <w:spacing w:after="0" w:line="276" w:lineRule="auto"/>
        <w:ind w:left="426" w:hanging="426"/>
        <w:jc w:val="both"/>
        <w:rPr>
          <w:rFonts w:ascii="Candara 10,5" w:hAnsi="Candara 10,5"/>
          <w:sz w:val="21"/>
          <w:szCs w:val="21"/>
        </w:rPr>
      </w:pPr>
      <w:r w:rsidRPr="009209D4">
        <w:rPr>
          <w:rFonts w:ascii="Candara 10,5" w:hAnsi="Candara 10,5"/>
          <w:sz w:val="21"/>
          <w:szCs w:val="21"/>
        </w:rPr>
        <w:t>2.</w:t>
      </w:r>
      <w:r w:rsidRPr="009209D4">
        <w:rPr>
          <w:rFonts w:ascii="Candara 10,5" w:hAnsi="Candara 10,5"/>
          <w:sz w:val="21"/>
          <w:szCs w:val="21"/>
        </w:rPr>
        <w:tab/>
        <w:t>Niniejszy aneks wchodzi w życie z dniem podpisania.</w:t>
      </w:r>
    </w:p>
    <w:p w14:paraId="04F27414" w14:textId="04A76C3A" w:rsidR="00E709BE" w:rsidRPr="009209D4" w:rsidRDefault="00253EB9" w:rsidP="000761B7">
      <w:pPr>
        <w:spacing w:after="0" w:line="276" w:lineRule="auto"/>
        <w:ind w:left="426" w:hanging="426"/>
        <w:jc w:val="both"/>
        <w:rPr>
          <w:rFonts w:ascii="Candara 10,5" w:hAnsi="Candara 10,5"/>
          <w:sz w:val="21"/>
          <w:szCs w:val="21"/>
        </w:rPr>
      </w:pPr>
      <w:r w:rsidRPr="009209D4">
        <w:rPr>
          <w:rFonts w:ascii="Candara 10,5" w:hAnsi="Candara 10,5"/>
          <w:sz w:val="21"/>
          <w:szCs w:val="21"/>
        </w:rPr>
        <w:t>4.</w:t>
      </w:r>
      <w:r w:rsidRPr="009209D4">
        <w:rPr>
          <w:rFonts w:ascii="Candara 10,5" w:hAnsi="Candara 10,5"/>
          <w:sz w:val="21"/>
          <w:szCs w:val="21"/>
        </w:rPr>
        <w:tab/>
        <w:t xml:space="preserve">Aneks sporządzono w </w:t>
      </w:r>
      <w:r w:rsidR="000766D3" w:rsidRPr="009209D4">
        <w:rPr>
          <w:rFonts w:ascii="Candara 10,5" w:hAnsi="Candara 10,5"/>
          <w:sz w:val="21"/>
          <w:szCs w:val="21"/>
        </w:rPr>
        <w:t xml:space="preserve">dwóch </w:t>
      </w:r>
      <w:r w:rsidRPr="009209D4">
        <w:rPr>
          <w:rFonts w:ascii="Candara 10,5" w:hAnsi="Candara 10,5"/>
          <w:sz w:val="21"/>
          <w:szCs w:val="21"/>
        </w:rPr>
        <w:t xml:space="preserve">jednobrzmiących egzemplarzach, </w:t>
      </w:r>
      <w:r w:rsidR="00997B98" w:rsidRPr="009209D4">
        <w:rPr>
          <w:rFonts w:ascii="Candara 10,5" w:hAnsi="Candara 10,5"/>
          <w:sz w:val="21"/>
          <w:szCs w:val="21"/>
        </w:rPr>
        <w:t>po jednym</w:t>
      </w:r>
      <w:r w:rsidRPr="009209D4">
        <w:rPr>
          <w:rFonts w:ascii="Candara 10,5" w:hAnsi="Candara 10,5"/>
          <w:sz w:val="21"/>
          <w:szCs w:val="21"/>
        </w:rPr>
        <w:t xml:space="preserve"> dla Województwa </w:t>
      </w:r>
      <w:r w:rsidR="00997B98" w:rsidRPr="009209D4">
        <w:rPr>
          <w:rFonts w:ascii="Candara 10,5" w:hAnsi="Candara 10,5"/>
          <w:sz w:val="21"/>
          <w:szCs w:val="21"/>
        </w:rPr>
        <w:br/>
      </w:r>
      <w:r w:rsidRPr="009209D4">
        <w:rPr>
          <w:rFonts w:ascii="Candara 10,5" w:hAnsi="Candara 10,5"/>
          <w:sz w:val="21"/>
          <w:szCs w:val="21"/>
        </w:rPr>
        <w:t>i Spółki.</w:t>
      </w:r>
    </w:p>
    <w:p w14:paraId="645BE1C1" w14:textId="77777777" w:rsidR="00E709BE" w:rsidRPr="009209D4" w:rsidRDefault="00E709BE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</w:p>
    <w:p w14:paraId="33F095AF" w14:textId="25EF8FC4" w:rsidR="00E709BE" w:rsidRPr="009209D4" w:rsidRDefault="00253EB9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  <w:r w:rsidRPr="009209D4">
        <w:rPr>
          <w:rFonts w:ascii="Candara 10,5" w:hAnsi="Candara 10,5"/>
          <w:sz w:val="21"/>
          <w:szCs w:val="21"/>
        </w:rPr>
        <w:t xml:space="preserve"> </w:t>
      </w:r>
    </w:p>
    <w:p w14:paraId="726B097F" w14:textId="0F584F4A" w:rsidR="00997B98" w:rsidRPr="009209D4" w:rsidRDefault="00997B98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</w:p>
    <w:p w14:paraId="49E690FD" w14:textId="77777777" w:rsidR="00997B98" w:rsidRPr="009209D4" w:rsidRDefault="00997B98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</w:p>
    <w:p w14:paraId="2FAB3BFB" w14:textId="77777777" w:rsidR="00E709BE" w:rsidRPr="009209D4" w:rsidRDefault="00253EB9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  <w:r w:rsidRPr="009209D4">
        <w:rPr>
          <w:rFonts w:ascii="Candara 10,5" w:hAnsi="Candara 10,5"/>
          <w:sz w:val="21"/>
          <w:szCs w:val="21"/>
        </w:rPr>
        <w:t xml:space="preserve"> </w:t>
      </w:r>
    </w:p>
    <w:p w14:paraId="5728EB1E" w14:textId="5EDA3F50" w:rsidR="00E709BE" w:rsidRPr="009209D4" w:rsidRDefault="00253EB9" w:rsidP="000761B7">
      <w:pPr>
        <w:spacing w:after="0" w:line="276" w:lineRule="auto"/>
        <w:jc w:val="both"/>
        <w:rPr>
          <w:rFonts w:ascii="Candara 10,5" w:hAnsi="Candara 10,5"/>
          <w:b/>
          <w:bCs/>
          <w:sz w:val="21"/>
          <w:szCs w:val="21"/>
        </w:rPr>
      </w:pPr>
      <w:r w:rsidRPr="009209D4">
        <w:rPr>
          <w:rFonts w:ascii="Candara 10,5" w:hAnsi="Candara 10,5"/>
          <w:b/>
          <w:bCs/>
          <w:sz w:val="21"/>
          <w:szCs w:val="21"/>
        </w:rPr>
        <w:tab/>
        <w:t xml:space="preserve"> Województwo</w:t>
      </w:r>
      <w:r w:rsidR="009209D4">
        <w:rPr>
          <w:rFonts w:ascii="Candara 10,5" w:hAnsi="Candara 10,5"/>
          <w:b/>
          <w:bCs/>
          <w:sz w:val="21"/>
          <w:szCs w:val="21"/>
        </w:rPr>
        <w:t>:</w:t>
      </w:r>
      <w:r w:rsidRPr="009209D4">
        <w:rPr>
          <w:rFonts w:ascii="Candara 10,5" w:hAnsi="Candara 10,5"/>
          <w:b/>
          <w:bCs/>
          <w:sz w:val="21"/>
          <w:szCs w:val="21"/>
        </w:rPr>
        <w:tab/>
      </w:r>
      <w:r w:rsidRPr="009209D4">
        <w:rPr>
          <w:rFonts w:ascii="Candara 10,5" w:hAnsi="Candara 10,5"/>
          <w:b/>
          <w:bCs/>
          <w:sz w:val="21"/>
          <w:szCs w:val="21"/>
        </w:rPr>
        <w:tab/>
      </w:r>
      <w:r w:rsidRPr="009209D4">
        <w:rPr>
          <w:rFonts w:ascii="Candara 10,5" w:hAnsi="Candara 10,5"/>
          <w:b/>
          <w:bCs/>
          <w:sz w:val="21"/>
          <w:szCs w:val="21"/>
        </w:rPr>
        <w:tab/>
      </w:r>
      <w:r w:rsidRPr="009209D4">
        <w:rPr>
          <w:rFonts w:ascii="Candara 10,5" w:hAnsi="Candara 10,5"/>
          <w:b/>
          <w:bCs/>
          <w:sz w:val="21"/>
          <w:szCs w:val="21"/>
        </w:rPr>
        <w:tab/>
      </w:r>
      <w:r w:rsidRPr="009209D4">
        <w:rPr>
          <w:rFonts w:ascii="Candara 10,5" w:hAnsi="Candara 10,5"/>
          <w:b/>
          <w:bCs/>
          <w:sz w:val="21"/>
          <w:szCs w:val="21"/>
        </w:rPr>
        <w:tab/>
      </w:r>
      <w:r w:rsidRPr="009209D4">
        <w:rPr>
          <w:rFonts w:ascii="Candara 10,5" w:hAnsi="Candara 10,5"/>
          <w:b/>
          <w:bCs/>
          <w:sz w:val="21"/>
          <w:szCs w:val="21"/>
        </w:rPr>
        <w:tab/>
        <w:t xml:space="preserve">            Spółka:</w:t>
      </w:r>
    </w:p>
    <w:p w14:paraId="57D0BD0E" w14:textId="77777777" w:rsidR="00E709BE" w:rsidRPr="009209D4" w:rsidRDefault="00E709BE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</w:p>
    <w:p w14:paraId="0C83242E" w14:textId="77777777" w:rsidR="009209D4" w:rsidRDefault="009209D4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</w:p>
    <w:p w14:paraId="5A2DE088" w14:textId="77777777" w:rsidR="009209D4" w:rsidRDefault="009209D4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</w:p>
    <w:p w14:paraId="7DF1B625" w14:textId="59A01EE2" w:rsidR="00E709BE" w:rsidRPr="009209D4" w:rsidRDefault="00253EB9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  <w:r w:rsidRPr="009209D4">
        <w:rPr>
          <w:rFonts w:ascii="Candara 10,5" w:hAnsi="Candara 10,5"/>
          <w:sz w:val="21"/>
          <w:szCs w:val="21"/>
        </w:rPr>
        <w:t>____________</w:t>
      </w:r>
      <w:r w:rsidR="009209D4">
        <w:rPr>
          <w:rFonts w:ascii="Candara 10,5" w:hAnsi="Candara 10,5"/>
          <w:sz w:val="21"/>
          <w:szCs w:val="21"/>
        </w:rPr>
        <w:t>____________</w:t>
      </w:r>
      <w:r w:rsidRPr="009209D4">
        <w:rPr>
          <w:rFonts w:ascii="Candara 10,5" w:hAnsi="Candara 10,5"/>
          <w:sz w:val="21"/>
          <w:szCs w:val="21"/>
        </w:rPr>
        <w:t>______________</w:t>
      </w:r>
      <w:r w:rsidRPr="009209D4">
        <w:rPr>
          <w:rFonts w:ascii="Candara 10,5" w:hAnsi="Candara 10,5"/>
          <w:sz w:val="21"/>
          <w:szCs w:val="21"/>
        </w:rPr>
        <w:tab/>
      </w:r>
      <w:r w:rsidR="009209D4">
        <w:rPr>
          <w:rFonts w:ascii="Candara 10,5" w:hAnsi="Candara 10,5"/>
          <w:sz w:val="21"/>
          <w:szCs w:val="21"/>
        </w:rPr>
        <w:tab/>
      </w:r>
      <w:r w:rsidR="009209D4">
        <w:rPr>
          <w:rFonts w:ascii="Candara 10,5" w:hAnsi="Candara 10,5"/>
          <w:sz w:val="21"/>
          <w:szCs w:val="21"/>
        </w:rPr>
        <w:tab/>
      </w:r>
      <w:r w:rsidR="009209D4">
        <w:rPr>
          <w:rFonts w:ascii="Candara 10,5" w:hAnsi="Candara 10,5"/>
          <w:sz w:val="21"/>
          <w:szCs w:val="21"/>
        </w:rPr>
        <w:tab/>
      </w:r>
      <w:r w:rsidR="009209D4" w:rsidRPr="009209D4">
        <w:rPr>
          <w:rFonts w:ascii="Candara 10,5" w:hAnsi="Candara 10,5"/>
          <w:sz w:val="21"/>
          <w:szCs w:val="21"/>
        </w:rPr>
        <w:t>____________</w:t>
      </w:r>
      <w:r w:rsidR="009209D4">
        <w:rPr>
          <w:rFonts w:ascii="Candara 10,5" w:hAnsi="Candara 10,5"/>
          <w:sz w:val="21"/>
          <w:szCs w:val="21"/>
        </w:rPr>
        <w:t>____________</w:t>
      </w:r>
      <w:r w:rsidR="009209D4" w:rsidRPr="009209D4">
        <w:rPr>
          <w:rFonts w:ascii="Candara 10,5" w:hAnsi="Candara 10,5"/>
          <w:sz w:val="21"/>
          <w:szCs w:val="21"/>
        </w:rPr>
        <w:t>______________</w:t>
      </w:r>
    </w:p>
    <w:p w14:paraId="3CE5B782" w14:textId="77777777" w:rsidR="00E709BE" w:rsidRPr="009209D4" w:rsidRDefault="00E709BE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</w:p>
    <w:p w14:paraId="53BDB8B0" w14:textId="2D552236" w:rsidR="00E709BE" w:rsidRPr="009209D4" w:rsidRDefault="00E709BE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</w:p>
    <w:p w14:paraId="360E4576" w14:textId="5C8BA385" w:rsidR="00997B98" w:rsidRPr="009209D4" w:rsidRDefault="00997B98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</w:p>
    <w:p w14:paraId="740D157B" w14:textId="77777777" w:rsidR="00997B98" w:rsidRPr="009209D4" w:rsidRDefault="00997B98" w:rsidP="000761B7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</w:p>
    <w:p w14:paraId="4A13DB1F" w14:textId="77777777" w:rsidR="009209D4" w:rsidRPr="009209D4" w:rsidRDefault="009209D4" w:rsidP="009209D4">
      <w:pPr>
        <w:spacing w:after="0" w:line="276" w:lineRule="auto"/>
        <w:jc w:val="both"/>
        <w:rPr>
          <w:rFonts w:ascii="Candara 10,5" w:hAnsi="Candara 10,5"/>
          <w:sz w:val="21"/>
          <w:szCs w:val="21"/>
        </w:rPr>
      </w:pPr>
      <w:r w:rsidRPr="009209D4">
        <w:rPr>
          <w:rFonts w:ascii="Candara 10,5" w:hAnsi="Candara 10,5"/>
          <w:sz w:val="21"/>
          <w:szCs w:val="21"/>
        </w:rPr>
        <w:t>____________</w:t>
      </w:r>
      <w:r>
        <w:rPr>
          <w:rFonts w:ascii="Candara 10,5" w:hAnsi="Candara 10,5"/>
          <w:sz w:val="21"/>
          <w:szCs w:val="21"/>
        </w:rPr>
        <w:t>____________</w:t>
      </w:r>
      <w:r w:rsidRPr="009209D4">
        <w:rPr>
          <w:rFonts w:ascii="Candara 10,5" w:hAnsi="Candara 10,5"/>
          <w:sz w:val="21"/>
          <w:szCs w:val="21"/>
        </w:rPr>
        <w:t>______________</w:t>
      </w:r>
      <w:r w:rsidRPr="009209D4">
        <w:rPr>
          <w:rFonts w:ascii="Candara 10,5" w:hAnsi="Candara 10,5"/>
          <w:sz w:val="21"/>
          <w:szCs w:val="21"/>
        </w:rPr>
        <w:tab/>
      </w:r>
      <w:r>
        <w:rPr>
          <w:rFonts w:ascii="Candara 10,5" w:hAnsi="Candara 10,5"/>
          <w:sz w:val="21"/>
          <w:szCs w:val="21"/>
        </w:rPr>
        <w:tab/>
      </w:r>
      <w:r>
        <w:rPr>
          <w:rFonts w:ascii="Candara 10,5" w:hAnsi="Candara 10,5"/>
          <w:sz w:val="21"/>
          <w:szCs w:val="21"/>
        </w:rPr>
        <w:tab/>
      </w:r>
      <w:r>
        <w:rPr>
          <w:rFonts w:ascii="Candara 10,5" w:hAnsi="Candara 10,5"/>
          <w:sz w:val="21"/>
          <w:szCs w:val="21"/>
        </w:rPr>
        <w:tab/>
      </w:r>
      <w:r w:rsidRPr="009209D4">
        <w:rPr>
          <w:rFonts w:ascii="Candara 10,5" w:hAnsi="Candara 10,5"/>
          <w:sz w:val="21"/>
          <w:szCs w:val="21"/>
        </w:rPr>
        <w:t>____________</w:t>
      </w:r>
      <w:r>
        <w:rPr>
          <w:rFonts w:ascii="Candara 10,5" w:hAnsi="Candara 10,5"/>
          <w:sz w:val="21"/>
          <w:szCs w:val="21"/>
        </w:rPr>
        <w:t>____________</w:t>
      </w:r>
      <w:r w:rsidRPr="009209D4">
        <w:rPr>
          <w:rFonts w:ascii="Candara 10,5" w:hAnsi="Candara 10,5"/>
          <w:sz w:val="21"/>
          <w:szCs w:val="21"/>
        </w:rPr>
        <w:t>______________</w:t>
      </w:r>
    </w:p>
    <w:p w14:paraId="30631633" w14:textId="18427F21" w:rsidR="00E709BE" w:rsidRPr="009209D4" w:rsidRDefault="00E709BE" w:rsidP="009209D4">
      <w:pPr>
        <w:spacing w:after="0" w:line="276" w:lineRule="auto"/>
        <w:jc w:val="both"/>
        <w:rPr>
          <w:rFonts w:ascii="Candara 10,5" w:hAnsi="Candara 10,5"/>
        </w:rPr>
      </w:pPr>
    </w:p>
    <w:sectPr w:rsidR="00E709BE" w:rsidRPr="009209D4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30768" w14:textId="77777777" w:rsidR="00F41D2D" w:rsidRDefault="00F41D2D">
      <w:pPr>
        <w:spacing w:after="0"/>
      </w:pPr>
      <w:r>
        <w:separator/>
      </w:r>
    </w:p>
  </w:endnote>
  <w:endnote w:type="continuationSeparator" w:id="0">
    <w:p w14:paraId="73E5510A" w14:textId="77777777" w:rsidR="00F41D2D" w:rsidRDefault="00F41D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ndara 10,5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B0A16" w14:textId="77777777" w:rsidR="00F41D2D" w:rsidRDefault="00F41D2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9A4876C" w14:textId="77777777" w:rsidR="00F41D2D" w:rsidRDefault="00F41D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BE"/>
    <w:rsid w:val="000761B7"/>
    <w:rsid w:val="000766D3"/>
    <w:rsid w:val="00121330"/>
    <w:rsid w:val="00253EB9"/>
    <w:rsid w:val="00316B38"/>
    <w:rsid w:val="003A3904"/>
    <w:rsid w:val="006C3178"/>
    <w:rsid w:val="00765B25"/>
    <w:rsid w:val="00814DA0"/>
    <w:rsid w:val="008323F0"/>
    <w:rsid w:val="00853B06"/>
    <w:rsid w:val="009209D4"/>
    <w:rsid w:val="00932FFE"/>
    <w:rsid w:val="00997B98"/>
    <w:rsid w:val="00CA1DC3"/>
    <w:rsid w:val="00E709BE"/>
    <w:rsid w:val="00F41D2D"/>
    <w:rsid w:val="00FD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B824"/>
  <w15:docId w15:val="{22018C57-83DE-4832-B811-FE1B4CCF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uppressAutoHyphens w:val="0"/>
      <w:spacing w:after="200" w:line="276" w:lineRule="auto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kstdymka">
    <w:name w:val="Balloon Text"/>
    <w:basedOn w:val="Normalny"/>
    <w:pPr>
      <w:spacing w:after="0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Times New Roman" w:hAnsi="Times New Roman"/>
      <w:sz w:val="18"/>
      <w:szCs w:val="18"/>
    </w:rPr>
  </w:style>
  <w:style w:type="paragraph" w:styleId="Akapitzlist">
    <w:name w:val="List Paragraph"/>
    <w:basedOn w:val="Normalny"/>
    <w:pPr>
      <w:suppressAutoHyphens w:val="0"/>
      <w:spacing w:after="200" w:line="276" w:lineRule="auto"/>
      <w:ind w:left="720"/>
      <w:textAlignment w:val="auto"/>
    </w:pPr>
    <w:rPr>
      <w:rFonts w:ascii="Times New Roman" w:hAnsi="Times New Roman"/>
      <w:sz w:val="16"/>
    </w:rPr>
  </w:style>
  <w:style w:type="paragraph" w:styleId="Tematkomentarza">
    <w:name w:val="annotation subject"/>
    <w:basedOn w:val="Tekstkomentarza"/>
    <w:next w:val="Tekstkomentarza"/>
    <w:pPr>
      <w:suppressAutoHyphens/>
      <w:spacing w:after="160" w:line="240" w:lineRule="auto"/>
      <w:textAlignment w:val="baseline"/>
    </w:pPr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761B7"/>
    <w:pPr>
      <w:autoSpaceDN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AFCB-DA67-4C49-8D60-1B01D1C8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Olszewski</dc:creator>
  <dc:description/>
  <cp:lastModifiedBy>Jarzębowicz Iwona</cp:lastModifiedBy>
  <cp:revision>2</cp:revision>
  <cp:lastPrinted>2019-10-30T13:37:00Z</cp:lastPrinted>
  <dcterms:created xsi:type="dcterms:W3CDTF">2021-12-30T10:54:00Z</dcterms:created>
  <dcterms:modified xsi:type="dcterms:W3CDTF">2021-12-30T10:54:00Z</dcterms:modified>
</cp:coreProperties>
</file>