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42F" w:rsidRPr="0029042F" w:rsidRDefault="0029042F" w:rsidP="0029042F">
      <w:pPr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9042F">
        <w:rPr>
          <w:rFonts w:ascii="Arial" w:hAnsi="Arial" w:cs="Arial"/>
          <w:b/>
          <w:sz w:val="24"/>
          <w:szCs w:val="24"/>
        </w:rPr>
        <w:t>Wykaz Dokumentacji Technicznej dostarczanej z EZT</w:t>
      </w:r>
    </w:p>
    <w:p w:rsidR="0029042F" w:rsidRPr="0029042F" w:rsidRDefault="0029042F" w:rsidP="0029042F">
      <w:pPr>
        <w:spacing w:before="60" w:after="60"/>
        <w:rPr>
          <w:rFonts w:ascii="Arial" w:hAnsi="Arial" w:cs="Arial"/>
        </w:rPr>
      </w:pP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5245"/>
        <w:gridCol w:w="1842"/>
        <w:gridCol w:w="1843"/>
      </w:tblGrid>
      <w:tr w:rsidR="0029042F" w:rsidRPr="0029042F" w:rsidTr="00331C8D">
        <w:tc>
          <w:tcPr>
            <w:tcW w:w="568" w:type="dxa"/>
            <w:shd w:val="clear" w:color="auto" w:fill="auto"/>
            <w:vAlign w:val="center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Nazwa dokumentu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Liczba egzemplarzy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Termin dostarczenia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Dokumentację Systemu Utrzymania</w:t>
            </w:r>
            <w:r w:rsidRPr="0029042F">
              <w:rPr>
                <w:rFonts w:ascii="Arial" w:hAnsi="Arial" w:cs="Arial"/>
              </w:rPr>
              <w:t xml:space="preserve"> EZT, opracowaną zgodnie z wymaganiami Rozporządzenia Ministra Infrastruktury z dnia 12 października 2005 r. (Dz. U. Nr 212 poz. 1771 </w:t>
            </w:r>
            <w:r w:rsidRPr="0029042F">
              <w:rPr>
                <w:rFonts w:ascii="Arial" w:hAnsi="Arial" w:cs="Arial"/>
              </w:rPr>
              <w:br/>
              <w:t xml:space="preserve">z </w:t>
            </w:r>
            <w:proofErr w:type="spellStart"/>
            <w:r w:rsidRPr="0029042F">
              <w:rPr>
                <w:rFonts w:ascii="Arial" w:hAnsi="Arial" w:cs="Arial"/>
              </w:rPr>
              <w:t>późn</w:t>
            </w:r>
            <w:proofErr w:type="spellEnd"/>
            <w:r w:rsidRPr="0029042F">
              <w:rPr>
                <w:rFonts w:ascii="Arial" w:hAnsi="Arial" w:cs="Arial"/>
              </w:rPr>
              <w:t>. zm.) i zawierającą: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funkcjonalny EZT z podziałem na jego elementy składowe w procesie utrzymania.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Dokumentację zawierającą: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Opisy czynności przeglądowych </w:t>
            </w:r>
            <w:r w:rsidRPr="0029042F">
              <w:rPr>
                <w:rFonts w:ascii="Arial" w:hAnsi="Arial" w:cs="Arial"/>
              </w:rPr>
              <w:br/>
              <w:t xml:space="preserve">i naprawczych, instrukcje demontażu </w:t>
            </w:r>
            <w:r w:rsidRPr="0029042F">
              <w:rPr>
                <w:rFonts w:ascii="Arial" w:hAnsi="Arial" w:cs="Arial"/>
              </w:rPr>
              <w:br/>
              <w:t>i montażu.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Zestawienie parametrów mierzonych w procesie przeglądu lub naprawy i opisy metod pomiarowych.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Wzory kart pomiarowych z wykazem wartości konstrukcyjnych, </w:t>
            </w:r>
            <w:proofErr w:type="spellStart"/>
            <w:r w:rsidRPr="0029042F">
              <w:rPr>
                <w:rFonts w:ascii="Arial" w:hAnsi="Arial" w:cs="Arial"/>
              </w:rPr>
              <w:t>ponaprawczych</w:t>
            </w:r>
            <w:proofErr w:type="spellEnd"/>
            <w:r w:rsidRPr="0029042F">
              <w:rPr>
                <w:rFonts w:ascii="Arial" w:hAnsi="Arial" w:cs="Arial"/>
              </w:rPr>
              <w:br/>
              <w:t>i kresowych parametrów dla zespołów, podzespołów i elementów EZT (oddzielnie dla P1-P3 oraz dla P4-P5).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urządzeń i narzędzi specjalistycznych.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testów wykonywanych w trakcie utrzymania.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Wymagania dotyczące kwalifikacji pracowników oraz wymagania szczególne w zakresie czynności spawania i badań nieniszczących.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Instrukcję lokalizacji i usuwania typowych usterek.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części zamiennych z opisem technicznym i wskazaniem ich producenta.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Ograniczenia związane z bezpieczeństwem</w:t>
            </w:r>
            <w:r w:rsidRPr="0029042F">
              <w:rPr>
                <w:rFonts w:ascii="Arial" w:hAnsi="Arial" w:cs="Arial"/>
              </w:rPr>
              <w:br/>
              <w:t>i interoperacyjnością dla podzespołów lub części istotnych dla bezpieczeństwa</w:t>
            </w:r>
            <w:r w:rsidRPr="0029042F">
              <w:rPr>
                <w:rFonts w:ascii="Arial" w:hAnsi="Arial" w:cs="Arial"/>
              </w:rPr>
              <w:br/>
              <w:t>i interoperacyjności, określające limity, których nie można przekroczyć w czasie eksploatacji, łącznie z eksploatacją w trybie awaryjnym.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1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podzespołów objętych dozorem technicznym.</w:t>
            </w:r>
          </w:p>
          <w:p w:rsidR="0029042F" w:rsidRPr="0029042F" w:rsidRDefault="0029042F" w:rsidP="00331C8D">
            <w:pPr>
              <w:pStyle w:val="Akapitzlist"/>
              <w:spacing w:before="60" w:after="60"/>
              <w:ind w:left="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2 egz. w formie dokumentu papierowego + 2 egz. na nośniku zawierającym zapis dokumentu w formie elektronicznej w formacie edytowalnym.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i/>
              </w:rPr>
            </w:pPr>
            <w:r w:rsidRPr="0029042F">
              <w:rPr>
                <w:rFonts w:ascii="Arial" w:hAnsi="Arial" w:cs="Arial"/>
                <w:i/>
              </w:rPr>
              <w:t>Co najmniej 4 miesiące przed planową dostawą pierwszego EZT.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Dokumentację Techniczno-Ruchową</w:t>
            </w:r>
            <w:r w:rsidRPr="0029042F">
              <w:rPr>
                <w:rFonts w:ascii="Arial" w:hAnsi="Arial" w:cs="Arial"/>
              </w:rPr>
              <w:t xml:space="preserve"> (DTR) pojazdu kolejowego zawierającą: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  <w:i/>
              </w:rPr>
              <w:t>Opis techniczny pojazdu</w:t>
            </w:r>
            <w:r w:rsidRPr="0029042F">
              <w:rPr>
                <w:rFonts w:ascii="Arial" w:hAnsi="Arial" w:cs="Arial"/>
                <w:i/>
              </w:rPr>
              <w:t xml:space="preserve"> (Tom I)</w:t>
            </w:r>
            <w:r w:rsidRPr="0029042F">
              <w:rPr>
                <w:rFonts w:ascii="Arial" w:hAnsi="Arial" w:cs="Arial"/>
              </w:rPr>
              <w:t xml:space="preserve"> zawierający: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Określenie przeznaczenia pojazdu.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Dane techniczne.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Rysunki poglądowe.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Dokumentację techniczno-ruchową dostarczaną przez producentów poszczególnych zespołów i podzespołów (DTR producentów mogą być dołączone do opisu technicznego w formie załączników).</w:t>
            </w:r>
          </w:p>
          <w:p w:rsidR="0029042F" w:rsidRPr="0029042F" w:rsidRDefault="0029042F" w:rsidP="00331C8D">
            <w:pPr>
              <w:pStyle w:val="Akapitzlist"/>
              <w:spacing w:before="60" w:after="60"/>
              <w:ind w:left="360"/>
              <w:jc w:val="both"/>
              <w:rPr>
                <w:rFonts w:ascii="Arial" w:hAnsi="Arial" w:cs="Arial"/>
              </w:rPr>
            </w:pPr>
          </w:p>
          <w:p w:rsidR="0029042F" w:rsidRPr="0029042F" w:rsidRDefault="0029042F" w:rsidP="0029042F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  <w:i/>
              </w:rPr>
              <w:t>Instrukcję obsługi pojazdu</w:t>
            </w:r>
            <w:r w:rsidRPr="0029042F">
              <w:rPr>
                <w:rFonts w:ascii="Arial" w:hAnsi="Arial" w:cs="Arial"/>
                <w:i/>
              </w:rPr>
              <w:t xml:space="preserve"> (Tom II)</w:t>
            </w:r>
            <w:r w:rsidRPr="0029042F">
              <w:rPr>
                <w:rFonts w:ascii="Arial" w:hAnsi="Arial" w:cs="Arial"/>
              </w:rPr>
              <w:t xml:space="preserve">, tzw. „Podręcznik Maszynisty”, zawierającą tok postępowania przy obsłudze poszczególnych </w:t>
            </w:r>
            <w:r w:rsidRPr="0029042F">
              <w:rPr>
                <w:rFonts w:ascii="Arial" w:hAnsi="Arial" w:cs="Arial"/>
              </w:rPr>
              <w:lastRenderedPageBreak/>
              <w:t>układów. Instrukcja obsługi winna zawierać: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budowy i zasady działania.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Wymagania dotyczące użytkowania</w:t>
            </w:r>
            <w:r w:rsidRPr="0029042F">
              <w:rPr>
                <w:rFonts w:ascii="Arial" w:hAnsi="Arial" w:cs="Arial"/>
              </w:rPr>
              <w:br/>
              <w:t>i bezpieczeństwa obsługi.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Zdjęcia i rysunki poglądowe ułatwiające lokalizację poszczególnych elementów.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postępowania w sytuacjach awaryjnych.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postępowania na czas pozostawienia pojazdu w stanie czynnym bezobsługowym (funkcja Parking) oraz w stanie nieczynnym.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transportowania pojazdu nieczynnego przy użyciu innego pojazdu.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postępowania w przypadku awaryjnego postoju na szlaku z pasażerami przy braku napięcia trakcyjnego.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Diagnostyki pełniącej rolę diagnostyki pokładowej z podaniem sposobu prawidłowego postępowania.</w:t>
            </w:r>
          </w:p>
          <w:p w:rsidR="0029042F" w:rsidRPr="0029042F" w:rsidRDefault="0029042F" w:rsidP="00331C8D">
            <w:pPr>
              <w:pStyle w:val="Akapitzlist"/>
              <w:spacing w:before="60" w:after="60"/>
              <w:jc w:val="both"/>
              <w:rPr>
                <w:rFonts w:ascii="Arial" w:hAnsi="Arial" w:cs="Arial"/>
              </w:rPr>
            </w:pPr>
          </w:p>
          <w:p w:rsidR="0029042F" w:rsidRPr="0029042F" w:rsidRDefault="0029042F" w:rsidP="0029042F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  <w:i/>
              </w:rPr>
              <w:t xml:space="preserve">Instrukcję eksploatacyjną pojazdu </w:t>
            </w:r>
            <w:r w:rsidRPr="0029042F">
              <w:rPr>
                <w:rFonts w:ascii="Arial" w:hAnsi="Arial" w:cs="Arial"/>
                <w:i/>
              </w:rPr>
              <w:t>(utrzymaniowo-naprawczą) (Tom III)</w:t>
            </w:r>
            <w:r w:rsidRPr="0029042F">
              <w:rPr>
                <w:rFonts w:ascii="Arial" w:hAnsi="Arial" w:cs="Arial"/>
              </w:rPr>
              <w:t xml:space="preserve"> zawierającą tok postępowania przy konserwacji, regulacji i naprawie poszczególnych zespołów</w:t>
            </w:r>
            <w:r w:rsidRPr="0029042F">
              <w:rPr>
                <w:rFonts w:ascii="Arial" w:hAnsi="Arial" w:cs="Arial"/>
              </w:rPr>
              <w:br/>
              <w:t>i elementów EZT. Instrukcja winna zawierać: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Wytyczne dotyczące utrzymania</w:t>
            </w:r>
            <w:r w:rsidRPr="0029042F">
              <w:rPr>
                <w:rFonts w:ascii="Arial" w:hAnsi="Arial" w:cs="Arial"/>
              </w:rPr>
              <w:br/>
              <w:t>i konserwacji.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metod sprawdzania stanu technicznego i zestawienie parametrów.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charakterystycznych usterek i metod ich usuwania.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Diagnostyki pełniącej rolę diagnostyki obsługowej z instrukcją wykorzystania jej w ocenie stanu technicznego objętych diagnostyką zespołów i podzespołów.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czynności utrzymania zapobiegawczego mającego na celu ograniczenie prawdopodobieństwa wystąpienia uszkodzenia lub pogorszenia funkcjonalności pojazdu.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czynności utrzymania naprawczego wykonywanych po stwierdzeniu niezdatności pojazdu kolejowego lub jego części składowych do korzystania  z pojazdu zgodnie z jego przeznaczeniem.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Rysunki lub zdjęcia ułatwiające wykonanie poszczególnych czynności.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narzędzi stosowanych przy wykonywaniu zalecanych czynności obsługowych.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Schematy blokowe, montażowe i ideowe instalacji elektrycznej i pneumatycznej całego EZT.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Listy kablowe dla połączeń elektrycznych opisujące wszystkie złącza i wiązki kablowe wraz z podaniem numerów (oznaczeń) przewodów elektrycznych, ich rodzaju oraz opisu złącz, do których przewody te są </w:t>
            </w:r>
            <w:r w:rsidRPr="0029042F">
              <w:rPr>
                <w:rFonts w:ascii="Arial" w:hAnsi="Arial" w:cs="Arial"/>
              </w:rPr>
              <w:lastRenderedPageBreak/>
              <w:t>podłączone.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sygnałów wejściowych i wyjściowych poszczególnych sterowników zamontowanych na pojeździe oraz sygnałów przesyłanych po magistrali CAN i sieci Ethernet wraz z ich opisem funkcjonalnym.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Instrukcję mycia pojazdu wraz z katalogiem środków dopuszczonych do mycia wewnętrznego i zewnętrznego pojazdu, w tym wykaz środków chemicznych dopuszczonych do usuwania napisów</w:t>
            </w:r>
            <w:r w:rsidRPr="0029042F">
              <w:rPr>
                <w:rFonts w:ascii="Arial" w:hAnsi="Arial" w:cs="Arial"/>
              </w:rPr>
              <w:br/>
              <w:t>i graffiti oraz czyszczenia tapicerki.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2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Zasady recyklingu.</w:t>
            </w:r>
          </w:p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lastRenderedPageBreak/>
              <w:t>Dla danego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 w formie dokumentu papierowego + 1 egz. na nośniku 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Katalog części zamiennych</w:t>
            </w:r>
            <w:r w:rsidRPr="0029042F">
              <w:rPr>
                <w:rFonts w:ascii="Arial" w:hAnsi="Arial" w:cs="Arial"/>
                <w:i/>
              </w:rPr>
              <w:t xml:space="preserve"> </w:t>
            </w:r>
            <w:r w:rsidRPr="0029042F">
              <w:rPr>
                <w:rFonts w:ascii="Arial" w:hAnsi="Arial" w:cs="Arial"/>
              </w:rPr>
              <w:t>zawierający: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wszystkich elementów z podaniem: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Numerów katalogowych.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Adresów i nazw producentów (dostawców).</w:t>
            </w:r>
          </w:p>
          <w:p w:rsidR="0029042F" w:rsidRPr="0029042F" w:rsidRDefault="0029042F" w:rsidP="0029042F">
            <w:pPr>
              <w:pStyle w:val="Akapitzlist"/>
              <w:numPr>
                <w:ilvl w:val="1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Podstawowych parametrów elementów umożliwiających ich właściwe zamówienie.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Graficzne przedstawienie elementów z przyporządkowaniem ich do pojazdu, zespołu, podzespołu lub elementu strukturalnego.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elementów wraz zamiennikami możliwymi do zastosowania dla tych elementów.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Przedstawienie poszczególnych zespołów, podzespołów i elementów strukturalnych w formie rysunków obrazujących przestrzennie wchodzące w skład ww. elementów, elementy niższego rzędu z pokazaniem ich numeru katalogowego oraz miejsca i kolejności wzajemnego usytuowania w danym zespole, podzespole lub elemencie strukturalnym. 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4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Zamawiający wymaga dołączenia rysunków wykonawczych dla wszystkich rodzajów szyb zastosowanych w pojeździe i elementów zużywających się w czasie eksploatacji (m. in.: sworznie, tuleje, elementy metalowo gumowe, </w:t>
            </w:r>
            <w:proofErr w:type="spellStart"/>
            <w:r w:rsidRPr="0029042F">
              <w:rPr>
                <w:rFonts w:ascii="Arial" w:hAnsi="Arial" w:cs="Arial"/>
              </w:rPr>
              <w:t>itp</w:t>
            </w:r>
            <w:proofErr w:type="spellEnd"/>
            <w:r w:rsidRPr="0029042F">
              <w:rPr>
                <w:rFonts w:ascii="Arial" w:hAnsi="Arial" w:cs="Arial"/>
              </w:rPr>
              <w:t>).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2 egz. w formie dokumentu papierowego + 3 egz. na nośniku 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pierwszym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Wykaz materiałów eksploatacyjnych</w:t>
            </w:r>
            <w:r w:rsidRPr="0029042F">
              <w:rPr>
                <w:rFonts w:ascii="Arial" w:hAnsi="Arial" w:cs="Arial"/>
              </w:rPr>
              <w:t xml:space="preserve"> z podaniem: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Nazwy materiału eksploatacyjnego.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Oznaczenia oraz producenta materiału użytego w dostarczonych pojazdach.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6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Dla każdego materiału eksploatacyjnego wszystkich wymagań, które materiał eksploatacyjny musi spełniać, aby był równoważny użytemu w dostarczonych pojazdach, tj. takich, które nie wpłyną na pogorszenie stanu technicznego pojazdu oraz nie spowodują utraty gwarancji jakości.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 w formie dokumentu papierowego + 1 egz. na nośniku 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Dokumentację techniczną systemów informatycznych i dostarczonego oprogramowania</w:t>
            </w:r>
            <w:r w:rsidRPr="0029042F">
              <w:rPr>
                <w:rFonts w:ascii="Arial" w:hAnsi="Arial" w:cs="Arial"/>
              </w:rPr>
              <w:t xml:space="preserve"> zawierającą: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Diagnostyki pełniącej rolę diagnostyki online z instrukcją wykorzystywania jej w zdalnej ocenie stanu technicznego pojazdu i sposobu postępowania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Opis Systemu Diagnostyki pełniącej rolę diagnostyki obsługowej z instrukcją wykorzystania jej w ocenie stanu technicznego objętych diagnostyką zespołów i </w:t>
            </w:r>
            <w:r w:rsidRPr="0029042F">
              <w:rPr>
                <w:rFonts w:ascii="Arial" w:hAnsi="Arial" w:cs="Arial"/>
              </w:rPr>
              <w:lastRenderedPageBreak/>
              <w:t>podzespołów.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sieci Ethernet na pojeździe wraz</w:t>
            </w:r>
            <w:r w:rsidRPr="0029042F">
              <w:rPr>
                <w:rFonts w:ascii="Arial" w:hAnsi="Arial" w:cs="Arial"/>
              </w:rPr>
              <w:br/>
              <w:t>z szczegółowym opisem konfiguracji wszystkich urządzeń pracujących w tej sieci.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specjalistycznego oprogramowania do diagnostyki układu napędowego wraz z instrukcją wykorzystania oprogramowania do diagnostyki pracy podzespołów układu napędowego. W opisie winna znaleźć się lista sygnałów diagnostycznych wraz z ich opisem funkcjonalnym.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specjalistycznego oprogramowania do diagnostyki układu hamulcowego wraz z instrukcją wykorzystania oprogramowania do diagnostyki pracy podzespołów układu hamulcowego. W opisie winna znaleźć się lista sygnałów diagnostycznych wraz z ich opisem funkcjonalnym.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oprogramowania do zintegrowanego systemu pomiaru prędkości, drogi oraz rejestracji pracy pojazdu.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Informacji Pasażerskiej wraz z opisem  oprogramowania do tego systemu, zawierający przykłady korzystania z poszczególnych funkcji systemu i oprogramowania. Opis winien zawierać tok postępowania przy serwisowaniu tego systemu.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Informacji Dodatkowych wraz z opisem  oprogramowania do tego systemu, zawierający przykłady korzystania z poszczególnych funkcji systemu i oprogramowania. Opis winien zawierać tok postępowania przy serwisowaniu tego systemu.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Emisji Reklam wraz z opisem  oprogramowania do tego systemu, zawierający przykłady korzystania z poszczególnych funkcji systemu i oprogramowania (dotyczy pojazdów przynależnych Zamawiającemu 1).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Dynamicznego Rozkładu Jazdy wraz z opisem serwisowania tego systemu.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Monitoringu wraz z opisem  oprogramowania do tego systemu, zawierający przykłady korzystania z poszczególnych funkcji systemu i oprogramowania. Opis winien zawierać tok postępowania przy serwisowaniu tego systemu.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Zliczania Pasażerów wraz z opisem  oprogramowania do tego systemu, zawierający przykłady korzystania z poszczególnych funkcji systemu i oprogramowania. Opis winien zawierać tok postępowania przy serwisowaniu tego systemu.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systemu wzmacniania sygnału GSM wraz z opisem serwisowania tego systemu.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oprogramowania do sterowników drzwi wraz z opisem sposobów diagnozowania usterek przy użyciu tego oprogramowania.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oprogramowania do sterowników toalety wraz z opisem sposobów diagnozowania usterek przy użyciu tego oprogramowania.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5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Opis Aplikacji Dyspozytorskiej zawierający przykłady korzystania z poszczególnych funkcji tej aplikacji.</w:t>
            </w:r>
          </w:p>
          <w:p w:rsidR="0029042F" w:rsidRPr="0029042F" w:rsidRDefault="0029042F" w:rsidP="00331C8D">
            <w:pPr>
              <w:pStyle w:val="Akapitzlist"/>
              <w:spacing w:before="60" w:after="6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lastRenderedPageBreak/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2 egz. w formie dokumentu papierowego + 2 egz. na nośniku 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pierwszym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lastRenderedPageBreak/>
              <w:t>6.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Warunki Techniczne Wykonania i Odbioru</w:t>
            </w:r>
            <w:r w:rsidRPr="0029042F">
              <w:rPr>
                <w:rFonts w:ascii="Arial" w:hAnsi="Arial" w:cs="Arial"/>
              </w:rPr>
              <w:t xml:space="preserve"> pojazdu kolejowego, jego zespołów i podzespołów, zawierające: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3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Określenie przedmiotu warunków.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3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Zakres stosowania.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3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Wykaz stosowanych określeń, jeśli nie są one zawarte w odpowiednich normach kolejowych.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3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Wymagania techniczne, których dotrzymanie podlega sprawdzeniu pod kątem zapewnienia wymaganego poziomu jakości w procesie przygotowania produkcji, produkcji i eksploatacji.</w:t>
            </w:r>
          </w:p>
          <w:p w:rsidR="0029042F" w:rsidRPr="0029042F" w:rsidRDefault="0029042F" w:rsidP="0029042F">
            <w:pPr>
              <w:pStyle w:val="Akapitzlist"/>
              <w:numPr>
                <w:ilvl w:val="0"/>
                <w:numId w:val="3"/>
              </w:numPr>
              <w:spacing w:before="60" w:after="60"/>
              <w:contextualSpacing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Program, opis i ocenę wyników badań.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2 egz. w formie dokumentu papierowego + 2 egz. na nośniku zawierającym zapis dokumentu w formie elektronicznej w formacie edytowalnym.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i/>
              </w:rPr>
            </w:pPr>
            <w:r w:rsidRPr="0029042F">
              <w:rPr>
                <w:rFonts w:ascii="Arial" w:hAnsi="Arial" w:cs="Arial"/>
                <w:i/>
              </w:rPr>
              <w:t>Co najmniej 6 tygodni przed przystąpieniem do produkcji pierwszego EZT.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Księgi rewizyjne</w:t>
            </w:r>
            <w:r w:rsidRPr="0029042F">
              <w:rPr>
                <w:rFonts w:ascii="Arial" w:hAnsi="Arial" w:cs="Arial"/>
              </w:rPr>
              <w:t xml:space="preserve"> (tzw. Paszporty) dla urządzeń podlegających Dozorowi Technicznemu.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3 egz. dla każdego urządzenia.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Instrukcja podnoszenia EZT</w:t>
            </w:r>
            <w:r w:rsidRPr="0029042F">
              <w:rPr>
                <w:rFonts w:ascii="Arial" w:hAnsi="Arial" w:cs="Arial"/>
              </w:rPr>
              <w:t xml:space="preserve"> w przypadku wykolejenia (szczegółowy opis wszystkich sposobów podnoszenia).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 w formie dokumentu papierowego + 1 egz. na nośniku 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Dokumentację konstrukcyjną sprzęgu sterowania wielokrotnego</w:t>
            </w:r>
            <w:r w:rsidRPr="0029042F">
              <w:rPr>
                <w:rFonts w:ascii="Arial" w:hAnsi="Arial" w:cs="Arial"/>
              </w:rPr>
              <w:t xml:space="preserve"> w części elektrycznej dotyczącą układu sygnałów logicznych umożliwiających sterowanie EZT w trakcji wielokrotnej. Dokumentacja winna zawierać szczegółowy opis wszystkich złącz elektrycznych znajdujących się na sprzęgu (opis </w:t>
            </w:r>
            <w:proofErr w:type="spellStart"/>
            <w:r w:rsidRPr="0029042F">
              <w:rPr>
                <w:rFonts w:ascii="Arial" w:hAnsi="Arial" w:cs="Arial"/>
              </w:rPr>
              <w:t>pinów</w:t>
            </w:r>
            <w:proofErr w:type="spellEnd"/>
            <w:r w:rsidRPr="0029042F">
              <w:rPr>
                <w:rFonts w:ascii="Arial" w:hAnsi="Arial" w:cs="Arial"/>
              </w:rPr>
              <w:t xml:space="preserve"> wraz ze wskazaniem numerów przewodów zgodnie ze schematami elektrycznymi EZT oraz opis ich znaczenia funkcjonalnego). Opis protokołów komunikacyjnych dla sieci Ethernet, CAN, itp. wykorzystywanych do komunikacji między EZT w sterowaniu wielokrotnym. Wraz z dokumentacją Wykonawca udziela prawa do jej wykorzystania przez Zamawiającego podczas kolejnych zakupów bądź modernizacji elektrycznych zespołów trakcyjnych. Dokumentacja ta będzie wykorzystana w celu uzyskania pełnej kompatybilności w sterowaniu wielokrotnym przy połączeniu dostarczonych EZT z EZT, które planuje zakupić Zamawiający w późniejszym terminie bądź modernizacjami obecnego taboru Zamawiającego w późniejszym terminie. Powyższa dokumentacja musi mieć charakter powszechny i nie może być oznakowana jako tajemnica przedsiębiorstwa.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2 egz. w formie dokumentu papierowego + 2 egz. na nośniku 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pierwszym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Dokumentację konstrukcyjną EZT</w:t>
            </w:r>
            <w:r w:rsidRPr="0029042F">
              <w:rPr>
                <w:rFonts w:ascii="Arial" w:hAnsi="Arial" w:cs="Arial"/>
              </w:rPr>
              <w:t xml:space="preserve"> zawierającą rysunki konstrukcyjne (wraz z wymiarami) zespołów i podzespołów.</w:t>
            </w:r>
          </w:p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W przypadku wprowadzania zmian w powyższej dokumentacji konstrukcyjnej Wykonawca jest zobowiązany każdorazowo przekazać Zamawiającemu </w:t>
            </w:r>
            <w:r w:rsidRPr="0029042F">
              <w:rPr>
                <w:rFonts w:ascii="Arial" w:hAnsi="Arial" w:cs="Arial"/>
              </w:rPr>
              <w:lastRenderedPageBreak/>
              <w:t>zaktualizowany rysunek.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lastRenderedPageBreak/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3 egz. w formie dokumentu papierowego + 3 egz. na nośniku </w:t>
            </w:r>
            <w:r w:rsidRPr="0029042F">
              <w:rPr>
                <w:rFonts w:ascii="Arial" w:hAnsi="Arial" w:cs="Arial"/>
              </w:rPr>
              <w:lastRenderedPageBreak/>
              <w:t>zawierający zapis dokumentu w formie elektronicznej.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lastRenderedPageBreak/>
              <w:t>Z pierwszym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Deklaracja weryfikacji zgodności podsystemu tabor</w:t>
            </w:r>
            <w:r w:rsidRPr="0029042F">
              <w:rPr>
                <w:rFonts w:ascii="Arial" w:hAnsi="Arial" w:cs="Arial"/>
              </w:rPr>
              <w:t xml:space="preserve"> dla wyprodukowanego pojazdu z zasadniczymi wymaganiami dotyczącymi interoperacyjności kolei, zgodnie z wymaganiami Art. 25c ustawy z dnia 28 marca 2003 r. o transporcie kolejowym (Dz. U. Nr 86 poz. 789 z </w:t>
            </w:r>
            <w:proofErr w:type="spellStart"/>
            <w:r w:rsidRPr="0029042F">
              <w:rPr>
                <w:rFonts w:ascii="Arial" w:hAnsi="Arial" w:cs="Arial"/>
              </w:rPr>
              <w:t>późn</w:t>
            </w:r>
            <w:proofErr w:type="spellEnd"/>
            <w:r w:rsidRPr="0029042F">
              <w:rPr>
                <w:rFonts w:ascii="Arial" w:hAnsi="Arial" w:cs="Arial"/>
              </w:rPr>
              <w:t>. zm.).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Certyfikaty Badania Typu WE</w:t>
            </w:r>
            <w:r w:rsidRPr="0029042F">
              <w:rPr>
                <w:rFonts w:ascii="Arial" w:hAnsi="Arial" w:cs="Arial"/>
              </w:rPr>
              <w:t xml:space="preserve"> wydane przez jednostkę notyfikowaną potwierdzające zgodność pojazdu z TSI. (Kopia potwierdzona na zgodność z oryginałem)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każdego typu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pierwszym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13.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Zezwolenie na dopuszczenie do eksploatacji</w:t>
            </w:r>
            <w:r w:rsidRPr="0029042F">
              <w:rPr>
                <w:rFonts w:ascii="Arial" w:hAnsi="Arial" w:cs="Arial"/>
              </w:rPr>
              <w:t xml:space="preserve"> pojazdu kolejowego zgodnego z TSI, wydane przez Prezesa UTK.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14.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Deklarację zgodności Producenta.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15.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  <w:b/>
              </w:rPr>
              <w:t>Dokumenty Odbiorów Technicznych</w:t>
            </w:r>
            <w:r w:rsidRPr="0029042F">
              <w:rPr>
                <w:rFonts w:ascii="Arial" w:hAnsi="Arial" w:cs="Arial"/>
              </w:rPr>
              <w:t xml:space="preserve"> (protokoły) zespołów i podzespołów pojazdu kolejowego przeprowadzonych przez Inspektorów Kontroli Jakości zgodnie z Wymogami Technicznymi oraz Warunkami Technicznymi Wykonania i Odbioru potwierdzonymi przez Komisarzy Odbiorczych Zamawiającego (Zamawiający wymaga dostarczenia kompletu wypełnionych i potwierdzonych arkuszy z </w:t>
            </w:r>
            <w:proofErr w:type="spellStart"/>
            <w:r w:rsidRPr="0029042F">
              <w:rPr>
                <w:rFonts w:ascii="Arial" w:hAnsi="Arial" w:cs="Arial"/>
              </w:rPr>
              <w:t>WTWiO</w:t>
            </w:r>
            <w:proofErr w:type="spellEnd"/>
            <w:r w:rsidRPr="0029042F">
              <w:rPr>
                <w:rFonts w:ascii="Arial" w:hAnsi="Arial" w:cs="Arial"/>
              </w:rPr>
              <w:t>).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16.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Książka pojazdu.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17.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Karty utrzymania głównych podzespołów EZT.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 xml:space="preserve">1 </w:t>
            </w:r>
            <w:proofErr w:type="spellStart"/>
            <w:r w:rsidRPr="0029042F">
              <w:rPr>
                <w:rFonts w:ascii="Arial" w:hAnsi="Arial" w:cs="Arial"/>
              </w:rPr>
              <w:t>kpl</w:t>
            </w:r>
            <w:proofErr w:type="spellEnd"/>
            <w:r w:rsidRPr="0029042F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18.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Dokument Gwarancji.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  <w:tr w:rsidR="0029042F" w:rsidRPr="0029042F" w:rsidTr="00331C8D">
        <w:tc>
          <w:tcPr>
            <w:tcW w:w="568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19.</w:t>
            </w:r>
          </w:p>
        </w:tc>
        <w:tc>
          <w:tcPr>
            <w:tcW w:w="5245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Dokument stwierdzający ubezpieczenie EZT.</w:t>
            </w:r>
          </w:p>
        </w:tc>
        <w:tc>
          <w:tcPr>
            <w:tcW w:w="1842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  <w:b/>
              </w:rPr>
            </w:pPr>
            <w:r w:rsidRPr="0029042F">
              <w:rPr>
                <w:rFonts w:ascii="Arial" w:hAnsi="Arial" w:cs="Arial"/>
                <w:b/>
              </w:rPr>
              <w:t>Dla danego  EZT:</w:t>
            </w:r>
          </w:p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1 egz.</w:t>
            </w:r>
          </w:p>
        </w:tc>
        <w:tc>
          <w:tcPr>
            <w:tcW w:w="1843" w:type="dxa"/>
            <w:shd w:val="clear" w:color="auto" w:fill="auto"/>
          </w:tcPr>
          <w:p w:rsidR="0029042F" w:rsidRPr="0029042F" w:rsidRDefault="0029042F" w:rsidP="00331C8D">
            <w:pPr>
              <w:spacing w:before="60" w:after="60"/>
              <w:rPr>
                <w:rFonts w:ascii="Arial" w:hAnsi="Arial" w:cs="Arial"/>
              </w:rPr>
            </w:pPr>
            <w:r w:rsidRPr="0029042F">
              <w:rPr>
                <w:rFonts w:ascii="Arial" w:hAnsi="Arial" w:cs="Arial"/>
              </w:rPr>
              <w:t>Z każdym dostarczanym EZT</w:t>
            </w:r>
          </w:p>
        </w:tc>
      </w:tr>
    </w:tbl>
    <w:p w:rsidR="0029042F" w:rsidRPr="0029042F" w:rsidRDefault="0029042F" w:rsidP="0029042F">
      <w:pPr>
        <w:spacing w:before="60" w:after="60"/>
        <w:rPr>
          <w:rFonts w:ascii="Arial" w:hAnsi="Arial" w:cs="Arial"/>
        </w:rPr>
      </w:pPr>
    </w:p>
    <w:p w:rsidR="0029042F" w:rsidRPr="0029042F" w:rsidRDefault="0029042F" w:rsidP="0029042F">
      <w:pPr>
        <w:spacing w:before="60" w:after="60" w:line="360" w:lineRule="auto"/>
        <w:jc w:val="both"/>
        <w:rPr>
          <w:rFonts w:ascii="Arial" w:hAnsi="Arial" w:cs="Arial"/>
        </w:rPr>
      </w:pPr>
      <w:r w:rsidRPr="0029042F">
        <w:rPr>
          <w:rFonts w:ascii="Arial" w:hAnsi="Arial" w:cs="Arial"/>
          <w:b/>
          <w:u w:val="single"/>
        </w:rPr>
        <w:t xml:space="preserve">Zastrzeżenie: </w:t>
      </w:r>
      <w:r w:rsidRPr="0029042F">
        <w:rPr>
          <w:rFonts w:ascii="Arial" w:hAnsi="Arial" w:cs="Arial"/>
        </w:rPr>
        <w:t xml:space="preserve">W przypadku zmiany zakresu zawartości dokumentacji technicznej EZT, wynikającej ze zmiany aktów prawnych, po podpisaniu umowy, a przed dostawą pierwszego EZT każdego typu Wykonawca zobowiązany jest dostosować jej zawartość do nowych, obowiązujących przepisów. Dokumentacja techniczna, o której mowa w Rozporządzeniu Ministra Infrastruktury z dnia 12 października 2005 r. w sprawie ogólnych warunków technicznych eksploatacji pojazdów kolejowych (Dz. U. Nr 212 poz. 1771 z </w:t>
      </w:r>
      <w:proofErr w:type="spellStart"/>
      <w:r w:rsidRPr="0029042F">
        <w:rPr>
          <w:rFonts w:ascii="Arial" w:hAnsi="Arial" w:cs="Arial"/>
        </w:rPr>
        <w:t>późn</w:t>
      </w:r>
      <w:proofErr w:type="spellEnd"/>
      <w:r w:rsidRPr="0029042F">
        <w:rPr>
          <w:rFonts w:ascii="Arial" w:hAnsi="Arial" w:cs="Arial"/>
        </w:rPr>
        <w:t>. zm.), a dostarczana wraz z EZT musi mieć charakter powszechny i nie może być oznakowana jako tajemnica przedsiębiorstwa.</w:t>
      </w:r>
    </w:p>
    <w:p w:rsidR="001C0870" w:rsidRPr="0029042F" w:rsidRDefault="001C0870">
      <w:pPr>
        <w:rPr>
          <w:rFonts w:ascii="Arial" w:hAnsi="Arial" w:cs="Arial"/>
        </w:rPr>
      </w:pPr>
    </w:p>
    <w:sectPr w:rsidR="001C0870" w:rsidRPr="002904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9CE" w:rsidRDefault="004629CE" w:rsidP="0029042F">
      <w:r>
        <w:separator/>
      </w:r>
    </w:p>
  </w:endnote>
  <w:endnote w:type="continuationSeparator" w:id="0">
    <w:p w:rsidR="004629CE" w:rsidRDefault="004629CE" w:rsidP="0029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6404317"/>
      <w:docPartObj>
        <w:docPartGallery w:val="Page Numbers (Bottom of Page)"/>
        <w:docPartUnique/>
      </w:docPartObj>
    </w:sdtPr>
    <w:sdtEndPr/>
    <w:sdtContent>
      <w:p w:rsidR="00B229A3" w:rsidRDefault="00B229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AFF">
          <w:rPr>
            <w:noProof/>
          </w:rPr>
          <w:t>1</w:t>
        </w:r>
        <w:r>
          <w:fldChar w:fldCharType="end"/>
        </w:r>
      </w:p>
    </w:sdtContent>
  </w:sdt>
  <w:p w:rsidR="00B229A3" w:rsidRDefault="00B229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9CE" w:rsidRDefault="004629CE" w:rsidP="0029042F">
      <w:r>
        <w:separator/>
      </w:r>
    </w:p>
  </w:footnote>
  <w:footnote w:type="continuationSeparator" w:id="0">
    <w:p w:rsidR="004629CE" w:rsidRDefault="004629CE" w:rsidP="00290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7D" w:rsidRPr="0029042F" w:rsidRDefault="0029042F" w:rsidP="004A157D">
    <w:pPr>
      <w:tabs>
        <w:tab w:val="left" w:pos="1752"/>
      </w:tabs>
      <w:spacing w:after="200" w:line="360" w:lineRule="auto"/>
      <w:jc w:val="right"/>
      <w:rPr>
        <w:rFonts w:ascii="Arial" w:hAnsi="Arial" w:cs="Arial"/>
        <w:sz w:val="18"/>
        <w:szCs w:val="18"/>
      </w:rPr>
    </w:pPr>
    <w:r w:rsidRPr="0029042F">
      <w:rPr>
        <w:rFonts w:ascii="Arial" w:hAnsi="Arial" w:cs="Arial"/>
        <w:sz w:val="18"/>
        <w:szCs w:val="18"/>
      </w:rPr>
      <w:t>Załącznik nr 5 do Umowy</w:t>
    </w:r>
    <w:r w:rsidR="004A157D">
      <w:rPr>
        <w:rFonts w:ascii="Arial" w:hAnsi="Arial" w:cs="Arial"/>
        <w:sz w:val="18"/>
        <w:szCs w:val="18"/>
      </w:rPr>
      <w:t xml:space="preserve"> nr KS/ZP/25/2016</w:t>
    </w:r>
  </w:p>
  <w:p w:rsidR="0029042F" w:rsidRDefault="0029042F" w:rsidP="002904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6F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5B4C4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B085F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90706E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5B953C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6E4473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90"/>
    <w:rsid w:val="000A1AFF"/>
    <w:rsid w:val="001717CB"/>
    <w:rsid w:val="001B1563"/>
    <w:rsid w:val="001C0870"/>
    <w:rsid w:val="001E5A39"/>
    <w:rsid w:val="0029042F"/>
    <w:rsid w:val="00350B90"/>
    <w:rsid w:val="003517DB"/>
    <w:rsid w:val="004629CE"/>
    <w:rsid w:val="004A157D"/>
    <w:rsid w:val="00840276"/>
    <w:rsid w:val="008D443E"/>
    <w:rsid w:val="00B229A3"/>
    <w:rsid w:val="00D25D5A"/>
    <w:rsid w:val="00FE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42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4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90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4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4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4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42F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4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90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4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4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4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2050</Words>
  <Characters>12304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Kwiecińska Ewa</dc:creator>
  <cp:keywords/>
  <dc:description/>
  <cp:lastModifiedBy>Kwiecińska Ewa</cp:lastModifiedBy>
  <cp:revision>3</cp:revision>
  <dcterms:created xsi:type="dcterms:W3CDTF">2016-04-18T19:19:00Z</dcterms:created>
  <dcterms:modified xsi:type="dcterms:W3CDTF">2016-04-21T06:33:00Z</dcterms:modified>
</cp:coreProperties>
</file>