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E734F9" w14:textId="05A3F2CD" w:rsidR="0088210A" w:rsidRPr="008551D5" w:rsidRDefault="00292241" w:rsidP="008551D5">
      <w:pPr>
        <w:pStyle w:val="Nagwek1"/>
      </w:pPr>
      <w:bookmarkStart w:id="0" w:name="_Toc126832160"/>
      <w:r w:rsidRPr="1FEA527C">
        <w:rPr>
          <w:rStyle w:val="normaltextrun"/>
          <w:rFonts w:cs="Arial"/>
        </w:rPr>
        <w:t>Zał</w:t>
      </w:r>
      <w:r>
        <w:rPr>
          <w:rStyle w:val="normaltextrun"/>
          <w:rFonts w:cs="Arial"/>
        </w:rPr>
        <w:t>ącznik</w:t>
      </w:r>
      <w:r w:rsidRPr="1FEA527C">
        <w:rPr>
          <w:rStyle w:val="normaltextrun"/>
          <w:rFonts w:cs="Arial"/>
        </w:rPr>
        <w:t xml:space="preserve"> nr 2 - Wskaźniki</w:t>
      </w:r>
      <w:bookmarkStart w:id="1" w:name="_Zał._nr_3:"/>
      <w:bookmarkEnd w:id="0"/>
      <w:bookmarkEnd w:id="1"/>
    </w:p>
    <w:p w14:paraId="51E8089A" w14:textId="77777777" w:rsidR="00CE3683" w:rsidRPr="000C2A35" w:rsidRDefault="00CE3683" w:rsidP="00B62DAF">
      <w:pPr>
        <w:pStyle w:val="Nagwek2"/>
        <w:rPr>
          <w:rFonts w:eastAsia="Calibri"/>
        </w:rPr>
      </w:pPr>
      <w:r>
        <w:rPr>
          <w:rFonts w:eastAsia="Calibri"/>
        </w:rPr>
        <w:t>Wskaźniki produktu</w:t>
      </w:r>
    </w:p>
    <w:tbl>
      <w:tblPr>
        <w:tblStyle w:val="Tabelasiatki1jasna"/>
        <w:tblW w:w="13994" w:type="dxa"/>
        <w:tblLook w:val="04A0" w:firstRow="1" w:lastRow="0" w:firstColumn="1" w:lastColumn="0" w:noHBand="0" w:noVBand="1"/>
        <w:tblCaption w:val="Wskaźniki produktu "/>
        <w:tblDescription w:val="W tabeli przedstawiono wskaźniki produktu wdrażane przez Departament Europejskiego Funduszu Społecznego w ramach EFS+. "/>
      </w:tblPr>
      <w:tblGrid>
        <w:gridCol w:w="1404"/>
        <w:gridCol w:w="2711"/>
        <w:gridCol w:w="1337"/>
        <w:gridCol w:w="1698"/>
        <w:gridCol w:w="3205"/>
        <w:gridCol w:w="1716"/>
        <w:gridCol w:w="1923"/>
      </w:tblGrid>
      <w:tr w:rsidR="00225386" w:rsidRPr="000C2A35" w14:paraId="0A707D5F" w14:textId="77777777" w:rsidTr="7E98CD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D9D9D9" w:themeFill="background1" w:themeFillShade="D9"/>
            <w:vAlign w:val="center"/>
          </w:tcPr>
          <w:p w14:paraId="4D9ED51C" w14:textId="77777777" w:rsidR="00CE3683" w:rsidRPr="00822200" w:rsidRDefault="00CE3683" w:rsidP="00822200">
            <w:pPr>
              <w:spacing w:after="160" w:line="360" w:lineRule="auto"/>
              <w:jc w:val="center"/>
              <w:rPr>
                <w:rFonts w:eastAsia="Calibri" w:cs="Arial"/>
                <w:szCs w:val="24"/>
              </w:rPr>
            </w:pPr>
            <w:r w:rsidRPr="00822200">
              <w:rPr>
                <w:rFonts w:eastAsia="Calibri" w:cs="Arial"/>
                <w:szCs w:val="24"/>
              </w:rPr>
              <w:t>Kod wskaźnika</w:t>
            </w:r>
          </w:p>
        </w:tc>
        <w:tc>
          <w:tcPr>
            <w:tcW w:w="2337" w:type="dxa"/>
            <w:shd w:val="clear" w:color="auto" w:fill="D9D9D9" w:themeFill="background1" w:themeFillShade="D9"/>
            <w:vAlign w:val="center"/>
          </w:tcPr>
          <w:p w14:paraId="616272DB" w14:textId="0D10DE10" w:rsidR="00CE3683" w:rsidRPr="00822200" w:rsidRDefault="00CE3683"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Nazwa wskaźnika</w:t>
            </w:r>
          </w:p>
        </w:tc>
        <w:tc>
          <w:tcPr>
            <w:tcW w:w="1116" w:type="dxa"/>
            <w:shd w:val="clear" w:color="auto" w:fill="D9D9D9" w:themeFill="background1" w:themeFillShade="D9"/>
            <w:vAlign w:val="center"/>
          </w:tcPr>
          <w:p w14:paraId="18DD13AD" w14:textId="77777777" w:rsidR="00CE3683" w:rsidRPr="00822200" w:rsidRDefault="00CE3683"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jednostka miary</w:t>
            </w:r>
          </w:p>
        </w:tc>
        <w:tc>
          <w:tcPr>
            <w:tcW w:w="1056" w:type="dxa"/>
            <w:shd w:val="clear" w:color="auto" w:fill="D9D9D9" w:themeFill="background1" w:themeFillShade="D9"/>
            <w:vAlign w:val="center"/>
          </w:tcPr>
          <w:p w14:paraId="74489EB3" w14:textId="77777777" w:rsidR="00CE3683" w:rsidRPr="00822200" w:rsidRDefault="00CE3683"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wartość</w:t>
            </w:r>
          </w:p>
        </w:tc>
        <w:tc>
          <w:tcPr>
            <w:tcW w:w="4477" w:type="dxa"/>
            <w:shd w:val="clear" w:color="auto" w:fill="D9D9D9" w:themeFill="background1" w:themeFillShade="D9"/>
            <w:vAlign w:val="center"/>
          </w:tcPr>
          <w:p w14:paraId="20FD247A" w14:textId="5B23B745" w:rsidR="00CE3683" w:rsidRPr="00822200" w:rsidRDefault="00CE3683"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Definicja</w:t>
            </w:r>
          </w:p>
        </w:tc>
        <w:tc>
          <w:tcPr>
            <w:tcW w:w="1971" w:type="dxa"/>
            <w:shd w:val="clear" w:color="auto" w:fill="D9D9D9" w:themeFill="background1" w:themeFillShade="D9"/>
            <w:vAlign w:val="center"/>
          </w:tcPr>
          <w:p w14:paraId="2A6D2215" w14:textId="043AB966" w:rsidR="00CE3683" w:rsidRPr="00822200" w:rsidRDefault="00CE3683"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Źródło i sposób pomiaru</w:t>
            </w:r>
          </w:p>
        </w:tc>
        <w:tc>
          <w:tcPr>
            <w:tcW w:w="1881" w:type="dxa"/>
            <w:shd w:val="clear" w:color="auto" w:fill="D9D9D9" w:themeFill="background1" w:themeFillShade="D9"/>
            <w:vAlign w:val="center"/>
          </w:tcPr>
          <w:p w14:paraId="37C1373A" w14:textId="77777777" w:rsidR="00CE3683" w:rsidRPr="00822200" w:rsidRDefault="00CE3683" w:rsidP="00822200">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Sposób monitorowania</w:t>
            </w:r>
          </w:p>
        </w:tc>
      </w:tr>
      <w:tr w:rsidR="00CE3683" w:rsidRPr="000C2A35" w14:paraId="73ABB2EE" w14:textId="77777777" w:rsidTr="7E98CD16">
        <w:tc>
          <w:tcPr>
            <w:cnfStyle w:val="001000000000" w:firstRow="0" w:lastRow="0" w:firstColumn="1" w:lastColumn="0" w:oddVBand="0" w:evenVBand="0" w:oddHBand="0" w:evenHBand="0" w:firstRowFirstColumn="0" w:firstRowLastColumn="0" w:lastRowFirstColumn="0" w:lastRowLastColumn="0"/>
            <w:tcW w:w="0" w:type="auto"/>
          </w:tcPr>
          <w:p w14:paraId="18865C10" w14:textId="1A29BC40" w:rsidR="00CE3683" w:rsidRPr="00822200" w:rsidRDefault="00246299" w:rsidP="00822200">
            <w:pPr>
              <w:spacing w:after="160" w:line="360" w:lineRule="auto"/>
              <w:rPr>
                <w:rFonts w:eastAsia="Calibri" w:cs="Arial"/>
                <w:szCs w:val="24"/>
              </w:rPr>
            </w:pPr>
            <w:r w:rsidRPr="00822200">
              <w:rPr>
                <w:rFonts w:eastAsia="Calibri" w:cs="Arial"/>
                <w:szCs w:val="24"/>
              </w:rPr>
              <w:t xml:space="preserve">WLWK- PLFCO01 </w:t>
            </w:r>
          </w:p>
        </w:tc>
        <w:tc>
          <w:tcPr>
            <w:tcW w:w="2337" w:type="dxa"/>
          </w:tcPr>
          <w:p w14:paraId="75868E47" w14:textId="4E4D567B" w:rsidR="00CE3683" w:rsidRPr="00822200" w:rsidRDefault="00246299"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Liczba dzieci objętych dodatkowymi zajęciami w edukacji przedszkolnej </w:t>
            </w:r>
          </w:p>
        </w:tc>
        <w:tc>
          <w:tcPr>
            <w:tcW w:w="1116" w:type="dxa"/>
          </w:tcPr>
          <w:p w14:paraId="460D2A09" w14:textId="77777777" w:rsidR="00CE3683" w:rsidRPr="00822200" w:rsidRDefault="00CE3683"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osoby</w:t>
            </w:r>
          </w:p>
        </w:tc>
        <w:tc>
          <w:tcPr>
            <w:tcW w:w="1056" w:type="dxa"/>
          </w:tcPr>
          <w:p w14:paraId="693B6721" w14:textId="002826F6" w:rsidR="00225386" w:rsidRDefault="00225386"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225386">
              <w:rPr>
                <w:rFonts w:eastAsia="Calibri" w:cs="Arial"/>
                <w:szCs w:val="24"/>
              </w:rPr>
              <w:t xml:space="preserve">wartość wskaźnika określana na etapie tworzenia wniosku  </w:t>
            </w:r>
          </w:p>
          <w:p w14:paraId="134B2D99" w14:textId="3389C07C" w:rsidR="00CE3683" w:rsidRDefault="00B03A5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B03A51">
              <w:rPr>
                <w:rFonts w:eastAsia="Calibri" w:cs="Arial"/>
                <w:szCs w:val="24"/>
              </w:rPr>
              <w:t>(</w:t>
            </w:r>
            <w:r w:rsidR="7E98CD16" w:rsidRPr="00225386">
              <w:rPr>
                <w:rFonts w:eastAsia="Calibri" w:cs="Arial"/>
                <w:b/>
                <w:szCs w:val="24"/>
              </w:rPr>
              <w:t>11</w:t>
            </w:r>
            <w:r>
              <w:rPr>
                <w:rFonts w:eastAsia="Calibri" w:cs="Arial"/>
                <w:b/>
                <w:szCs w:val="24"/>
              </w:rPr>
              <w:t> </w:t>
            </w:r>
            <w:r w:rsidR="7E98CD16" w:rsidRPr="00225386">
              <w:rPr>
                <w:rFonts w:eastAsia="Calibri" w:cs="Arial"/>
                <w:b/>
                <w:szCs w:val="24"/>
              </w:rPr>
              <w:t>693</w:t>
            </w:r>
            <w:r w:rsidRPr="00B03A51">
              <w:rPr>
                <w:rFonts w:eastAsia="Calibri" w:cs="Arial"/>
                <w:szCs w:val="24"/>
              </w:rPr>
              <w:t>-</w:t>
            </w:r>
            <w:r w:rsidR="00034194" w:rsidRPr="00B03A51">
              <w:rPr>
                <w:rFonts w:eastAsia="Calibri" w:cs="Arial"/>
                <w:szCs w:val="24"/>
              </w:rPr>
              <w:t xml:space="preserve"> </w:t>
            </w:r>
            <w:r w:rsidR="00B501B5">
              <w:rPr>
                <w:rFonts w:eastAsia="Calibri" w:cs="Arial"/>
                <w:szCs w:val="24"/>
              </w:rPr>
              <w:t xml:space="preserve">wartość docelowa </w:t>
            </w:r>
            <w:r w:rsidR="00225386">
              <w:rPr>
                <w:rFonts w:eastAsia="Calibri" w:cs="Arial"/>
                <w:szCs w:val="24"/>
              </w:rPr>
              <w:t xml:space="preserve">została </w:t>
            </w:r>
            <w:r w:rsidR="00B501B5">
              <w:rPr>
                <w:rFonts w:eastAsia="Calibri" w:cs="Arial"/>
                <w:szCs w:val="24"/>
              </w:rPr>
              <w:t>określona dla naboru</w:t>
            </w:r>
            <w:r w:rsidR="00225386">
              <w:rPr>
                <w:rFonts w:eastAsia="Calibri" w:cs="Arial"/>
                <w:szCs w:val="24"/>
              </w:rPr>
              <w:t>, a nie dla pojedynczego wniosku</w:t>
            </w:r>
            <w:r>
              <w:rPr>
                <w:rFonts w:eastAsia="Calibri" w:cs="Arial"/>
                <w:szCs w:val="24"/>
              </w:rPr>
              <w:t>)</w:t>
            </w:r>
          </w:p>
          <w:p w14:paraId="02127902" w14:textId="7DC0999B" w:rsidR="00225386" w:rsidRPr="00822200" w:rsidRDefault="00225386"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cs="Arial"/>
                <w:szCs w:val="24"/>
              </w:rPr>
            </w:pPr>
          </w:p>
        </w:tc>
        <w:tc>
          <w:tcPr>
            <w:tcW w:w="4477" w:type="dxa"/>
          </w:tcPr>
          <w:p w14:paraId="75E183B1" w14:textId="77777777" w:rsidR="00246299" w:rsidRPr="00822200" w:rsidRDefault="00246299"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lastRenderedPageBreak/>
              <w:t xml:space="preserve">Wskaźnik mierzy liczbę dzieci (niezależnie od wieku), które zostały objęte wsparciem w postaci dodatkowych zajęć zwiększających ich szanse edukacyjne w ramach edukacji przedszkolnej. </w:t>
            </w:r>
          </w:p>
          <w:p w14:paraId="19B8FE1F" w14:textId="1DB99FF6" w:rsidR="00CE3683" w:rsidRPr="00822200" w:rsidRDefault="00246299"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Wsparcie polega na rozszerzeniu oferty placówki przedszkolnej o zajęcia zwiększające szanse edukacyjne dzieci, tj. realizowane w celu wyrównania stwierdzonych </w:t>
            </w:r>
            <w:r w:rsidRPr="00822200">
              <w:rPr>
                <w:rFonts w:eastAsia="Calibri" w:cs="Arial"/>
                <w:szCs w:val="24"/>
              </w:rPr>
              <w:lastRenderedPageBreak/>
              <w:t xml:space="preserve">deficytów (np. zajęcia z logopedą, psychologiem, pedagogiem i terapeutą itp.), a także w celu podnoszenia jakości edukacji przedszkolnej (np. zajęcia prowadzące do wszechstronnego rozwoju dzieci i większych szans na rynku pracy, zajęcia służące rozwojowi szerokiego zestawu umiejętności i kompetencji). </w:t>
            </w:r>
          </w:p>
        </w:tc>
        <w:tc>
          <w:tcPr>
            <w:tcW w:w="1971" w:type="dxa"/>
          </w:tcPr>
          <w:p w14:paraId="4D9BC6B1" w14:textId="2039F55E" w:rsidR="00CE3683" w:rsidRPr="00822200" w:rsidRDefault="00246299"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cs="Arial"/>
                <w:szCs w:val="24"/>
              </w:rPr>
              <w:lastRenderedPageBreak/>
              <w:t xml:space="preserve">Pomiar wskaźnika odbywać się będzie w momencie przystąpienia dziecka do projektu. </w:t>
            </w:r>
          </w:p>
        </w:tc>
        <w:tc>
          <w:tcPr>
            <w:tcW w:w="1881" w:type="dxa"/>
          </w:tcPr>
          <w:p w14:paraId="2602626A" w14:textId="77777777" w:rsidR="00246299" w:rsidRPr="00822200" w:rsidRDefault="00246299" w:rsidP="00822200">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822200">
              <w:rPr>
                <w:rFonts w:cs="Arial"/>
                <w:szCs w:val="24"/>
              </w:rPr>
              <w:t>Pomiar będzie się odbywał za pomocą następujących narzędzi pomiaru:</w:t>
            </w:r>
          </w:p>
          <w:p w14:paraId="7B0E6E55" w14:textId="6BF13C73" w:rsidR="00CE3683" w:rsidRPr="00822200" w:rsidRDefault="00246299" w:rsidP="00822200">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cs="Arial"/>
                <w:szCs w:val="24"/>
              </w:rPr>
              <w:t xml:space="preserve">Lista dzieci objętych wsparciem, ze wskazaniem rodzaju wsparcia. </w:t>
            </w:r>
          </w:p>
        </w:tc>
      </w:tr>
      <w:tr w:rsidR="00CE3683" w:rsidRPr="000C2A35" w14:paraId="1AA4267E" w14:textId="77777777" w:rsidTr="7E98CD16">
        <w:tc>
          <w:tcPr>
            <w:cnfStyle w:val="001000000000" w:firstRow="0" w:lastRow="0" w:firstColumn="1" w:lastColumn="0" w:oddVBand="0" w:evenVBand="0" w:oddHBand="0" w:evenHBand="0" w:firstRowFirstColumn="0" w:firstRowLastColumn="0" w:lastRowFirstColumn="0" w:lastRowLastColumn="0"/>
            <w:tcW w:w="0" w:type="auto"/>
          </w:tcPr>
          <w:p w14:paraId="1CFC3EA3" w14:textId="10BB28C6" w:rsidR="00CE3683" w:rsidRPr="00822200" w:rsidRDefault="00246299" w:rsidP="00822200">
            <w:pPr>
              <w:spacing w:after="160" w:line="360" w:lineRule="auto"/>
              <w:rPr>
                <w:rFonts w:eastAsia="Calibri" w:cs="Arial"/>
                <w:b w:val="0"/>
                <w:szCs w:val="24"/>
              </w:rPr>
            </w:pPr>
            <w:r w:rsidRPr="00822200">
              <w:rPr>
                <w:rFonts w:eastAsia="Calibri" w:cs="Arial"/>
                <w:szCs w:val="24"/>
              </w:rPr>
              <w:t xml:space="preserve">WLWK-PLFCO08 </w:t>
            </w:r>
          </w:p>
        </w:tc>
        <w:tc>
          <w:tcPr>
            <w:tcW w:w="2337" w:type="dxa"/>
          </w:tcPr>
          <w:p w14:paraId="13FBB588" w14:textId="6A33D568" w:rsidR="00CE3683" w:rsidRPr="00822200" w:rsidRDefault="00246299"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822200">
              <w:rPr>
                <w:rFonts w:eastAsia="Calibri" w:cs="Arial"/>
                <w:szCs w:val="24"/>
              </w:rPr>
              <w:t xml:space="preserve">Liczba dzieci/uczniów o specjalnych potrzebach rozwojowych i edukacyjnych, objętych wsparciem </w:t>
            </w:r>
          </w:p>
        </w:tc>
        <w:tc>
          <w:tcPr>
            <w:tcW w:w="1116" w:type="dxa"/>
          </w:tcPr>
          <w:p w14:paraId="3A6FCC5E" w14:textId="77777777" w:rsidR="00CE3683" w:rsidRPr="00822200" w:rsidRDefault="00CE3683"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osoby</w:t>
            </w:r>
          </w:p>
        </w:tc>
        <w:tc>
          <w:tcPr>
            <w:tcW w:w="1056" w:type="dxa"/>
          </w:tcPr>
          <w:p w14:paraId="6E000132" w14:textId="42ED7810" w:rsidR="00CE3683" w:rsidRPr="00822200" w:rsidRDefault="008551D5"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Wartość docelowa nie została określona </w:t>
            </w:r>
            <w:r w:rsidR="00225386">
              <w:rPr>
                <w:rFonts w:eastAsia="Calibri" w:cs="Arial"/>
                <w:szCs w:val="24"/>
              </w:rPr>
              <w:t>–</w:t>
            </w:r>
            <w:r w:rsidRPr="00822200">
              <w:rPr>
                <w:rFonts w:eastAsia="Calibri" w:cs="Arial"/>
                <w:szCs w:val="24"/>
              </w:rPr>
              <w:t xml:space="preserve"> </w:t>
            </w:r>
            <w:r w:rsidR="00225386">
              <w:rPr>
                <w:rFonts w:eastAsia="Calibri" w:cs="Arial"/>
                <w:szCs w:val="24"/>
              </w:rPr>
              <w:t xml:space="preserve">wartość </w:t>
            </w:r>
            <w:r w:rsidRPr="00822200">
              <w:rPr>
                <w:rFonts w:eastAsia="Calibri" w:cs="Arial"/>
                <w:szCs w:val="24"/>
              </w:rPr>
              <w:t>wskaźnik</w:t>
            </w:r>
            <w:r w:rsidR="00225386">
              <w:rPr>
                <w:rFonts w:eastAsia="Calibri" w:cs="Arial"/>
                <w:szCs w:val="24"/>
              </w:rPr>
              <w:t>a</w:t>
            </w:r>
            <w:r w:rsidRPr="00822200">
              <w:rPr>
                <w:rFonts w:eastAsia="Calibri" w:cs="Arial"/>
                <w:szCs w:val="24"/>
              </w:rPr>
              <w:t xml:space="preserve"> </w:t>
            </w:r>
            <w:r w:rsidR="00225386">
              <w:rPr>
                <w:rFonts w:eastAsia="Calibri" w:cs="Arial"/>
                <w:szCs w:val="24"/>
              </w:rPr>
              <w:t xml:space="preserve">określana na etapie </w:t>
            </w:r>
            <w:r w:rsidR="00225386">
              <w:rPr>
                <w:rFonts w:eastAsia="Calibri" w:cs="Arial"/>
                <w:szCs w:val="24"/>
              </w:rPr>
              <w:lastRenderedPageBreak/>
              <w:t xml:space="preserve">tworzenia wniosku </w:t>
            </w:r>
            <w:r w:rsidRPr="00822200">
              <w:rPr>
                <w:rFonts w:eastAsia="Calibri" w:cs="Arial"/>
                <w:szCs w:val="24"/>
              </w:rPr>
              <w:t xml:space="preserve"> </w:t>
            </w:r>
          </w:p>
        </w:tc>
        <w:tc>
          <w:tcPr>
            <w:tcW w:w="4477" w:type="dxa"/>
          </w:tcPr>
          <w:p w14:paraId="7D726283" w14:textId="77777777" w:rsidR="00246299" w:rsidRPr="00822200" w:rsidRDefault="00246299"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lastRenderedPageBreak/>
              <w:t xml:space="preserve">Wskaźnik mierzy liczbę dzieci/uczniów objętych w ramach programu wsparciem w zakresie zidentyfikowanych specjalnych potrzeb rozwojowych i edukacyjnych, w tym </w:t>
            </w:r>
            <w:r w:rsidRPr="00822200">
              <w:rPr>
                <w:rFonts w:eastAsia="Calibri" w:cs="Arial"/>
                <w:szCs w:val="24"/>
              </w:rPr>
              <w:lastRenderedPageBreak/>
              <w:t>wynikających z niepełnosprawności.</w:t>
            </w:r>
          </w:p>
          <w:p w14:paraId="283A2577" w14:textId="77777777" w:rsidR="00246299" w:rsidRPr="00822200" w:rsidRDefault="00246299"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p>
          <w:p w14:paraId="1F32FAB7" w14:textId="18DF68AC" w:rsidR="00246299" w:rsidRPr="00822200" w:rsidRDefault="00246299"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Jako specjalne potrzeby rozwojowe i edukacyjne należy rozumieć indywidualne potrzeby oraz możliwości psychofizyczne dzieci w wieku przedszkolnym oraz uczniów, o których mowa w rozporządzeniu Ministra Edukacji Narodowej z dnia 9 sierpnia 2017 r. w </w:t>
            </w:r>
            <w:r w:rsidRPr="00822200">
              <w:rPr>
                <w:rFonts w:eastAsia="Calibri" w:cs="Arial"/>
                <w:i/>
                <w:szCs w:val="24"/>
              </w:rPr>
              <w:t>sprawie zasad organizacji i udzielania pomocy psychologiczno-pedagogicznej w publicznych przedszkolach, szkołach i placówkach.</w:t>
            </w:r>
            <w:r w:rsidRPr="00822200">
              <w:rPr>
                <w:rFonts w:eastAsia="Calibri" w:cs="Arial"/>
                <w:szCs w:val="24"/>
              </w:rPr>
              <w:t xml:space="preserve"> </w:t>
            </w:r>
          </w:p>
          <w:p w14:paraId="4B6491E5" w14:textId="01C90C09" w:rsidR="00CE3683" w:rsidRPr="00822200" w:rsidRDefault="00246299"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lastRenderedPageBreak/>
              <w:t>Wskaźnik jest wskaźnikiem podrzędnym w stosunku do PLFCO01, 03, 04 i 05.</w:t>
            </w:r>
          </w:p>
        </w:tc>
        <w:tc>
          <w:tcPr>
            <w:tcW w:w="1971" w:type="dxa"/>
          </w:tcPr>
          <w:p w14:paraId="1B985C74" w14:textId="4F70846C" w:rsidR="00CE3683" w:rsidRPr="00822200" w:rsidRDefault="008551D5"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cs="Arial"/>
                <w:szCs w:val="24"/>
              </w:rPr>
              <w:lastRenderedPageBreak/>
              <w:t xml:space="preserve">Pomiar wskaźnika odbywać się będzie na etapie realizacji projektu. </w:t>
            </w:r>
          </w:p>
        </w:tc>
        <w:tc>
          <w:tcPr>
            <w:tcW w:w="1881" w:type="dxa"/>
          </w:tcPr>
          <w:p w14:paraId="3F1F7D1F" w14:textId="77777777" w:rsidR="00CE3683" w:rsidRPr="00822200" w:rsidRDefault="00CE3683" w:rsidP="00822200">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822200">
              <w:rPr>
                <w:rFonts w:cs="Arial"/>
                <w:szCs w:val="24"/>
              </w:rPr>
              <w:t>Pomiar będzie się odbywał za pomocą następujących narzędzi pomiaru:</w:t>
            </w:r>
          </w:p>
          <w:p w14:paraId="360FE3D5" w14:textId="6A5C4B60" w:rsidR="00CE3683" w:rsidRPr="00822200" w:rsidRDefault="008551D5" w:rsidP="00822200">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cs="Arial"/>
                <w:szCs w:val="24"/>
              </w:rPr>
              <w:t xml:space="preserve">Lista dzieci o specjalnych </w:t>
            </w:r>
            <w:r w:rsidRPr="00822200">
              <w:rPr>
                <w:rFonts w:cs="Arial"/>
                <w:szCs w:val="24"/>
              </w:rPr>
              <w:lastRenderedPageBreak/>
              <w:t xml:space="preserve">potrzebach </w:t>
            </w:r>
            <w:r w:rsidR="6D11942C" w:rsidRPr="00822200">
              <w:rPr>
                <w:rFonts w:cs="Arial"/>
                <w:szCs w:val="24"/>
              </w:rPr>
              <w:t xml:space="preserve"> </w:t>
            </w:r>
            <w:r w:rsidRPr="00822200">
              <w:rPr>
                <w:rFonts w:cs="Arial"/>
                <w:szCs w:val="24"/>
              </w:rPr>
              <w:t xml:space="preserve">rozwojowych i edukacyjnych objętych wsparciem, ze wskazaniem rodzaju wsparcia </w:t>
            </w:r>
          </w:p>
        </w:tc>
      </w:tr>
      <w:tr w:rsidR="00CE3683" w:rsidRPr="000C2A35" w14:paraId="77F6D9C5" w14:textId="77777777" w:rsidTr="7E98CD16">
        <w:tc>
          <w:tcPr>
            <w:cnfStyle w:val="001000000000" w:firstRow="0" w:lastRow="0" w:firstColumn="1" w:lastColumn="0" w:oddVBand="0" w:evenVBand="0" w:oddHBand="0" w:evenHBand="0" w:firstRowFirstColumn="0" w:firstRowLastColumn="0" w:lastRowFirstColumn="0" w:lastRowLastColumn="0"/>
            <w:tcW w:w="0" w:type="auto"/>
          </w:tcPr>
          <w:p w14:paraId="26656786" w14:textId="611615F1" w:rsidR="00CE3683" w:rsidRPr="00822200" w:rsidRDefault="008551D5" w:rsidP="00822200">
            <w:pPr>
              <w:spacing w:after="160" w:line="360" w:lineRule="auto"/>
              <w:rPr>
                <w:rFonts w:eastAsia="Calibri" w:cs="Arial"/>
                <w:szCs w:val="24"/>
              </w:rPr>
            </w:pPr>
            <w:r w:rsidRPr="00822200">
              <w:rPr>
                <w:rFonts w:eastAsia="Calibri" w:cs="Arial"/>
                <w:szCs w:val="24"/>
              </w:rPr>
              <w:lastRenderedPageBreak/>
              <w:t xml:space="preserve">WLWK-PLFCO06 </w:t>
            </w:r>
          </w:p>
        </w:tc>
        <w:tc>
          <w:tcPr>
            <w:tcW w:w="2337" w:type="dxa"/>
          </w:tcPr>
          <w:p w14:paraId="1B41388E" w14:textId="06B3B3B8" w:rsidR="00CE3683" w:rsidRPr="00822200" w:rsidRDefault="008551D5"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Liczba przedstawicieli kadry szkół i placówek systemu oświaty objętych wsparciem </w:t>
            </w:r>
          </w:p>
        </w:tc>
        <w:tc>
          <w:tcPr>
            <w:tcW w:w="1116" w:type="dxa"/>
          </w:tcPr>
          <w:p w14:paraId="30234DE5" w14:textId="61DEE36C" w:rsidR="00CE3683" w:rsidRPr="00822200" w:rsidRDefault="008551D5"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osoby</w:t>
            </w:r>
          </w:p>
        </w:tc>
        <w:tc>
          <w:tcPr>
            <w:tcW w:w="1056" w:type="dxa"/>
            <w:shd w:val="clear" w:color="auto" w:fill="auto"/>
          </w:tcPr>
          <w:p w14:paraId="2E856B29" w14:textId="2283556C" w:rsidR="00CE3683" w:rsidRPr="00822200" w:rsidRDefault="7E98CD16"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Wartość docelowa nie została określona - </w:t>
            </w:r>
            <w:r w:rsidR="00225386">
              <w:rPr>
                <w:rFonts w:eastAsia="Calibri" w:cs="Arial"/>
                <w:szCs w:val="24"/>
              </w:rPr>
              <w:t xml:space="preserve">wartość </w:t>
            </w:r>
            <w:r w:rsidR="00225386" w:rsidRPr="00822200">
              <w:rPr>
                <w:rFonts w:eastAsia="Calibri" w:cs="Arial"/>
                <w:szCs w:val="24"/>
              </w:rPr>
              <w:t>wskaźnik</w:t>
            </w:r>
            <w:r w:rsidR="00225386">
              <w:rPr>
                <w:rFonts w:eastAsia="Calibri" w:cs="Arial"/>
                <w:szCs w:val="24"/>
              </w:rPr>
              <w:t>a</w:t>
            </w:r>
            <w:r w:rsidR="00225386" w:rsidRPr="00822200">
              <w:rPr>
                <w:rFonts w:eastAsia="Calibri" w:cs="Arial"/>
                <w:szCs w:val="24"/>
              </w:rPr>
              <w:t xml:space="preserve"> </w:t>
            </w:r>
            <w:r w:rsidR="00225386">
              <w:rPr>
                <w:rFonts w:eastAsia="Calibri" w:cs="Arial"/>
                <w:szCs w:val="24"/>
              </w:rPr>
              <w:t xml:space="preserve">określana na etapie tworzenia wniosku </w:t>
            </w:r>
            <w:r w:rsidR="00225386" w:rsidRPr="00822200">
              <w:rPr>
                <w:rFonts w:eastAsia="Calibri" w:cs="Arial"/>
                <w:szCs w:val="24"/>
              </w:rPr>
              <w:t xml:space="preserve"> </w:t>
            </w:r>
            <w:r w:rsidR="00225386">
              <w:rPr>
                <w:rFonts w:eastAsia="Calibri" w:cs="Arial"/>
                <w:szCs w:val="24"/>
              </w:rPr>
              <w:t xml:space="preserve"> </w:t>
            </w:r>
          </w:p>
          <w:p w14:paraId="55700768" w14:textId="29E12163" w:rsidR="00CE3683" w:rsidRPr="00822200" w:rsidRDefault="00CE3683"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p>
        </w:tc>
        <w:tc>
          <w:tcPr>
            <w:tcW w:w="4477" w:type="dxa"/>
          </w:tcPr>
          <w:p w14:paraId="6005C787" w14:textId="77777777" w:rsidR="008551D5" w:rsidRPr="00822200" w:rsidRDefault="008551D5"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Wskaźnik mierzy liczbę nauczycieli, innych przedstawicieli kadr pedagogicznych i niepedagogicznych oraz dyrektorów szkół i placówek systemu oświaty objętych wsparciem w ramach programu.</w:t>
            </w:r>
          </w:p>
          <w:p w14:paraId="605F9245" w14:textId="58C45DDC" w:rsidR="00CE3683" w:rsidRPr="00822200" w:rsidRDefault="008551D5"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Wskaźnik ma zastosowanie do przedstawicieli kadry ośrodków wychowania przedszkolnego, kadry szkół i placówek prowadzących kształcenie ogólne, jak i szkół i placówek prowadzących kształcenie zawodowe. </w:t>
            </w:r>
            <w:r w:rsidRPr="00822200">
              <w:rPr>
                <w:rFonts w:eastAsia="Calibri" w:cs="Arial"/>
                <w:szCs w:val="24"/>
              </w:rPr>
              <w:lastRenderedPageBreak/>
              <w:t>Wskaźnik odnosi się do kadry szkół i placówek publicznych i niepublicznych.</w:t>
            </w:r>
          </w:p>
        </w:tc>
        <w:tc>
          <w:tcPr>
            <w:tcW w:w="1971" w:type="dxa"/>
          </w:tcPr>
          <w:p w14:paraId="4D7B5A26" w14:textId="0CD90BDE" w:rsidR="00CE3683" w:rsidRPr="00822200" w:rsidRDefault="00CE3683" w:rsidP="00822200">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822200">
              <w:rPr>
                <w:rFonts w:cs="Arial"/>
                <w:szCs w:val="24"/>
              </w:rPr>
              <w:lastRenderedPageBreak/>
              <w:t>Pomiar wskaźnika odbywać się będzie w momencie przystąpienia ucz</w:t>
            </w:r>
            <w:r w:rsidR="008551D5" w:rsidRPr="00822200">
              <w:rPr>
                <w:rFonts w:cs="Arial"/>
                <w:szCs w:val="24"/>
              </w:rPr>
              <w:t>estnika</w:t>
            </w:r>
            <w:r w:rsidRPr="00822200">
              <w:rPr>
                <w:rFonts w:cs="Arial"/>
                <w:szCs w:val="24"/>
              </w:rPr>
              <w:t xml:space="preserve"> do projektu.</w:t>
            </w:r>
          </w:p>
          <w:p w14:paraId="103E5207" w14:textId="77777777" w:rsidR="00CE3683" w:rsidRPr="00822200" w:rsidRDefault="00CE3683"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p>
        </w:tc>
        <w:tc>
          <w:tcPr>
            <w:tcW w:w="1881" w:type="dxa"/>
          </w:tcPr>
          <w:p w14:paraId="1A0AA863" w14:textId="77777777" w:rsidR="008551D5" w:rsidRPr="00822200" w:rsidRDefault="008551D5" w:rsidP="00822200">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822200">
              <w:rPr>
                <w:rFonts w:cs="Arial"/>
                <w:szCs w:val="24"/>
              </w:rPr>
              <w:t>Pomiar będzie się odbywał za pomocą następujących narzędzi pomiaru:</w:t>
            </w:r>
          </w:p>
          <w:p w14:paraId="53A18EF9" w14:textId="352D72F4" w:rsidR="00CE3683" w:rsidRPr="00822200" w:rsidRDefault="008551D5" w:rsidP="00822200">
            <w:pPr>
              <w:spacing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cs="Arial"/>
                <w:szCs w:val="24"/>
              </w:rPr>
              <w:t xml:space="preserve">lista uczestników objętych wsparciem wraz ze wskazaniem rodzaju wsparcia </w:t>
            </w:r>
          </w:p>
        </w:tc>
      </w:tr>
      <w:tr w:rsidR="00CE3683" w:rsidRPr="000C2A35" w14:paraId="3130AFEA" w14:textId="77777777" w:rsidTr="7E98CD16">
        <w:tc>
          <w:tcPr>
            <w:cnfStyle w:val="001000000000" w:firstRow="0" w:lastRow="0" w:firstColumn="1" w:lastColumn="0" w:oddVBand="0" w:evenVBand="0" w:oddHBand="0" w:evenHBand="0" w:firstRowFirstColumn="0" w:firstRowLastColumn="0" w:lastRowFirstColumn="0" w:lastRowLastColumn="0"/>
            <w:tcW w:w="0" w:type="auto"/>
          </w:tcPr>
          <w:p w14:paraId="540D494F" w14:textId="5AACE2FC" w:rsidR="00CE3683" w:rsidRPr="00822200" w:rsidRDefault="008551D5" w:rsidP="00822200">
            <w:pPr>
              <w:spacing w:after="160" w:line="360" w:lineRule="auto"/>
              <w:rPr>
                <w:rFonts w:eastAsia="Calibri" w:cs="Arial"/>
                <w:szCs w:val="24"/>
              </w:rPr>
            </w:pPr>
            <w:r w:rsidRPr="00822200">
              <w:rPr>
                <w:rFonts w:eastAsia="Calibri" w:cs="Arial"/>
                <w:szCs w:val="24"/>
              </w:rPr>
              <w:t xml:space="preserve">WLWK-PLFCO14 </w:t>
            </w:r>
          </w:p>
        </w:tc>
        <w:tc>
          <w:tcPr>
            <w:tcW w:w="2337" w:type="dxa"/>
          </w:tcPr>
          <w:p w14:paraId="1CC24786" w14:textId="4B67B61C" w:rsidR="00CE3683" w:rsidRPr="00822200" w:rsidRDefault="008551D5"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Liczba przedstawicieli kadr szkół i placówek systemu oświaty objętych wsparciem świadczonym przez szkoły ćwiczeń </w:t>
            </w:r>
          </w:p>
        </w:tc>
        <w:tc>
          <w:tcPr>
            <w:tcW w:w="1116" w:type="dxa"/>
          </w:tcPr>
          <w:p w14:paraId="643EA1C4" w14:textId="77777777" w:rsidR="00CE3683" w:rsidRPr="00822200" w:rsidRDefault="00CE3683"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osoby</w:t>
            </w:r>
          </w:p>
        </w:tc>
        <w:tc>
          <w:tcPr>
            <w:tcW w:w="1056" w:type="dxa"/>
            <w:shd w:val="clear" w:color="auto" w:fill="auto"/>
          </w:tcPr>
          <w:p w14:paraId="51D0BDFC" w14:textId="38F40493" w:rsidR="00CE3683" w:rsidRPr="00822200" w:rsidRDefault="00E12FEF"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Wartość docelowa nie została określona - </w:t>
            </w:r>
            <w:r w:rsidR="00225386">
              <w:rPr>
                <w:rFonts w:eastAsia="Calibri" w:cs="Arial"/>
                <w:szCs w:val="24"/>
              </w:rPr>
              <w:t xml:space="preserve">wartość </w:t>
            </w:r>
            <w:r w:rsidR="00225386" w:rsidRPr="00822200">
              <w:rPr>
                <w:rFonts w:eastAsia="Calibri" w:cs="Arial"/>
                <w:szCs w:val="24"/>
              </w:rPr>
              <w:t>wskaźnik</w:t>
            </w:r>
            <w:r w:rsidR="00225386">
              <w:rPr>
                <w:rFonts w:eastAsia="Calibri" w:cs="Arial"/>
                <w:szCs w:val="24"/>
              </w:rPr>
              <w:t>a</w:t>
            </w:r>
            <w:r w:rsidR="00225386" w:rsidRPr="00822200">
              <w:rPr>
                <w:rFonts w:eastAsia="Calibri" w:cs="Arial"/>
                <w:szCs w:val="24"/>
              </w:rPr>
              <w:t xml:space="preserve"> </w:t>
            </w:r>
            <w:r w:rsidR="00225386">
              <w:rPr>
                <w:rFonts w:eastAsia="Calibri" w:cs="Arial"/>
                <w:szCs w:val="24"/>
              </w:rPr>
              <w:t xml:space="preserve">określana na etapie tworzenia wniosku </w:t>
            </w:r>
            <w:r w:rsidR="00225386" w:rsidRPr="00822200">
              <w:rPr>
                <w:rFonts w:eastAsia="Calibri" w:cs="Arial"/>
                <w:szCs w:val="24"/>
              </w:rPr>
              <w:t xml:space="preserve"> </w:t>
            </w:r>
          </w:p>
        </w:tc>
        <w:tc>
          <w:tcPr>
            <w:tcW w:w="4477" w:type="dxa"/>
          </w:tcPr>
          <w:p w14:paraId="091CE2DC" w14:textId="77777777" w:rsidR="008551D5" w:rsidRPr="00822200" w:rsidRDefault="008551D5"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Wskaźnik mierzy liczbę nauczycieli, innych przedstawicieli kadr pedagogicznych i niepedagogicznych oraz dyrektorów szkół i placówek systemu oświaty objętych wsparciem w ramach programu świadczonym przez szkoły ćwiczeń.</w:t>
            </w:r>
          </w:p>
          <w:p w14:paraId="3437B9A3" w14:textId="77777777" w:rsidR="008551D5" w:rsidRPr="00822200" w:rsidRDefault="008551D5"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Wskaźnik ma zastosowanie do przedstawicieli kadry ośrodków wychowania przedszkolnego, kadry szkół i placówek prowadzących kształcenie ogólne, jak i szkół i </w:t>
            </w:r>
            <w:r w:rsidRPr="00822200">
              <w:rPr>
                <w:rFonts w:eastAsia="Calibri" w:cs="Arial"/>
                <w:szCs w:val="24"/>
              </w:rPr>
              <w:lastRenderedPageBreak/>
              <w:t>placówek prowadzących kształcenie zawodowe. Wskaźnik odnosi się do kadry szkół i placówek publicznych i niepublicznych.</w:t>
            </w:r>
          </w:p>
          <w:p w14:paraId="62164545" w14:textId="2645E721" w:rsidR="00CE3683" w:rsidRPr="00822200" w:rsidRDefault="008551D5"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Wskaźnik jest wskaźnikiem podrzędnym w stosunku do PLFCO06. </w:t>
            </w:r>
          </w:p>
        </w:tc>
        <w:tc>
          <w:tcPr>
            <w:tcW w:w="1971" w:type="dxa"/>
          </w:tcPr>
          <w:p w14:paraId="0B6C4FB2" w14:textId="77777777" w:rsidR="00CE3683" w:rsidRPr="00822200" w:rsidRDefault="00CE3683"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cs="Arial"/>
                <w:szCs w:val="24"/>
              </w:rPr>
              <w:lastRenderedPageBreak/>
              <w:t>Pomiar wskaźnika odbywać się będzie na etapie realizacji projektu.</w:t>
            </w:r>
          </w:p>
        </w:tc>
        <w:tc>
          <w:tcPr>
            <w:tcW w:w="1881" w:type="dxa"/>
          </w:tcPr>
          <w:p w14:paraId="099EFF0E" w14:textId="4ED9E4E2" w:rsidR="005038B2" w:rsidRPr="00822200" w:rsidRDefault="00CE3683" w:rsidP="00822200">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822200">
              <w:rPr>
                <w:rFonts w:cs="Arial"/>
                <w:szCs w:val="24"/>
              </w:rPr>
              <w:t xml:space="preserve">Pomiar będzie się odbywał za pomocą następujących narzędzi pomiaru: </w:t>
            </w:r>
            <w:r w:rsidR="005038B2" w:rsidRPr="00822200">
              <w:rPr>
                <w:rFonts w:cs="Arial"/>
                <w:szCs w:val="24"/>
              </w:rPr>
              <w:t xml:space="preserve"> </w:t>
            </w:r>
            <w:r w:rsidR="00906FEB" w:rsidRPr="00822200">
              <w:rPr>
                <w:rFonts w:cs="Arial"/>
                <w:szCs w:val="24"/>
              </w:rPr>
              <w:t xml:space="preserve">lista uczestników objętych wsparciem wraz ze wskazaniem rodzaju wsparcia </w:t>
            </w:r>
          </w:p>
          <w:p w14:paraId="553A1B28" w14:textId="4D351CCF" w:rsidR="00CE3683" w:rsidRPr="00822200" w:rsidRDefault="00CE3683" w:rsidP="00822200">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p>
        </w:tc>
      </w:tr>
      <w:tr w:rsidR="00906FEB" w:rsidRPr="000C2A35" w14:paraId="1AC6519F" w14:textId="77777777" w:rsidTr="7E98CD16">
        <w:tc>
          <w:tcPr>
            <w:cnfStyle w:val="001000000000" w:firstRow="0" w:lastRow="0" w:firstColumn="1" w:lastColumn="0" w:oddVBand="0" w:evenVBand="0" w:oddHBand="0" w:evenHBand="0" w:firstRowFirstColumn="0" w:firstRowLastColumn="0" w:lastRowFirstColumn="0" w:lastRowLastColumn="0"/>
            <w:tcW w:w="0" w:type="auto"/>
          </w:tcPr>
          <w:p w14:paraId="0BAFC7B9" w14:textId="0C10FF7C" w:rsidR="00906FEB" w:rsidRPr="00822200" w:rsidRDefault="00906FEB" w:rsidP="00822200">
            <w:pPr>
              <w:spacing w:after="160" w:line="360" w:lineRule="auto"/>
              <w:rPr>
                <w:rFonts w:eastAsia="Calibri" w:cs="Arial"/>
                <w:szCs w:val="24"/>
              </w:rPr>
            </w:pPr>
            <w:r w:rsidRPr="00822200">
              <w:rPr>
                <w:rFonts w:eastAsia="Calibri" w:cs="Arial"/>
                <w:szCs w:val="24"/>
              </w:rPr>
              <w:t xml:space="preserve">WLWK-PLFCO07 </w:t>
            </w:r>
          </w:p>
        </w:tc>
        <w:tc>
          <w:tcPr>
            <w:tcW w:w="2337" w:type="dxa"/>
          </w:tcPr>
          <w:p w14:paraId="718DC04C" w14:textId="06787ECA" w:rsidR="00906FEB" w:rsidRPr="00822200" w:rsidRDefault="00906FE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Liczba szkół i placówek systemu oświaty objętych wsparciem </w:t>
            </w:r>
          </w:p>
        </w:tc>
        <w:tc>
          <w:tcPr>
            <w:tcW w:w="1116" w:type="dxa"/>
          </w:tcPr>
          <w:p w14:paraId="6617175F" w14:textId="0043A8A4" w:rsidR="00906FEB" w:rsidRPr="00822200" w:rsidRDefault="00906FE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podmioty </w:t>
            </w:r>
          </w:p>
        </w:tc>
        <w:tc>
          <w:tcPr>
            <w:tcW w:w="1056" w:type="dxa"/>
            <w:shd w:val="clear" w:color="auto" w:fill="auto"/>
          </w:tcPr>
          <w:p w14:paraId="1EE889C8" w14:textId="7BD5FE2C" w:rsidR="00906FEB" w:rsidRPr="00822200" w:rsidRDefault="0056137C"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Wartość docelowa nie została określona - </w:t>
            </w:r>
            <w:r w:rsidR="00225386">
              <w:rPr>
                <w:rFonts w:eastAsia="Calibri" w:cs="Arial"/>
                <w:szCs w:val="24"/>
              </w:rPr>
              <w:t xml:space="preserve">wartość </w:t>
            </w:r>
            <w:r w:rsidR="00225386" w:rsidRPr="00822200">
              <w:rPr>
                <w:rFonts w:eastAsia="Calibri" w:cs="Arial"/>
                <w:szCs w:val="24"/>
              </w:rPr>
              <w:t>wskaźnik</w:t>
            </w:r>
            <w:r w:rsidR="00225386">
              <w:rPr>
                <w:rFonts w:eastAsia="Calibri" w:cs="Arial"/>
                <w:szCs w:val="24"/>
              </w:rPr>
              <w:t>a</w:t>
            </w:r>
            <w:r w:rsidR="00225386" w:rsidRPr="00822200">
              <w:rPr>
                <w:rFonts w:eastAsia="Calibri" w:cs="Arial"/>
                <w:szCs w:val="24"/>
              </w:rPr>
              <w:t xml:space="preserve"> </w:t>
            </w:r>
            <w:r w:rsidR="00225386">
              <w:rPr>
                <w:rFonts w:eastAsia="Calibri" w:cs="Arial"/>
                <w:szCs w:val="24"/>
              </w:rPr>
              <w:t xml:space="preserve">określana na etapie tworzenia wniosku </w:t>
            </w:r>
            <w:r w:rsidR="00225386" w:rsidRPr="00822200">
              <w:rPr>
                <w:rFonts w:eastAsia="Calibri" w:cs="Arial"/>
                <w:szCs w:val="24"/>
              </w:rPr>
              <w:t xml:space="preserve"> </w:t>
            </w:r>
          </w:p>
        </w:tc>
        <w:tc>
          <w:tcPr>
            <w:tcW w:w="4477" w:type="dxa"/>
          </w:tcPr>
          <w:p w14:paraId="7F48D6E7" w14:textId="77777777" w:rsidR="00906FEB" w:rsidRPr="00822200" w:rsidRDefault="00906FE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Wskaźnik mierzy liczbę szkół i placówek systemu oświaty objętych wsparciem.  </w:t>
            </w:r>
          </w:p>
          <w:p w14:paraId="28696304" w14:textId="77777777" w:rsidR="00906FEB" w:rsidRPr="00822200" w:rsidRDefault="00906FE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Wskaźnik ma zastosowanie do ośrodków wychowania przedszkolnego, szkół i placówek prowadzących kształcenie ogólne, jak i szkół i placówek prowadzących kształcenie </w:t>
            </w:r>
            <w:r w:rsidRPr="00822200">
              <w:rPr>
                <w:rFonts w:eastAsia="Calibri" w:cs="Arial"/>
                <w:szCs w:val="24"/>
              </w:rPr>
              <w:lastRenderedPageBreak/>
              <w:t>zawodowe. Wskaźnik odnosi się do szkół i placówek publicznych i niepublicznych.</w:t>
            </w:r>
          </w:p>
          <w:p w14:paraId="6E08571C" w14:textId="77777777" w:rsidR="00906FEB" w:rsidRPr="00822200" w:rsidRDefault="00906FE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Wskaźnik nie ma zastosowania do poradni psychologiczno-pedagogicznych. </w:t>
            </w:r>
          </w:p>
          <w:p w14:paraId="59FA7135" w14:textId="5102B206" w:rsidR="00906FEB" w:rsidRPr="00822200" w:rsidRDefault="00906FE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W przypadku objęcia wsparciem kilku szkół wchodzących w skład zespołu szkół, każdą szkołę z danego zespołu szkół, która uzyskała wsparcie, należy liczyć odrębnie. W przypadku skierowania wsparcia do szkół filialnych, szkoła macierzysta i szkoły jej podporządkowane </w:t>
            </w:r>
            <w:r w:rsidRPr="00822200">
              <w:rPr>
                <w:rFonts w:eastAsia="Calibri" w:cs="Arial"/>
                <w:szCs w:val="24"/>
              </w:rPr>
              <w:lastRenderedPageBreak/>
              <w:t xml:space="preserve">powinny być mierzone odrębnie.   </w:t>
            </w:r>
          </w:p>
        </w:tc>
        <w:tc>
          <w:tcPr>
            <w:tcW w:w="1971" w:type="dxa"/>
          </w:tcPr>
          <w:p w14:paraId="77D5D6E4" w14:textId="6142EF07" w:rsidR="00906FEB" w:rsidRPr="00822200" w:rsidRDefault="00906FE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822200">
              <w:rPr>
                <w:rFonts w:cs="Arial"/>
                <w:szCs w:val="24"/>
              </w:rPr>
              <w:lastRenderedPageBreak/>
              <w:t xml:space="preserve">Pomiar wskaźnika odbywać się będzie w momencie objęcia placówki systemu oświaty wsparciem. </w:t>
            </w:r>
          </w:p>
        </w:tc>
        <w:tc>
          <w:tcPr>
            <w:tcW w:w="1881" w:type="dxa"/>
          </w:tcPr>
          <w:p w14:paraId="70266CA7" w14:textId="77777777" w:rsidR="00906FEB" w:rsidRPr="00822200" w:rsidRDefault="00906FEB" w:rsidP="00822200">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822200">
              <w:rPr>
                <w:rFonts w:cs="Arial"/>
                <w:szCs w:val="24"/>
              </w:rPr>
              <w:t>Pomiar będzie się odbywał za pomocą następujących narzędzi pomiaru:</w:t>
            </w:r>
          </w:p>
          <w:p w14:paraId="61A1E475" w14:textId="39FE31FB" w:rsidR="00906FEB" w:rsidRPr="00822200" w:rsidRDefault="0056137C" w:rsidP="00822200">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822200">
              <w:rPr>
                <w:rFonts w:cs="Arial"/>
                <w:szCs w:val="24"/>
              </w:rPr>
              <w:t xml:space="preserve">lista placówek ze wskazaniem rodzaju wsparcia </w:t>
            </w:r>
          </w:p>
        </w:tc>
      </w:tr>
      <w:tr w:rsidR="00CE3683" w:rsidRPr="000C2A35" w14:paraId="7A23F488" w14:textId="77777777" w:rsidTr="7E98CD16">
        <w:tc>
          <w:tcPr>
            <w:cnfStyle w:val="001000000000" w:firstRow="0" w:lastRow="0" w:firstColumn="1" w:lastColumn="0" w:oddVBand="0" w:evenVBand="0" w:oddHBand="0" w:evenHBand="0" w:firstRowFirstColumn="0" w:firstRowLastColumn="0" w:lastRowFirstColumn="0" w:lastRowLastColumn="0"/>
            <w:tcW w:w="0" w:type="auto"/>
          </w:tcPr>
          <w:p w14:paraId="33D96A71" w14:textId="6925A839" w:rsidR="00CE3683" w:rsidRPr="00822200" w:rsidRDefault="00906FEB" w:rsidP="00822200">
            <w:pPr>
              <w:spacing w:after="160" w:line="360" w:lineRule="auto"/>
              <w:rPr>
                <w:rFonts w:eastAsia="Calibri" w:cs="Arial"/>
                <w:szCs w:val="24"/>
              </w:rPr>
            </w:pPr>
            <w:r w:rsidRPr="00822200">
              <w:rPr>
                <w:rFonts w:eastAsia="Calibri" w:cs="Arial"/>
                <w:szCs w:val="24"/>
              </w:rPr>
              <w:lastRenderedPageBreak/>
              <w:t>WLWK-PL</w:t>
            </w:r>
            <w:r w:rsidR="00B03A51">
              <w:rPr>
                <w:rFonts w:eastAsia="Calibri" w:cs="Arial"/>
                <w:szCs w:val="24"/>
              </w:rPr>
              <w:t>F</w:t>
            </w:r>
            <w:r w:rsidRPr="00822200">
              <w:rPr>
                <w:rFonts w:eastAsia="Calibri" w:cs="Arial"/>
                <w:szCs w:val="24"/>
              </w:rPr>
              <w:t>CO</w:t>
            </w:r>
            <w:r w:rsidR="00B03A51">
              <w:rPr>
                <w:rFonts w:eastAsia="Calibri" w:cs="Arial"/>
                <w:szCs w:val="24"/>
              </w:rPr>
              <w:t>10</w:t>
            </w:r>
            <w:r w:rsidRPr="00822200">
              <w:rPr>
                <w:rFonts w:eastAsia="Calibri" w:cs="Arial"/>
                <w:szCs w:val="24"/>
              </w:rPr>
              <w:t xml:space="preserve"> </w:t>
            </w:r>
          </w:p>
        </w:tc>
        <w:tc>
          <w:tcPr>
            <w:tcW w:w="2337" w:type="dxa"/>
          </w:tcPr>
          <w:p w14:paraId="36D54100" w14:textId="77777777" w:rsidR="00CE3683" w:rsidRPr="00822200" w:rsidRDefault="00CE3683"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Liczba obiektów edukacyjnych dostosowanych do potrzeb osób z niepełnosprawnościami</w:t>
            </w:r>
          </w:p>
        </w:tc>
        <w:tc>
          <w:tcPr>
            <w:tcW w:w="1116" w:type="dxa"/>
          </w:tcPr>
          <w:p w14:paraId="2E2B6F93" w14:textId="77777777" w:rsidR="00CE3683" w:rsidRPr="00822200" w:rsidRDefault="00CE3683"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sztuki</w:t>
            </w:r>
          </w:p>
        </w:tc>
        <w:tc>
          <w:tcPr>
            <w:tcW w:w="1056" w:type="dxa"/>
            <w:shd w:val="clear" w:color="auto" w:fill="auto"/>
          </w:tcPr>
          <w:p w14:paraId="53641452" w14:textId="0FBD7242" w:rsidR="00CE3683" w:rsidRPr="00822200" w:rsidRDefault="00E12FEF"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Wartość docelowa nie została określona - </w:t>
            </w:r>
            <w:r w:rsidR="00225386">
              <w:rPr>
                <w:rFonts w:eastAsia="Calibri" w:cs="Arial"/>
                <w:szCs w:val="24"/>
              </w:rPr>
              <w:t xml:space="preserve">wartość </w:t>
            </w:r>
            <w:r w:rsidR="00225386" w:rsidRPr="00822200">
              <w:rPr>
                <w:rFonts w:eastAsia="Calibri" w:cs="Arial"/>
                <w:szCs w:val="24"/>
              </w:rPr>
              <w:t>wskaźnik</w:t>
            </w:r>
            <w:r w:rsidR="00225386">
              <w:rPr>
                <w:rFonts w:eastAsia="Calibri" w:cs="Arial"/>
                <w:szCs w:val="24"/>
              </w:rPr>
              <w:t>a</w:t>
            </w:r>
            <w:r w:rsidR="00225386" w:rsidRPr="00822200">
              <w:rPr>
                <w:rFonts w:eastAsia="Calibri" w:cs="Arial"/>
                <w:szCs w:val="24"/>
              </w:rPr>
              <w:t xml:space="preserve"> </w:t>
            </w:r>
            <w:r w:rsidR="00225386">
              <w:rPr>
                <w:rFonts w:eastAsia="Calibri" w:cs="Arial"/>
                <w:szCs w:val="24"/>
              </w:rPr>
              <w:t xml:space="preserve">określana na etapie tworzenia wniosku </w:t>
            </w:r>
            <w:r w:rsidR="00225386" w:rsidRPr="00822200">
              <w:rPr>
                <w:rFonts w:eastAsia="Calibri" w:cs="Arial"/>
                <w:szCs w:val="24"/>
              </w:rPr>
              <w:t xml:space="preserve"> </w:t>
            </w:r>
          </w:p>
        </w:tc>
        <w:tc>
          <w:tcPr>
            <w:tcW w:w="4477" w:type="dxa"/>
          </w:tcPr>
          <w:p w14:paraId="416C774A" w14:textId="77777777" w:rsidR="00CE3683" w:rsidRPr="00822200" w:rsidRDefault="00CE3683"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Wskaźnik mierzy liczbę obiektów edukacyjnych (szkół oraz placówek systemu oświaty, w tym ośrodków wychowania przedszkolnego), które zaopatrzono w specjalne podjazdy, windy, urządzenia głośnomówiące bądź inne udogodnienia (tj. usunięcie barier w dostępie do tych obiektów, w szczególności barier architektonicznych) ułatwiające dostęp do tych obiektów i poruszanie się po nich oraz korzystanie z oferty edukacyjnej przez osoby z </w:t>
            </w:r>
            <w:r w:rsidRPr="00822200">
              <w:rPr>
                <w:rFonts w:eastAsia="Calibri" w:cs="Arial"/>
                <w:szCs w:val="24"/>
              </w:rPr>
              <w:lastRenderedPageBreak/>
              <w:t>niepełnosprawnościami, w szczególności ruchowymi czy sensorycznymi.</w:t>
            </w:r>
            <w:r w:rsidRPr="00822200">
              <w:rPr>
                <w:rFonts w:eastAsia="Calibri" w:cs="Arial"/>
                <w:szCs w:val="24"/>
              </w:rPr>
              <w:br/>
              <w:t>Wskaźnik ma zastosowanie do ośrodków wychowania przedszkolnego, szkół i placówek prowadzących kształcenie ogólne, jak i szkół i placówek prowadzących kształcenie zawodowe. Wskaźnik odnosi się do szkół i placówek publicznych i niepublicznych.</w:t>
            </w:r>
          </w:p>
          <w:p w14:paraId="79292221" w14:textId="77777777" w:rsidR="00CE3683" w:rsidRPr="00822200" w:rsidRDefault="00CE3683"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Jako obiekty należy rozumieć konstrukcje połączone z gruntem w sposób trwały, wykonane z materiałów budowlanych i elementów składowych, będące wynikiem prac </w:t>
            </w:r>
            <w:r w:rsidRPr="00822200">
              <w:rPr>
                <w:rFonts w:eastAsia="Calibri" w:cs="Arial"/>
                <w:szCs w:val="24"/>
              </w:rPr>
              <w:lastRenderedPageBreak/>
              <w:t>budowlanych (wg def. PKOB).</w:t>
            </w:r>
          </w:p>
          <w:p w14:paraId="3A0F3A6F" w14:textId="77777777" w:rsidR="00CE3683" w:rsidRPr="00822200" w:rsidRDefault="00CE3683"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Należy podać liczbę obiektów, a nie sprzętów, urządzeń itp., w które obiekty zaopatrzono. Jeśli szkoła lub placówka składa się z kilku obiektów, należy zliczyć wszystkie, które dostosowano do potrzeb osób z niepełnosprawnościami.  </w:t>
            </w:r>
          </w:p>
          <w:p w14:paraId="75418445" w14:textId="77777777" w:rsidR="00CE3683" w:rsidRPr="00822200" w:rsidRDefault="00CE3683" w:rsidP="00822200">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Każdy odrębny budynek należy traktować jako obiekt, tj. jeżeli dana szkoła, ośrodek wychowania przedszkolnego itd. składa się z kilku budynków, wówczas do wskaźnika należy wliczyć osobno każdy budynek, który został </w:t>
            </w:r>
            <w:r w:rsidRPr="00822200">
              <w:rPr>
                <w:rFonts w:eastAsia="Calibri" w:cs="Arial"/>
                <w:szCs w:val="24"/>
              </w:rPr>
              <w:lastRenderedPageBreak/>
              <w:t>dostosowany do potrzeb osób z niepełnosprawnościami.</w:t>
            </w:r>
          </w:p>
          <w:p w14:paraId="6D7C4400" w14:textId="77777777" w:rsidR="00CE3683" w:rsidRPr="00822200" w:rsidRDefault="00CE3683" w:rsidP="00822200">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p>
          <w:p w14:paraId="5349946F" w14:textId="77777777" w:rsidR="00CE3683" w:rsidRPr="00822200" w:rsidRDefault="00CE3683"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Wskaźnik mierzony w momencie rozliczenia wydatku związanego z wyposażeniem obiektów w rozwiązania służące osobom z niepełnosprawnościami w ramach danego projektu.</w:t>
            </w:r>
          </w:p>
        </w:tc>
        <w:tc>
          <w:tcPr>
            <w:tcW w:w="1971" w:type="dxa"/>
          </w:tcPr>
          <w:p w14:paraId="48D03779" w14:textId="187AA3EB" w:rsidR="00CE3683" w:rsidRPr="00822200" w:rsidRDefault="00CE3683"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cs="Arial"/>
                <w:szCs w:val="24"/>
              </w:rPr>
              <w:lastRenderedPageBreak/>
              <w:t xml:space="preserve">Pomiar wskaźnika odbywać się będzie </w:t>
            </w:r>
            <w:r w:rsidR="00225386">
              <w:rPr>
                <w:rFonts w:eastAsia="Calibri" w:cs="Arial"/>
                <w:szCs w:val="24"/>
              </w:rPr>
              <w:t xml:space="preserve">na etapie tworzenia wniosku </w:t>
            </w:r>
            <w:r w:rsidR="00225386" w:rsidRPr="00822200">
              <w:rPr>
                <w:rFonts w:eastAsia="Calibri" w:cs="Arial"/>
                <w:szCs w:val="24"/>
              </w:rPr>
              <w:t xml:space="preserve"> </w:t>
            </w:r>
          </w:p>
        </w:tc>
        <w:tc>
          <w:tcPr>
            <w:tcW w:w="1881" w:type="dxa"/>
          </w:tcPr>
          <w:p w14:paraId="76ECEBEE" w14:textId="76016BA6" w:rsidR="00CE3683" w:rsidRPr="00822200" w:rsidRDefault="00CE3683" w:rsidP="00822200">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cs="Arial"/>
                <w:szCs w:val="24"/>
              </w:rPr>
              <w:t xml:space="preserve">Pomiar będzie się odbywał za pomocą następujących narzędzi pomiaru: </w:t>
            </w:r>
            <w:r w:rsidR="005038B2" w:rsidRPr="00822200">
              <w:rPr>
                <w:rFonts w:cs="Arial"/>
                <w:szCs w:val="24"/>
              </w:rPr>
              <w:t xml:space="preserve"> Protokół odbioru lub inny dokument równorzędny potwierdzający zaopatrzenie placówki</w:t>
            </w:r>
          </w:p>
        </w:tc>
      </w:tr>
    </w:tbl>
    <w:p w14:paraId="5068F4F9" w14:textId="2ABD218A" w:rsidR="00CE3683" w:rsidRDefault="00CE3683" w:rsidP="00CE3683">
      <w:pPr>
        <w:spacing w:after="160"/>
        <w:rPr>
          <w:rFonts w:ascii="Calibri" w:eastAsia="Calibri" w:hAnsi="Calibri" w:cs="Times New Roman"/>
          <w:b/>
          <w:sz w:val="22"/>
        </w:rPr>
      </w:pPr>
    </w:p>
    <w:p w14:paraId="34BC673A" w14:textId="3AD0E979" w:rsidR="00B62DAF" w:rsidRDefault="00B62DAF" w:rsidP="00CE3683">
      <w:pPr>
        <w:spacing w:after="160"/>
        <w:rPr>
          <w:rFonts w:ascii="Calibri" w:eastAsia="Calibri" w:hAnsi="Calibri" w:cs="Times New Roman"/>
          <w:b/>
          <w:sz w:val="22"/>
        </w:rPr>
      </w:pPr>
    </w:p>
    <w:p w14:paraId="7B9992C8" w14:textId="4DA0FBF7" w:rsidR="00B62DAF" w:rsidRDefault="00B62DAF" w:rsidP="00CE3683">
      <w:pPr>
        <w:spacing w:after="160"/>
        <w:rPr>
          <w:rFonts w:ascii="Calibri" w:eastAsia="Calibri" w:hAnsi="Calibri" w:cs="Times New Roman"/>
          <w:b/>
          <w:sz w:val="22"/>
        </w:rPr>
      </w:pPr>
    </w:p>
    <w:p w14:paraId="33EF0F91" w14:textId="75350989" w:rsidR="00B62DAF" w:rsidRDefault="00B62DAF" w:rsidP="00CE3683">
      <w:pPr>
        <w:spacing w:after="160"/>
        <w:rPr>
          <w:rFonts w:ascii="Calibri" w:eastAsia="Calibri" w:hAnsi="Calibri" w:cs="Times New Roman"/>
          <w:b/>
          <w:sz w:val="22"/>
        </w:rPr>
      </w:pPr>
    </w:p>
    <w:p w14:paraId="0EBBC123" w14:textId="53ED12A3" w:rsidR="00B62DAF" w:rsidRDefault="00B62DAF" w:rsidP="00CE3683">
      <w:pPr>
        <w:spacing w:after="160"/>
        <w:rPr>
          <w:rFonts w:ascii="Calibri" w:eastAsia="Calibri" w:hAnsi="Calibri" w:cs="Times New Roman"/>
          <w:b/>
          <w:sz w:val="22"/>
        </w:rPr>
      </w:pPr>
    </w:p>
    <w:p w14:paraId="48F0D686" w14:textId="5A62AE51" w:rsidR="00B62DAF" w:rsidRDefault="00B62DAF" w:rsidP="00CE3683">
      <w:pPr>
        <w:spacing w:after="160"/>
        <w:rPr>
          <w:rFonts w:ascii="Calibri" w:eastAsia="Calibri" w:hAnsi="Calibri" w:cs="Times New Roman"/>
          <w:b/>
          <w:sz w:val="22"/>
        </w:rPr>
      </w:pPr>
    </w:p>
    <w:p w14:paraId="16C638E3" w14:textId="4D811FAD" w:rsidR="00B62DAF" w:rsidRDefault="00B62DAF" w:rsidP="00CE3683">
      <w:pPr>
        <w:spacing w:after="160"/>
        <w:rPr>
          <w:rFonts w:ascii="Calibri" w:eastAsia="Calibri" w:hAnsi="Calibri" w:cs="Times New Roman"/>
          <w:b/>
          <w:sz w:val="22"/>
        </w:rPr>
      </w:pPr>
    </w:p>
    <w:p w14:paraId="6DA90710" w14:textId="0880DB24" w:rsidR="00B62DAF" w:rsidRDefault="00B62DAF" w:rsidP="00CE3683">
      <w:pPr>
        <w:spacing w:after="160"/>
        <w:rPr>
          <w:rFonts w:ascii="Calibri" w:eastAsia="Calibri" w:hAnsi="Calibri" w:cs="Times New Roman"/>
          <w:b/>
          <w:sz w:val="22"/>
        </w:rPr>
      </w:pPr>
    </w:p>
    <w:p w14:paraId="3E83FF5D" w14:textId="68E8576B" w:rsidR="00B62DAF" w:rsidRDefault="00B62DAF" w:rsidP="00CE3683">
      <w:pPr>
        <w:spacing w:after="160"/>
        <w:rPr>
          <w:rFonts w:ascii="Calibri" w:eastAsia="Calibri" w:hAnsi="Calibri" w:cs="Times New Roman"/>
          <w:b/>
          <w:sz w:val="22"/>
        </w:rPr>
      </w:pPr>
    </w:p>
    <w:p w14:paraId="658AE021" w14:textId="77777777" w:rsidR="00CE3683" w:rsidRPr="000C2A35" w:rsidRDefault="00CE3683" w:rsidP="00B62DAF">
      <w:pPr>
        <w:pStyle w:val="Nagwek2"/>
        <w:rPr>
          <w:rFonts w:eastAsia="Calibri"/>
        </w:rPr>
      </w:pPr>
      <w:r w:rsidRPr="000C2A35">
        <w:rPr>
          <w:rFonts w:eastAsia="Calibri"/>
        </w:rPr>
        <w:lastRenderedPageBreak/>
        <w:t>Wskaźniki rezultatu</w:t>
      </w:r>
    </w:p>
    <w:tbl>
      <w:tblPr>
        <w:tblStyle w:val="Tabelasiatki1jasna"/>
        <w:tblW w:w="14029" w:type="dxa"/>
        <w:tblLook w:val="04A0" w:firstRow="1" w:lastRow="0" w:firstColumn="1" w:lastColumn="0" w:noHBand="0" w:noVBand="1"/>
        <w:tblCaption w:val="Wskaźniki rezultatu"/>
        <w:tblDescription w:val="W tabeli przedstawiono wskaźniki rezultatu wdrażane przez Departament Europejskiego Funduszu Społecznego w ramach EFS+. "/>
      </w:tblPr>
      <w:tblGrid>
        <w:gridCol w:w="1404"/>
        <w:gridCol w:w="1777"/>
        <w:gridCol w:w="1337"/>
        <w:gridCol w:w="1324"/>
        <w:gridCol w:w="4166"/>
        <w:gridCol w:w="1911"/>
        <w:gridCol w:w="2110"/>
      </w:tblGrid>
      <w:tr w:rsidR="00B62DAF" w:rsidRPr="000C2A35" w14:paraId="0BBE450C" w14:textId="77777777" w:rsidTr="7E98CD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7" w:type="dxa"/>
            <w:shd w:val="clear" w:color="auto" w:fill="D9D9D9" w:themeFill="background1" w:themeFillShade="D9"/>
            <w:vAlign w:val="center"/>
          </w:tcPr>
          <w:p w14:paraId="1BC52C81" w14:textId="77777777" w:rsidR="00CE3683" w:rsidRPr="00822200" w:rsidRDefault="00CE3683" w:rsidP="00822200">
            <w:pPr>
              <w:spacing w:after="160" w:line="360" w:lineRule="auto"/>
              <w:jc w:val="center"/>
              <w:rPr>
                <w:rFonts w:eastAsia="Calibri" w:cs="Arial"/>
                <w:szCs w:val="24"/>
              </w:rPr>
            </w:pPr>
            <w:r w:rsidRPr="00822200">
              <w:rPr>
                <w:rFonts w:eastAsia="Calibri" w:cs="Arial"/>
                <w:szCs w:val="24"/>
              </w:rPr>
              <w:t>Kod wskaźnika</w:t>
            </w:r>
          </w:p>
        </w:tc>
        <w:tc>
          <w:tcPr>
            <w:tcW w:w="1518" w:type="dxa"/>
            <w:shd w:val="clear" w:color="auto" w:fill="D9D9D9" w:themeFill="background1" w:themeFillShade="D9"/>
            <w:vAlign w:val="center"/>
          </w:tcPr>
          <w:p w14:paraId="76491485" w14:textId="7EB9D21F" w:rsidR="00CE3683" w:rsidRPr="00822200" w:rsidRDefault="00CE3683"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Nazwa wskaźnika</w:t>
            </w:r>
          </w:p>
        </w:tc>
        <w:tc>
          <w:tcPr>
            <w:tcW w:w="1116" w:type="dxa"/>
            <w:shd w:val="clear" w:color="auto" w:fill="D9D9D9" w:themeFill="background1" w:themeFillShade="D9"/>
            <w:vAlign w:val="center"/>
          </w:tcPr>
          <w:p w14:paraId="6CA53357" w14:textId="77777777" w:rsidR="00CE3683" w:rsidRPr="00822200" w:rsidRDefault="00CE3683"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jednostka miary</w:t>
            </w:r>
          </w:p>
        </w:tc>
        <w:tc>
          <w:tcPr>
            <w:tcW w:w="1024" w:type="dxa"/>
            <w:shd w:val="clear" w:color="auto" w:fill="D9D9D9" w:themeFill="background1" w:themeFillShade="D9"/>
            <w:vAlign w:val="center"/>
          </w:tcPr>
          <w:p w14:paraId="18AF88B8" w14:textId="77777777" w:rsidR="00CE3683" w:rsidRPr="00822200" w:rsidRDefault="00CE3683"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wartość</w:t>
            </w:r>
          </w:p>
        </w:tc>
        <w:tc>
          <w:tcPr>
            <w:tcW w:w="4851" w:type="dxa"/>
            <w:shd w:val="clear" w:color="auto" w:fill="D9D9D9" w:themeFill="background1" w:themeFillShade="D9"/>
            <w:vAlign w:val="center"/>
          </w:tcPr>
          <w:p w14:paraId="211CB4EA" w14:textId="39BEF11D" w:rsidR="00CE3683" w:rsidRPr="00822200" w:rsidRDefault="00CE3683"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Definicja</w:t>
            </w:r>
          </w:p>
        </w:tc>
        <w:tc>
          <w:tcPr>
            <w:tcW w:w="2136" w:type="dxa"/>
            <w:shd w:val="clear" w:color="auto" w:fill="D9D9D9" w:themeFill="background1" w:themeFillShade="D9"/>
            <w:vAlign w:val="center"/>
          </w:tcPr>
          <w:p w14:paraId="65554614" w14:textId="6D34B721" w:rsidR="00CE3683" w:rsidRPr="00822200" w:rsidRDefault="00CE3683"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Źródło i sposób pomiaru</w:t>
            </w:r>
          </w:p>
        </w:tc>
        <w:tc>
          <w:tcPr>
            <w:tcW w:w="2227" w:type="dxa"/>
            <w:shd w:val="clear" w:color="auto" w:fill="D9D9D9" w:themeFill="background1" w:themeFillShade="D9"/>
            <w:vAlign w:val="center"/>
          </w:tcPr>
          <w:p w14:paraId="136E5BA3" w14:textId="77777777" w:rsidR="00CE3683" w:rsidRPr="00822200" w:rsidRDefault="00CE3683" w:rsidP="00822200">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Sposób monitorowania</w:t>
            </w:r>
          </w:p>
        </w:tc>
      </w:tr>
      <w:tr w:rsidR="00CE3683" w:rsidRPr="000C2A35" w14:paraId="0AD6191C" w14:textId="77777777" w:rsidTr="7E98CD16">
        <w:tc>
          <w:tcPr>
            <w:cnfStyle w:val="001000000000" w:firstRow="0" w:lastRow="0" w:firstColumn="1" w:lastColumn="0" w:oddVBand="0" w:evenVBand="0" w:oddHBand="0" w:evenHBand="0" w:firstRowFirstColumn="0" w:firstRowLastColumn="0" w:lastRowFirstColumn="0" w:lastRowLastColumn="0"/>
            <w:tcW w:w="1157" w:type="dxa"/>
          </w:tcPr>
          <w:p w14:paraId="1D6BA61E" w14:textId="72151F2C" w:rsidR="00CE3683" w:rsidRPr="00822200" w:rsidRDefault="00906FEB" w:rsidP="00822200">
            <w:pPr>
              <w:spacing w:after="160" w:line="360" w:lineRule="auto"/>
              <w:rPr>
                <w:rFonts w:eastAsia="Calibri" w:cs="Arial"/>
                <w:szCs w:val="24"/>
              </w:rPr>
            </w:pPr>
            <w:r w:rsidRPr="00822200">
              <w:rPr>
                <w:rFonts w:eastAsia="Calibri" w:cs="Arial"/>
                <w:szCs w:val="24"/>
              </w:rPr>
              <w:t xml:space="preserve">WLWK-PLFCR02 </w:t>
            </w:r>
          </w:p>
        </w:tc>
        <w:tc>
          <w:tcPr>
            <w:tcW w:w="1518" w:type="dxa"/>
          </w:tcPr>
          <w:p w14:paraId="45D08EAF" w14:textId="16E63A04" w:rsidR="00CE3683" w:rsidRPr="00822200" w:rsidRDefault="00906FE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Liczba przedstawicieli kadry szkół i placówek systemu oświaty, którzy uzyskali kwalifikacje po opuszczeniu programu</w:t>
            </w:r>
          </w:p>
        </w:tc>
        <w:tc>
          <w:tcPr>
            <w:tcW w:w="1116" w:type="dxa"/>
          </w:tcPr>
          <w:p w14:paraId="6CFEBBD8" w14:textId="77777777" w:rsidR="00CE3683" w:rsidRPr="00822200" w:rsidRDefault="00CE3683"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osoby</w:t>
            </w:r>
          </w:p>
        </w:tc>
        <w:tc>
          <w:tcPr>
            <w:tcW w:w="1024" w:type="dxa"/>
          </w:tcPr>
          <w:p w14:paraId="7675CFAA" w14:textId="35E39189" w:rsidR="00CE3683" w:rsidRPr="00822200" w:rsidRDefault="7E98CD16"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Wartość docelowa nie została określona - </w:t>
            </w:r>
            <w:r w:rsidR="00225386">
              <w:rPr>
                <w:rFonts w:eastAsia="Calibri" w:cs="Arial"/>
                <w:szCs w:val="24"/>
              </w:rPr>
              <w:t xml:space="preserve">wartość </w:t>
            </w:r>
            <w:r w:rsidR="00225386" w:rsidRPr="00822200">
              <w:rPr>
                <w:rFonts w:eastAsia="Calibri" w:cs="Arial"/>
                <w:szCs w:val="24"/>
              </w:rPr>
              <w:t>wskaźnik</w:t>
            </w:r>
            <w:r w:rsidR="00225386">
              <w:rPr>
                <w:rFonts w:eastAsia="Calibri" w:cs="Arial"/>
                <w:szCs w:val="24"/>
              </w:rPr>
              <w:t>a</w:t>
            </w:r>
            <w:r w:rsidR="00225386" w:rsidRPr="00822200">
              <w:rPr>
                <w:rFonts w:eastAsia="Calibri" w:cs="Arial"/>
                <w:szCs w:val="24"/>
              </w:rPr>
              <w:t xml:space="preserve"> </w:t>
            </w:r>
            <w:r w:rsidR="00225386">
              <w:rPr>
                <w:rFonts w:eastAsia="Calibri" w:cs="Arial"/>
                <w:szCs w:val="24"/>
              </w:rPr>
              <w:t xml:space="preserve">określana na etapie tworzenia wniosku </w:t>
            </w:r>
            <w:r w:rsidR="00225386" w:rsidRPr="00822200">
              <w:rPr>
                <w:rFonts w:eastAsia="Calibri" w:cs="Arial"/>
                <w:szCs w:val="24"/>
              </w:rPr>
              <w:t xml:space="preserve"> </w:t>
            </w:r>
          </w:p>
          <w:p w14:paraId="0379395F" w14:textId="488F975C" w:rsidR="00CE3683" w:rsidRPr="00822200" w:rsidRDefault="00CE3683"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p>
        </w:tc>
        <w:tc>
          <w:tcPr>
            <w:tcW w:w="4851" w:type="dxa"/>
          </w:tcPr>
          <w:p w14:paraId="43AEEEDF" w14:textId="77777777" w:rsidR="00906FEB" w:rsidRPr="00822200" w:rsidRDefault="00906FE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Wskaźnik mierzy liczbę przedstawicieli kadry szkół i placówek systemu oświaty, którzy uzyskali kwalifikacje po opuszczeniu programu. </w:t>
            </w:r>
          </w:p>
          <w:p w14:paraId="290EB695" w14:textId="77777777" w:rsidR="00906FEB" w:rsidRPr="00822200" w:rsidRDefault="00906FE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Kwalifikacje to określony zestaw efektów uczenia się w zakresie wiedzy, umiejętności oraz kompetencji społecznych nabytych w drodze edukacji formalnej, edukacji </w:t>
            </w:r>
            <w:proofErr w:type="spellStart"/>
            <w:r w:rsidRPr="00822200">
              <w:rPr>
                <w:rFonts w:eastAsia="Calibri" w:cs="Arial"/>
                <w:szCs w:val="24"/>
              </w:rPr>
              <w:t>pozaformalnej</w:t>
            </w:r>
            <w:proofErr w:type="spellEnd"/>
            <w:r w:rsidRPr="00822200">
              <w:rPr>
                <w:rFonts w:eastAsia="Calibri" w:cs="Arial"/>
                <w:szCs w:val="24"/>
              </w:rPr>
              <w:t xml:space="preserve"> lub poprzez uczenie się nieformalne, zgodnych z ustalonymi dla danej kwalifikacji wymaganiami, których osiągnięcie zostało sprawdzone w walidacji oraz formalnie potwierdzone przez </w:t>
            </w:r>
            <w:r w:rsidRPr="00822200">
              <w:rPr>
                <w:rFonts w:eastAsia="Calibri" w:cs="Arial"/>
                <w:szCs w:val="24"/>
              </w:rPr>
              <w:lastRenderedPageBreak/>
              <w:t>instytucję uprawnioną do certyfikowania.</w:t>
            </w:r>
          </w:p>
          <w:p w14:paraId="347F363D" w14:textId="77777777" w:rsidR="00906FEB" w:rsidRPr="00822200" w:rsidRDefault="00906FE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Kwalifikacje mogą być nadawane przez: </w:t>
            </w:r>
          </w:p>
          <w:p w14:paraId="0F50A046" w14:textId="4CC94633" w:rsidR="00906FEB" w:rsidRPr="00822200" w:rsidRDefault="00780CCE"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 </w:t>
            </w:r>
            <w:r w:rsidR="00906FEB" w:rsidRPr="00822200">
              <w:rPr>
                <w:rFonts w:eastAsia="Calibri" w:cs="Arial"/>
                <w:szCs w:val="24"/>
              </w:rPr>
              <w:t>podmioty uprawnione do realizacji procesów walidacji i certyfikowania zgodnie z ustawą z dnia 22 grudnia 2015 r. o Zintegrowanym Systemie Kwalifikacji,</w:t>
            </w:r>
          </w:p>
          <w:p w14:paraId="2321564D" w14:textId="76A41754" w:rsidR="00906FEB" w:rsidRPr="00822200" w:rsidRDefault="00780CCE"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 </w:t>
            </w:r>
            <w:r w:rsidR="00906FEB" w:rsidRPr="00822200">
              <w:rPr>
                <w:rFonts w:eastAsia="Calibri" w:cs="Arial"/>
                <w:szCs w:val="24"/>
              </w:rPr>
              <w:t>podmioty uprawnione do realizacji procesów walidacji i certyfikowania na mocy innych przepisów prawa,</w:t>
            </w:r>
          </w:p>
          <w:p w14:paraId="50F89CA4" w14:textId="799D6F1D" w:rsidR="00906FEB" w:rsidRPr="00822200" w:rsidRDefault="00780CCE"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 </w:t>
            </w:r>
            <w:r w:rsidR="00906FEB" w:rsidRPr="00822200">
              <w:rPr>
                <w:rFonts w:eastAsia="Calibri" w:cs="Arial"/>
                <w:szCs w:val="24"/>
              </w:rPr>
              <w:t>podmioty uprawnione do wydawania dokumentów potwierdzających uzyskanie kwalifikacji, w tym w zawodzie,</w:t>
            </w:r>
          </w:p>
          <w:p w14:paraId="6C9E2328" w14:textId="78604731" w:rsidR="00906FEB" w:rsidRPr="00822200" w:rsidRDefault="00780CCE"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 </w:t>
            </w:r>
            <w:r w:rsidR="00906FEB" w:rsidRPr="00822200">
              <w:rPr>
                <w:rFonts w:eastAsia="Calibri" w:cs="Arial"/>
                <w:szCs w:val="24"/>
              </w:rPr>
              <w:t xml:space="preserve">organy władz publicznych lub samorządów zawodowych, uprawnione do wydawania </w:t>
            </w:r>
            <w:r w:rsidR="00906FEB" w:rsidRPr="00822200">
              <w:rPr>
                <w:rFonts w:eastAsia="Calibri" w:cs="Arial"/>
                <w:szCs w:val="24"/>
              </w:rPr>
              <w:lastRenderedPageBreak/>
              <w:t>dokumentów potwierdzających kwalifikację na podstawie ustawy lub rozporządzenia.</w:t>
            </w:r>
          </w:p>
          <w:p w14:paraId="09B79EBC" w14:textId="77777777" w:rsidR="00906FEB" w:rsidRPr="00822200" w:rsidRDefault="00906FE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Poza kwalifikacjami włączonymi do Zintegrowanego Systemu Kwalifikacji,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w:t>
            </w:r>
          </w:p>
          <w:p w14:paraId="645146AB" w14:textId="77777777" w:rsidR="00906FEB" w:rsidRPr="00822200" w:rsidRDefault="00906FE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Do wskaźnika wliczane są również osoby, które w wyniku realizacji projektu nabyły kompetencje, tj. </w:t>
            </w:r>
            <w:r w:rsidRPr="00822200">
              <w:rPr>
                <w:rFonts w:eastAsia="Calibri" w:cs="Arial"/>
                <w:szCs w:val="24"/>
              </w:rPr>
              <w:lastRenderedPageBreak/>
              <w:t xml:space="preserve">wyodrębnione zestawy efektów uczenia się / kształcenia, które zostały sprawdzone w procesie walidacji w sposób zgodny z wymaganiami ustalonymi dla danej kompetencji, odnoszącymi się w szczególności do składających się na nią efektów uczenia się. </w:t>
            </w:r>
          </w:p>
          <w:p w14:paraId="1D110D0D" w14:textId="77777777" w:rsidR="00906FEB" w:rsidRPr="00822200" w:rsidRDefault="00906FE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Fakt nabycia kompetencji jest weryfikowany w ramach następujących etapów: </w:t>
            </w:r>
          </w:p>
          <w:p w14:paraId="322E7A06" w14:textId="77777777" w:rsidR="00906FEB" w:rsidRPr="00822200" w:rsidRDefault="00906FE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a) ETAP I – Zakres – zdefiniowanie w ramach wniosku o dofinansowanie (w przypadku projektów) lub usługi (w przypadku Podmiotowego Systemu Finansowania) grupy docelowej do objęcia wsparciem oraz zakresu tematycznego wsparcia, który będzie poddany ocenie,</w:t>
            </w:r>
          </w:p>
          <w:p w14:paraId="3C0C0AE7" w14:textId="77777777" w:rsidR="00906FEB" w:rsidRPr="00822200" w:rsidRDefault="00906FE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lastRenderedPageBreak/>
              <w:t>b) ETAP II – Wzorzec – określony przed rozpoczęciem form wsparcia i zrealizowany w projekcie/usłudze standard wymagań, tj. efektów uczenia się, które osiągną uczestnicy w wyniku przeprowadzonych działań (wraz z informacjami o kryteriach i metodach weryfikacji tych efektów). Sposób (miejsce) definiowania informacji wymaganych w etapie II powinien zostać określony przez instytucję organizującą konkurs/przeprowadzającą nabór projektów,</w:t>
            </w:r>
          </w:p>
          <w:p w14:paraId="350B07C6" w14:textId="77777777" w:rsidR="00906FEB" w:rsidRPr="00822200" w:rsidRDefault="00906FE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c) ETAP III – Ocena – przeprowadzenie weryfikacji na podstawie kryteriów opisanych we wzorcu (etap II) po zakończeniu wsparcia udzielonego danej osobie, przy zachowaniu rozdzielności </w:t>
            </w:r>
            <w:r w:rsidRPr="00822200">
              <w:rPr>
                <w:rFonts w:eastAsia="Calibri" w:cs="Arial"/>
                <w:szCs w:val="24"/>
              </w:rPr>
              <w:lastRenderedPageBreak/>
              <w:t xml:space="preserve">funkcji pomiędzy procesem kształcenia i walidacji (np. walidacja jest prowadzona przez zewnętrzny podmiot w stosunku do instytucji szkoleniowej lub w jednej instytucji szkoleniowej proces walidacji jest prowadzony przez inną osobę aniżeli proces kształcenia), </w:t>
            </w:r>
          </w:p>
          <w:p w14:paraId="03361831" w14:textId="77777777" w:rsidR="00906FEB" w:rsidRPr="00822200" w:rsidRDefault="00906FE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d) 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 </w:t>
            </w:r>
          </w:p>
          <w:p w14:paraId="4D4ABA6F" w14:textId="77777777" w:rsidR="00906FEB" w:rsidRPr="00822200" w:rsidRDefault="00906FE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lastRenderedPageBreak/>
              <w:t xml:space="preserve">Przez efekty uczenia się należy rozumieć wiedzę, umiejętności oraz kompetencje społeczne nabyte w edukacji formalnej, edukacji </w:t>
            </w:r>
            <w:proofErr w:type="spellStart"/>
            <w:r w:rsidRPr="00822200">
              <w:rPr>
                <w:rFonts w:eastAsia="Calibri" w:cs="Arial"/>
                <w:szCs w:val="24"/>
              </w:rPr>
              <w:t>pozaformalnej</w:t>
            </w:r>
            <w:proofErr w:type="spellEnd"/>
            <w:r w:rsidRPr="00822200">
              <w:rPr>
                <w:rFonts w:eastAsia="Calibri" w:cs="Arial"/>
                <w:szCs w:val="24"/>
              </w:rPr>
              <w:t xml:space="preserve"> lub poprzez uczenie się nieformalne, zgodne z ustalonymi dla danej kwalifikacji lub kompetencji wymaganiami. </w:t>
            </w:r>
          </w:p>
          <w:p w14:paraId="46DF1BBA" w14:textId="77777777" w:rsidR="00906FEB" w:rsidRPr="00822200" w:rsidRDefault="00906FE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Wykazywać należy wyłącznie kwalifikacje lub kompetencje osiągnięte w wyniku udziału w projekcie EFS+. Powinny one być wykazywane tylko raz dla uczestnika/projektu.</w:t>
            </w:r>
          </w:p>
          <w:p w14:paraId="78379286" w14:textId="77777777" w:rsidR="00906FEB" w:rsidRPr="00822200" w:rsidRDefault="00906FE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Do wskaźnika należy wliczać jedynie osoby, które uzyskały kwalifikacje /kompetencje w trakcie lub bezpośrednio po zakończeniu udziału w projekcie, tj. w ciągu czterech tygodni, które minęły od </w:t>
            </w:r>
            <w:r w:rsidRPr="00822200">
              <w:rPr>
                <w:rFonts w:eastAsia="Calibri" w:cs="Arial"/>
                <w:szCs w:val="24"/>
              </w:rPr>
              <w:lastRenderedPageBreak/>
              <w:t>momentu zakończenia udziału w projekcie.</w:t>
            </w:r>
          </w:p>
          <w:p w14:paraId="06FD045C" w14:textId="77777777" w:rsidR="00906FEB" w:rsidRPr="00822200" w:rsidRDefault="00906FE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Jeżeli okres oczekiwania na wyniki walidacji/certyfikacji jest dłuższy niż cztery tygodnie od zakończenia udziału w projekcie, ale egzamin odbył się w trakcie tych czterech tygodni, wówczas można uwzględnić osoby we wskaźniku (po otrzymaniu wyników). We wskaźniku należy uwzględnić jednak tylko te osoby, które otrzymały wyniki do czasu ostatecznego rozliczenia projektu, przy czym walidacja może być przeprowadzona przez nauczyciela/osobę prowadzącą zajęcia.</w:t>
            </w:r>
          </w:p>
          <w:p w14:paraId="7C5A5997" w14:textId="339D03A1" w:rsidR="00CE3683" w:rsidRPr="00822200" w:rsidRDefault="00906FEB"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Dodatkowe informacje na temat monitorowania uzyskiwania kwalifikacji i kompetencji w ramach projektów współfinansowanych z </w:t>
            </w:r>
            <w:r w:rsidRPr="00822200">
              <w:rPr>
                <w:rFonts w:eastAsia="Calibri" w:cs="Arial"/>
                <w:szCs w:val="24"/>
              </w:rPr>
              <w:lastRenderedPageBreak/>
              <w:t>EFS+ zawarte są w załączniku nr 2 do Wytycznych w zakresie monitorowania postępu rzeczowego realizacji programów operacyjnych na lata 2021-2027.</w:t>
            </w:r>
          </w:p>
        </w:tc>
        <w:tc>
          <w:tcPr>
            <w:tcW w:w="2136" w:type="dxa"/>
          </w:tcPr>
          <w:p w14:paraId="312BF443" w14:textId="4C9F5178" w:rsidR="00CE3683" w:rsidRPr="00822200" w:rsidRDefault="00CE3683" w:rsidP="00822200">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822200">
              <w:rPr>
                <w:rFonts w:cs="Arial"/>
                <w:szCs w:val="24"/>
              </w:rPr>
              <w:lastRenderedPageBreak/>
              <w:t>Pomiar wskaźnika odbywać się będzie do 4 tygodni od zakończenia udziału w projekcie danego ucz</w:t>
            </w:r>
            <w:r w:rsidR="00906FEB" w:rsidRPr="00822200">
              <w:rPr>
                <w:rFonts w:cs="Arial"/>
                <w:szCs w:val="24"/>
              </w:rPr>
              <w:t>estnika</w:t>
            </w:r>
            <w:r w:rsidRPr="00822200">
              <w:rPr>
                <w:rFonts w:cs="Arial"/>
                <w:szCs w:val="24"/>
              </w:rPr>
              <w:t xml:space="preserve">. </w:t>
            </w:r>
          </w:p>
          <w:p w14:paraId="7E46724C" w14:textId="77777777" w:rsidR="00CE3683" w:rsidRPr="00822200" w:rsidRDefault="00CE3683"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p>
        </w:tc>
        <w:tc>
          <w:tcPr>
            <w:tcW w:w="2227" w:type="dxa"/>
          </w:tcPr>
          <w:p w14:paraId="6F9BC425" w14:textId="77777777" w:rsidR="00CE3683" w:rsidRPr="00822200" w:rsidRDefault="00CE3683" w:rsidP="00822200">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822200">
              <w:rPr>
                <w:rFonts w:cs="Arial"/>
                <w:szCs w:val="24"/>
              </w:rPr>
              <w:t>Pomiar będzie się odbywał za pomocą następujących narzędzi pomiaru:</w:t>
            </w:r>
          </w:p>
          <w:p w14:paraId="45C0A711" w14:textId="696B8B5D" w:rsidR="00CE3683" w:rsidRPr="00822200" w:rsidRDefault="00906FEB" w:rsidP="00822200">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cs="Arial"/>
                <w:szCs w:val="24"/>
              </w:rPr>
              <w:t>L</w:t>
            </w:r>
            <w:r w:rsidR="00CE3683" w:rsidRPr="00822200">
              <w:rPr>
                <w:rFonts w:cs="Arial"/>
                <w:szCs w:val="24"/>
              </w:rPr>
              <w:t>ista</w:t>
            </w:r>
            <w:r w:rsidRPr="00822200">
              <w:rPr>
                <w:rFonts w:cs="Arial"/>
                <w:szCs w:val="24"/>
              </w:rPr>
              <w:t xml:space="preserve"> uczestników</w:t>
            </w:r>
            <w:r w:rsidR="00CE3683" w:rsidRPr="00822200">
              <w:rPr>
                <w:rFonts w:cs="Arial"/>
                <w:szCs w:val="24"/>
              </w:rPr>
              <w:t xml:space="preserve">, którzy nabyli </w:t>
            </w:r>
            <w:r w:rsidR="00582C3A" w:rsidRPr="00822200">
              <w:rPr>
                <w:rFonts w:cs="Arial"/>
                <w:szCs w:val="24"/>
              </w:rPr>
              <w:t>kwalifikacje,</w:t>
            </w:r>
            <w:r w:rsidR="00CE3683" w:rsidRPr="00822200">
              <w:rPr>
                <w:rFonts w:cs="Arial"/>
                <w:szCs w:val="24"/>
              </w:rPr>
              <w:t xml:space="preserve"> </w:t>
            </w:r>
            <w:r w:rsidR="00582C3A" w:rsidRPr="00822200">
              <w:rPr>
                <w:rFonts w:cs="Arial"/>
                <w:szCs w:val="24"/>
              </w:rPr>
              <w:t>Certyfikaty/ Zaświadczenia/ Dyplomy</w:t>
            </w:r>
          </w:p>
        </w:tc>
      </w:tr>
    </w:tbl>
    <w:p w14:paraId="1D5CC26E" w14:textId="77777777" w:rsidR="00292241" w:rsidRPr="000C2A35" w:rsidRDefault="00292241" w:rsidP="00B62DAF">
      <w:pPr>
        <w:pStyle w:val="Nagwek2"/>
        <w:rPr>
          <w:rFonts w:eastAsia="Calibri"/>
        </w:rPr>
      </w:pPr>
      <w:r w:rsidRPr="000C2A35">
        <w:rPr>
          <w:rFonts w:eastAsia="Calibri"/>
        </w:rPr>
        <w:lastRenderedPageBreak/>
        <w:t>Wskaźniki produktu</w:t>
      </w:r>
      <w:r>
        <w:rPr>
          <w:rFonts w:eastAsia="Calibri"/>
        </w:rPr>
        <w:t xml:space="preserve"> monitoringowe</w:t>
      </w:r>
    </w:p>
    <w:p w14:paraId="0A9BCA1C" w14:textId="77777777" w:rsidR="00292241" w:rsidRPr="000C2A35" w:rsidRDefault="00292241" w:rsidP="00B62DAF">
      <w:pPr>
        <w:pStyle w:val="Nagwek3"/>
        <w:rPr>
          <w:rFonts w:eastAsia="Calibri"/>
        </w:rPr>
      </w:pPr>
      <w:bookmarkStart w:id="2" w:name="_Toc1130774097"/>
      <w:bookmarkStart w:id="3" w:name="_Toc160474747"/>
      <w:bookmarkStart w:id="4" w:name="_Toc1047832607"/>
      <w:bookmarkStart w:id="5" w:name="_Toc1184757723"/>
      <w:bookmarkStart w:id="6" w:name="_Toc531604962"/>
      <w:bookmarkStart w:id="7" w:name="_Toc506610869"/>
      <w:bookmarkStart w:id="8" w:name="_Toc1911743628"/>
      <w:bookmarkStart w:id="9" w:name="_Toc725242045"/>
      <w:bookmarkStart w:id="10" w:name="_Toc844931052"/>
      <w:bookmarkStart w:id="11" w:name="_Toc116595432"/>
      <w:bookmarkStart w:id="12" w:name="_Toc94780246"/>
      <w:r w:rsidRPr="000C2A35">
        <w:rPr>
          <w:rFonts w:eastAsia="Calibri"/>
        </w:rPr>
        <w:t xml:space="preserve">Wskaźniki </w:t>
      </w:r>
      <w:r>
        <w:rPr>
          <w:rFonts w:eastAsia="Calibri"/>
        </w:rPr>
        <w:t xml:space="preserve">monitoringowe </w:t>
      </w:r>
      <w:r w:rsidRPr="000C2A35">
        <w:rPr>
          <w:rFonts w:eastAsia="Calibri"/>
        </w:rPr>
        <w:t>mierzone we wszystkich celach szczegółowych</w:t>
      </w:r>
      <w:bookmarkEnd w:id="2"/>
      <w:bookmarkEnd w:id="3"/>
      <w:bookmarkEnd w:id="4"/>
      <w:bookmarkEnd w:id="5"/>
      <w:bookmarkEnd w:id="6"/>
      <w:bookmarkEnd w:id="7"/>
      <w:bookmarkEnd w:id="8"/>
      <w:bookmarkEnd w:id="9"/>
      <w:bookmarkEnd w:id="10"/>
      <w:bookmarkEnd w:id="11"/>
      <w:bookmarkEnd w:id="12"/>
    </w:p>
    <w:tbl>
      <w:tblPr>
        <w:tblStyle w:val="Tabelasiatki1jasna"/>
        <w:tblW w:w="13994" w:type="dxa"/>
        <w:tblLook w:val="04A0" w:firstRow="1" w:lastRow="0" w:firstColumn="1" w:lastColumn="0" w:noHBand="0" w:noVBand="1"/>
        <w:tblCaption w:val="Wskaźniki monitoringowe mierzone we wszystkich celach szczegółowych"/>
        <w:tblDescription w:val="W tabeli przedstawiono wskaźniki monitoringowe mierzone we wszystkich celach szczegółowych wdrażane przez Departament Europejskiego Funduszu Społecznego w ramach EFS+. "/>
      </w:tblPr>
      <w:tblGrid>
        <w:gridCol w:w="1404"/>
        <w:gridCol w:w="2711"/>
        <w:gridCol w:w="1337"/>
        <w:gridCol w:w="1429"/>
        <w:gridCol w:w="3649"/>
        <w:gridCol w:w="1541"/>
        <w:gridCol w:w="1923"/>
      </w:tblGrid>
      <w:tr w:rsidR="00B62DAF" w:rsidRPr="00B139D0" w14:paraId="2151BAC7" w14:textId="77777777" w:rsidTr="00B62D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7" w:type="dxa"/>
            <w:shd w:val="clear" w:color="auto" w:fill="D9D9D9" w:themeFill="background1" w:themeFillShade="D9"/>
            <w:vAlign w:val="center"/>
          </w:tcPr>
          <w:p w14:paraId="15A546FA" w14:textId="77777777" w:rsidR="00292241" w:rsidRPr="00B139D0" w:rsidRDefault="00292241" w:rsidP="00B139D0">
            <w:pPr>
              <w:spacing w:after="160" w:line="360" w:lineRule="auto"/>
              <w:jc w:val="center"/>
              <w:rPr>
                <w:rFonts w:eastAsia="Calibri" w:cs="Arial"/>
              </w:rPr>
            </w:pPr>
            <w:bookmarkStart w:id="13" w:name="_Hlk130813203"/>
            <w:bookmarkStart w:id="14" w:name="_Hlk130555740"/>
            <w:r w:rsidRPr="00B139D0">
              <w:rPr>
                <w:rFonts w:eastAsia="Calibri" w:cs="Arial"/>
              </w:rPr>
              <w:t>Kod wskaźnika</w:t>
            </w:r>
          </w:p>
        </w:tc>
        <w:tc>
          <w:tcPr>
            <w:tcW w:w="2337" w:type="dxa"/>
            <w:shd w:val="clear" w:color="auto" w:fill="D9D9D9" w:themeFill="background1" w:themeFillShade="D9"/>
            <w:vAlign w:val="center"/>
          </w:tcPr>
          <w:p w14:paraId="00A09E25" w14:textId="3B700780" w:rsidR="00292241" w:rsidRPr="00B139D0" w:rsidRDefault="00292241" w:rsidP="00B139D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B139D0">
              <w:rPr>
                <w:rFonts w:eastAsia="Calibri" w:cs="Arial"/>
              </w:rPr>
              <w:t>Nazwa wskaźnika</w:t>
            </w:r>
          </w:p>
        </w:tc>
        <w:tc>
          <w:tcPr>
            <w:tcW w:w="1116" w:type="dxa"/>
            <w:shd w:val="clear" w:color="auto" w:fill="D9D9D9" w:themeFill="background1" w:themeFillShade="D9"/>
            <w:vAlign w:val="center"/>
          </w:tcPr>
          <w:p w14:paraId="2CDFA332" w14:textId="77777777" w:rsidR="00292241" w:rsidRPr="00B139D0" w:rsidRDefault="00292241" w:rsidP="00B139D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B139D0">
              <w:rPr>
                <w:rFonts w:eastAsia="Calibri" w:cs="Arial"/>
              </w:rPr>
              <w:t>jednostka miary</w:t>
            </w:r>
          </w:p>
        </w:tc>
        <w:tc>
          <w:tcPr>
            <w:tcW w:w="1584" w:type="dxa"/>
            <w:shd w:val="clear" w:color="auto" w:fill="D9D9D9" w:themeFill="background1" w:themeFillShade="D9"/>
            <w:vAlign w:val="center"/>
          </w:tcPr>
          <w:p w14:paraId="1A848005" w14:textId="77777777" w:rsidR="00292241" w:rsidRPr="00B139D0" w:rsidRDefault="00292241" w:rsidP="00B139D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B139D0">
              <w:rPr>
                <w:rFonts w:eastAsia="Calibri" w:cs="Arial"/>
              </w:rPr>
              <w:t>wartość</w:t>
            </w:r>
          </w:p>
        </w:tc>
        <w:tc>
          <w:tcPr>
            <w:tcW w:w="4433" w:type="dxa"/>
            <w:shd w:val="clear" w:color="auto" w:fill="D9D9D9" w:themeFill="background1" w:themeFillShade="D9"/>
            <w:vAlign w:val="center"/>
          </w:tcPr>
          <w:p w14:paraId="68301066" w14:textId="53DC9CA1" w:rsidR="00292241" w:rsidRPr="00B139D0" w:rsidRDefault="00292241" w:rsidP="00B139D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B139D0">
              <w:rPr>
                <w:rFonts w:eastAsia="Calibri" w:cs="Arial"/>
              </w:rPr>
              <w:t>Definicja</w:t>
            </w:r>
          </w:p>
        </w:tc>
        <w:tc>
          <w:tcPr>
            <w:tcW w:w="1737" w:type="dxa"/>
            <w:shd w:val="clear" w:color="auto" w:fill="D9D9D9" w:themeFill="background1" w:themeFillShade="D9"/>
            <w:vAlign w:val="center"/>
          </w:tcPr>
          <w:p w14:paraId="16F213AD" w14:textId="5171B23D" w:rsidR="00292241" w:rsidRPr="00B139D0" w:rsidRDefault="00292241" w:rsidP="00B139D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B139D0">
              <w:rPr>
                <w:rFonts w:eastAsia="Calibri" w:cs="Arial"/>
              </w:rPr>
              <w:t>Źródło i sposób pomiaru</w:t>
            </w:r>
          </w:p>
        </w:tc>
        <w:tc>
          <w:tcPr>
            <w:tcW w:w="1630" w:type="dxa"/>
            <w:shd w:val="clear" w:color="auto" w:fill="D9D9D9" w:themeFill="background1" w:themeFillShade="D9"/>
            <w:vAlign w:val="center"/>
          </w:tcPr>
          <w:p w14:paraId="5FE9A452" w14:textId="77777777" w:rsidR="00292241" w:rsidRPr="00B139D0" w:rsidRDefault="00292241" w:rsidP="00B139D0">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B139D0">
              <w:rPr>
                <w:rFonts w:eastAsia="Calibri" w:cs="Arial"/>
              </w:rPr>
              <w:t>Sposób monitorowania</w:t>
            </w:r>
          </w:p>
        </w:tc>
      </w:tr>
      <w:bookmarkEnd w:id="13"/>
      <w:tr w:rsidR="00B62DAF" w:rsidRPr="00B139D0" w14:paraId="5B0092F0" w14:textId="77777777" w:rsidTr="00B62DAF">
        <w:tc>
          <w:tcPr>
            <w:cnfStyle w:val="001000000000" w:firstRow="0" w:lastRow="0" w:firstColumn="1" w:lastColumn="0" w:oddVBand="0" w:evenVBand="0" w:oddHBand="0" w:evenHBand="0" w:firstRowFirstColumn="0" w:firstRowLastColumn="0" w:lastRowFirstColumn="0" w:lastRowLastColumn="0"/>
            <w:tcW w:w="1157" w:type="dxa"/>
          </w:tcPr>
          <w:p w14:paraId="577727BA" w14:textId="77777777" w:rsidR="00292241" w:rsidRPr="00B139D0" w:rsidRDefault="00292241" w:rsidP="00B139D0">
            <w:pPr>
              <w:spacing w:after="160" w:line="360" w:lineRule="auto"/>
              <w:rPr>
                <w:rFonts w:eastAsia="Calibri" w:cs="Arial"/>
              </w:rPr>
            </w:pPr>
            <w:r w:rsidRPr="00B139D0">
              <w:rPr>
                <w:rFonts w:eastAsia="Calibri" w:cs="Arial"/>
              </w:rPr>
              <w:t>WLWK-PL0CO01</w:t>
            </w:r>
          </w:p>
        </w:tc>
        <w:tc>
          <w:tcPr>
            <w:tcW w:w="2337" w:type="dxa"/>
          </w:tcPr>
          <w:p w14:paraId="113BF6B2" w14:textId="77777777" w:rsidR="00292241" w:rsidRPr="00B139D0" w:rsidRDefault="00292241" w:rsidP="00B139D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B139D0">
              <w:rPr>
                <w:rFonts w:eastAsia="Calibri" w:cs="Arial"/>
              </w:rPr>
              <w:t>Liczba projektów, w których sfinansowano koszty racjonalnych usprawnień dla osób z niepełnosprawnościami</w:t>
            </w:r>
          </w:p>
        </w:tc>
        <w:tc>
          <w:tcPr>
            <w:tcW w:w="1116" w:type="dxa"/>
          </w:tcPr>
          <w:p w14:paraId="4473C243" w14:textId="77777777" w:rsidR="00292241" w:rsidRPr="00B139D0" w:rsidRDefault="00292241" w:rsidP="00B139D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B139D0">
              <w:rPr>
                <w:rFonts w:eastAsia="Calibri" w:cs="Arial"/>
              </w:rPr>
              <w:t>sztuki</w:t>
            </w:r>
          </w:p>
        </w:tc>
        <w:tc>
          <w:tcPr>
            <w:tcW w:w="1584" w:type="dxa"/>
          </w:tcPr>
          <w:p w14:paraId="27F055A4" w14:textId="157FE37E" w:rsidR="00292241" w:rsidRPr="00B139D0" w:rsidRDefault="00292B14" w:rsidP="00B139D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B139D0">
              <w:rPr>
                <w:rFonts w:eastAsia="Calibri" w:cs="Arial"/>
              </w:rPr>
              <w:t>Wartość docelowa nie została określona - wskaźnik mierzony na etapie realizacji projektu.</w:t>
            </w:r>
          </w:p>
        </w:tc>
        <w:tc>
          <w:tcPr>
            <w:tcW w:w="4433" w:type="dxa"/>
          </w:tcPr>
          <w:p w14:paraId="4A122B20" w14:textId="77777777" w:rsidR="00292241" w:rsidRPr="00B139D0" w:rsidRDefault="00292241" w:rsidP="00B139D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B139D0">
              <w:rPr>
                <w:rFonts w:eastAsia="Calibri" w:cs="Arial"/>
              </w:rPr>
              <w:t xml:space="preserve">Racjonalne usprawnienie oznacza konieczne i odpowiednie zmiany oraz dostosowania, nie nakładające nieproporcjonalnego lub nadmiernego obciążenia, rozpatrywane osobno dla każdego konkretnego przypadku, w celu zapewnienia osobom z niepełnosprawnościami </w:t>
            </w:r>
            <w:r w:rsidRPr="00B139D0">
              <w:rPr>
                <w:rFonts w:eastAsia="Calibri" w:cs="Arial"/>
              </w:rPr>
              <w:lastRenderedPageBreak/>
              <w:t>możliwości korzystania z wszelkich praw człowieka i podstawowych wolności oraz ich wykonywania na zasadzie równości z innymi osobami.</w:t>
            </w:r>
          </w:p>
          <w:p w14:paraId="360D4D75" w14:textId="77777777" w:rsidR="00292241" w:rsidRPr="00B139D0" w:rsidRDefault="00292241" w:rsidP="00B139D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B139D0">
              <w:rPr>
                <w:rFonts w:eastAsia="Calibri" w:cs="Arial"/>
              </w:rPr>
              <w:t>Wskaźnik mierzony w momencie rozliczenia wydatku związanego z racjonalnymi usprawnieniami w ramach danego projektu.</w:t>
            </w:r>
          </w:p>
          <w:p w14:paraId="37614B62" w14:textId="77777777" w:rsidR="00292241" w:rsidRPr="00B139D0" w:rsidRDefault="00292241" w:rsidP="00B139D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B139D0">
              <w:rPr>
                <w:rFonts w:eastAsia="Calibri" w:cs="Arial"/>
              </w:rPr>
              <w:t xml:space="preserve">Przykłady racjonalnych usprawnień: tłumacz języka migowego, transport niskopodłogowy, dostosowanie infrastruktury (nie tylko budynku, ale też dostosowanie infrastruktury komputerowej np. programy powiększające, mówiące, drukarki materiałów w alfabecie Braille'a), osoby </w:t>
            </w:r>
            <w:r w:rsidRPr="00B139D0">
              <w:rPr>
                <w:rFonts w:eastAsia="Calibri" w:cs="Arial"/>
              </w:rPr>
              <w:lastRenderedPageBreak/>
              <w:t>asystujące, odpowiednie dostosowanie wyżywienia.</w:t>
            </w:r>
          </w:p>
          <w:p w14:paraId="2A95CC30" w14:textId="77777777" w:rsidR="00292241" w:rsidRPr="00B139D0" w:rsidRDefault="00292241" w:rsidP="00B139D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B139D0">
              <w:rPr>
                <w:rFonts w:eastAsia="Calibri" w:cs="Arial"/>
              </w:rPr>
              <w:t>Do wskaźnika powinny zostać wliczone zarówno projekty ogólnodostępne, w których sfinansowano koszty racjonalnych usprawnień, jak i dedykowane (zgodnie z kategoryzacją projektów z Wytycznych w zakresie realizacji zasad równościowych w ramach funduszy unijnych na lata 2021-2027).</w:t>
            </w:r>
          </w:p>
          <w:p w14:paraId="4FC72241" w14:textId="77777777" w:rsidR="00292241" w:rsidRPr="00B139D0" w:rsidRDefault="00292241" w:rsidP="00B139D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B139D0">
              <w:rPr>
                <w:rFonts w:eastAsia="Calibri" w:cs="Arial"/>
              </w:rPr>
              <w:t xml:space="preserve">Na poziomie projektu wskaźnik może przyjmować maksymalną wartość 1 - co oznacza jeden projekt, w którym sfinansowano koszty racjonalnych usprawnień dla osób z niepełnosprawnościami. Liczba sfinansowanych racjonalnych </w:t>
            </w:r>
            <w:r w:rsidRPr="00B139D0">
              <w:rPr>
                <w:rFonts w:eastAsia="Calibri" w:cs="Arial"/>
              </w:rPr>
              <w:lastRenderedPageBreak/>
              <w:t>usprawnień, w ramach projektu, nie ma znaczenia dla wartości wykazywanej we wskaźniku.</w:t>
            </w:r>
          </w:p>
          <w:p w14:paraId="257A0922" w14:textId="77777777" w:rsidR="00292241" w:rsidRPr="00B139D0" w:rsidRDefault="00292241" w:rsidP="00B139D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B139D0">
              <w:rPr>
                <w:rFonts w:eastAsia="Calibri" w:cs="Arial"/>
              </w:rPr>
              <w:t>Definicja na podstawie: Wytyczne w zakresie realizacji zasad równościowych w ramach funduszy unijnych na lata 2021-2027.</w:t>
            </w:r>
          </w:p>
        </w:tc>
        <w:tc>
          <w:tcPr>
            <w:tcW w:w="1737" w:type="dxa"/>
          </w:tcPr>
          <w:p w14:paraId="55BD17F2" w14:textId="77777777" w:rsidR="00292241" w:rsidRPr="00B139D0" w:rsidRDefault="00292241" w:rsidP="00B139D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B139D0">
              <w:rPr>
                <w:rFonts w:eastAsia="Calibri" w:cs="Arial"/>
              </w:rPr>
              <w:lastRenderedPageBreak/>
              <w:t>Pomiar wskaźnika odbywać się będzie na etapie realizacji projektu.</w:t>
            </w:r>
          </w:p>
        </w:tc>
        <w:tc>
          <w:tcPr>
            <w:tcW w:w="1630" w:type="dxa"/>
          </w:tcPr>
          <w:p w14:paraId="524C7A67" w14:textId="248F57EF" w:rsidR="00292241" w:rsidRPr="00B139D0" w:rsidRDefault="00EE5892" w:rsidP="00B139D0">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B139D0">
              <w:rPr>
                <w:rFonts w:eastAsia="Calibri" w:cs="Arial"/>
              </w:rPr>
              <w:t>Wskaźnik mierzony w momencie rozliczenia wydatku na podstawie dokumentów dostępnych na etapie realizacji.</w:t>
            </w:r>
          </w:p>
        </w:tc>
      </w:tr>
      <w:tr w:rsidR="00B62DAF" w:rsidRPr="00B139D0" w14:paraId="34C3069D" w14:textId="77777777" w:rsidTr="00B62DAF">
        <w:tc>
          <w:tcPr>
            <w:cnfStyle w:val="001000000000" w:firstRow="0" w:lastRow="0" w:firstColumn="1" w:lastColumn="0" w:oddVBand="0" w:evenVBand="0" w:oddHBand="0" w:evenHBand="0" w:firstRowFirstColumn="0" w:firstRowLastColumn="0" w:lastRowFirstColumn="0" w:lastRowLastColumn="0"/>
            <w:tcW w:w="1157" w:type="dxa"/>
          </w:tcPr>
          <w:p w14:paraId="4011F301" w14:textId="77777777" w:rsidR="00292241" w:rsidRPr="00B139D0" w:rsidRDefault="00292241" w:rsidP="00B139D0">
            <w:pPr>
              <w:spacing w:after="160" w:line="360" w:lineRule="auto"/>
              <w:rPr>
                <w:rFonts w:eastAsia="Calibri" w:cs="Arial"/>
              </w:rPr>
            </w:pPr>
            <w:r w:rsidRPr="00B139D0">
              <w:rPr>
                <w:rFonts w:eastAsia="Calibri" w:cs="Arial"/>
              </w:rPr>
              <w:lastRenderedPageBreak/>
              <w:t>WLWK-PL0CO02</w:t>
            </w:r>
          </w:p>
        </w:tc>
        <w:tc>
          <w:tcPr>
            <w:tcW w:w="2337" w:type="dxa"/>
          </w:tcPr>
          <w:p w14:paraId="0BA443D6" w14:textId="77777777" w:rsidR="00292241" w:rsidRPr="00B139D0" w:rsidRDefault="00292241" w:rsidP="00B139D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B139D0">
              <w:rPr>
                <w:rFonts w:eastAsia="Calibri" w:cs="Arial"/>
              </w:rPr>
              <w:t>Liczba obiektów dostosowanych do potrzeb osób z niepełnosprawnościami</w:t>
            </w:r>
          </w:p>
        </w:tc>
        <w:tc>
          <w:tcPr>
            <w:tcW w:w="1116" w:type="dxa"/>
          </w:tcPr>
          <w:p w14:paraId="37CB0D62" w14:textId="77777777" w:rsidR="00292241" w:rsidRPr="00B139D0" w:rsidRDefault="00292241" w:rsidP="00B139D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B139D0">
              <w:rPr>
                <w:rFonts w:eastAsia="Calibri" w:cs="Arial"/>
              </w:rPr>
              <w:t>sztuki</w:t>
            </w:r>
          </w:p>
        </w:tc>
        <w:tc>
          <w:tcPr>
            <w:tcW w:w="1584" w:type="dxa"/>
          </w:tcPr>
          <w:p w14:paraId="03CD3BA0" w14:textId="7059DBA1" w:rsidR="00292241" w:rsidRPr="00B139D0" w:rsidRDefault="00292B14" w:rsidP="00B139D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B139D0">
              <w:rPr>
                <w:rFonts w:eastAsia="Calibri" w:cs="Arial"/>
              </w:rPr>
              <w:t>Wartość docelowa nie została określona - wskaźnik mierzony na etapie realizacji projektu.</w:t>
            </w:r>
          </w:p>
        </w:tc>
        <w:tc>
          <w:tcPr>
            <w:tcW w:w="4433" w:type="dxa"/>
          </w:tcPr>
          <w:p w14:paraId="7375267D" w14:textId="77777777" w:rsidR="00292241" w:rsidRPr="00B139D0" w:rsidRDefault="00292241" w:rsidP="00B139D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B139D0">
              <w:rPr>
                <w:rFonts w:eastAsia="Calibri" w:cs="Arial"/>
              </w:rPr>
              <w:t xml:space="preserve">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w:t>
            </w:r>
            <w:r w:rsidRPr="00B139D0">
              <w:rPr>
                <w:rFonts w:eastAsia="Calibri" w:cs="Arial"/>
              </w:rPr>
              <w:lastRenderedPageBreak/>
              <w:t>szczególności ruchowymi czy sensorycznymi.</w:t>
            </w:r>
            <w:r w:rsidRPr="00B139D0">
              <w:rPr>
                <w:rFonts w:eastAsia="Calibri" w:cs="Arial"/>
              </w:rPr>
              <w:br/>
            </w:r>
          </w:p>
          <w:p w14:paraId="7052808B" w14:textId="77777777" w:rsidR="00292241" w:rsidRPr="00B139D0" w:rsidRDefault="00292241" w:rsidP="00B139D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B139D0">
              <w:rPr>
                <w:rFonts w:eastAsia="Calibri" w:cs="Arial"/>
              </w:rPr>
              <w:t>Jako obiekty należy rozumieć konstrukcje połączone z gruntem w sposób trwały, wykonane z materiałów budowlanych i elementów składowych, będące wynikiem prac budowlanych (wg. def. PKOB).</w:t>
            </w:r>
          </w:p>
          <w:p w14:paraId="281A4D82" w14:textId="77777777" w:rsidR="00292241" w:rsidRPr="00B139D0" w:rsidRDefault="00292241" w:rsidP="00B139D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B139D0">
              <w:rPr>
                <w:rFonts w:eastAsia="Calibri" w:cs="Arial"/>
              </w:rPr>
              <w:t xml:space="preserve">Należy podać liczbę obiektów, a nie sprzętów, urządzeń itp., w które obiekty zaopatrzono. Jeśli instytucja, zakład itp. składa się z kilku obiektów, należy zliczyć wszystkie, które dostosowano do potrzeb osób z niepełnosprawnościami. </w:t>
            </w:r>
          </w:p>
          <w:p w14:paraId="141C3531" w14:textId="77777777" w:rsidR="00292241" w:rsidRPr="00B139D0" w:rsidRDefault="00292241" w:rsidP="00B139D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B139D0">
              <w:rPr>
                <w:rFonts w:eastAsia="Calibri" w:cs="Arial"/>
              </w:rPr>
              <w:lastRenderedPageBreak/>
              <w:t>Wskaźnik mierzony w momencie rozliczenia wydatku związanego z wyposażeniem obiektów w rozwiązania służące osobom z niepełnosprawnościami w ramach danego projektu.</w:t>
            </w:r>
          </w:p>
        </w:tc>
        <w:tc>
          <w:tcPr>
            <w:tcW w:w="1737" w:type="dxa"/>
          </w:tcPr>
          <w:p w14:paraId="19315EC9" w14:textId="77777777" w:rsidR="00292241" w:rsidRPr="00B139D0" w:rsidRDefault="00292241" w:rsidP="00B139D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B139D0">
              <w:rPr>
                <w:rFonts w:eastAsia="Calibri" w:cs="Arial"/>
              </w:rPr>
              <w:lastRenderedPageBreak/>
              <w:t>Pomiar wskaźnika odbywać się będzie na etapie realizacji projektu.</w:t>
            </w:r>
          </w:p>
        </w:tc>
        <w:tc>
          <w:tcPr>
            <w:tcW w:w="1630" w:type="dxa"/>
          </w:tcPr>
          <w:p w14:paraId="160E1186" w14:textId="418976E9" w:rsidR="00292241" w:rsidRPr="00B139D0" w:rsidRDefault="00EE5892" w:rsidP="00B139D0">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B139D0">
              <w:rPr>
                <w:rFonts w:eastAsia="Calibri" w:cs="Arial"/>
              </w:rPr>
              <w:t>Wskaźnik mierzony w momencie rozliczenia wydatku na podstawie dokumentów dostępnych na etapie realizacji.</w:t>
            </w:r>
          </w:p>
        </w:tc>
      </w:tr>
      <w:bookmarkEnd w:id="14"/>
    </w:tbl>
    <w:p w14:paraId="1DF044A1" w14:textId="77777777" w:rsidR="00292241" w:rsidRPr="000C2A35" w:rsidRDefault="00292241" w:rsidP="00292241">
      <w:pPr>
        <w:spacing w:after="160"/>
        <w:rPr>
          <w:rFonts w:ascii="Calibri" w:eastAsia="Calibri" w:hAnsi="Calibri" w:cs="Times New Roman"/>
          <w:b/>
          <w:bCs/>
          <w:sz w:val="22"/>
        </w:rPr>
      </w:pPr>
    </w:p>
    <w:p w14:paraId="25859155" w14:textId="77777777" w:rsidR="00292241" w:rsidRPr="000C2A35" w:rsidRDefault="00292241" w:rsidP="00B62DAF">
      <w:pPr>
        <w:pStyle w:val="Nagwek3"/>
        <w:rPr>
          <w:rFonts w:eastAsia="Calibri"/>
        </w:rPr>
      </w:pPr>
      <w:r>
        <w:rPr>
          <w:rFonts w:eastAsia="Calibri"/>
        </w:rPr>
        <w:t>Wskaźniki monitoringowe</w:t>
      </w:r>
      <w:r w:rsidRPr="000C2A35">
        <w:rPr>
          <w:rFonts w:eastAsia="Calibri"/>
        </w:rPr>
        <w:t xml:space="preserve"> dotyczące uczestników</w:t>
      </w:r>
    </w:p>
    <w:tbl>
      <w:tblPr>
        <w:tblStyle w:val="Tabelasiatki1jasna"/>
        <w:tblW w:w="14029" w:type="dxa"/>
        <w:tblLayout w:type="fixed"/>
        <w:tblLook w:val="04A0" w:firstRow="1" w:lastRow="0" w:firstColumn="1" w:lastColumn="0" w:noHBand="0" w:noVBand="1"/>
        <w:tblCaption w:val="Wskaźniki monitoringowe dotyczące uczestników. "/>
        <w:tblDescription w:val="W tabeli przedstawiono wskaźniki monitoringowe dotyczące uczestników wdrażane przez Departament Europejskiego Funduszu Społecznego w ramach EFS+. "/>
      </w:tblPr>
      <w:tblGrid>
        <w:gridCol w:w="988"/>
        <w:gridCol w:w="1842"/>
        <w:gridCol w:w="1134"/>
        <w:gridCol w:w="1560"/>
        <w:gridCol w:w="4961"/>
        <w:gridCol w:w="1701"/>
        <w:gridCol w:w="1843"/>
      </w:tblGrid>
      <w:tr w:rsidR="00292241" w:rsidRPr="00822200" w14:paraId="4B99BADD" w14:textId="77777777" w:rsidTr="00B62D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shd w:val="clear" w:color="auto" w:fill="D9D9D9" w:themeFill="background1" w:themeFillShade="D9"/>
            <w:vAlign w:val="center"/>
          </w:tcPr>
          <w:p w14:paraId="1025303D" w14:textId="77777777" w:rsidR="00292241" w:rsidRPr="00822200" w:rsidRDefault="00292241" w:rsidP="00822200">
            <w:pPr>
              <w:spacing w:after="160" w:line="360" w:lineRule="auto"/>
              <w:jc w:val="center"/>
              <w:rPr>
                <w:rFonts w:eastAsia="Calibri" w:cs="Arial"/>
                <w:szCs w:val="24"/>
              </w:rPr>
            </w:pPr>
            <w:r w:rsidRPr="00822200">
              <w:rPr>
                <w:rFonts w:eastAsia="Calibri" w:cs="Arial"/>
                <w:szCs w:val="24"/>
              </w:rPr>
              <w:t>Kod wskaźnika</w:t>
            </w:r>
          </w:p>
        </w:tc>
        <w:tc>
          <w:tcPr>
            <w:tcW w:w="1842" w:type="dxa"/>
            <w:shd w:val="clear" w:color="auto" w:fill="D9D9D9" w:themeFill="background1" w:themeFillShade="D9"/>
            <w:vAlign w:val="center"/>
          </w:tcPr>
          <w:p w14:paraId="7DB85D23" w14:textId="57532512" w:rsidR="00292241" w:rsidRPr="00822200" w:rsidRDefault="00292241"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Nazwa wskaźnika</w:t>
            </w:r>
          </w:p>
        </w:tc>
        <w:tc>
          <w:tcPr>
            <w:tcW w:w="1134" w:type="dxa"/>
            <w:shd w:val="clear" w:color="auto" w:fill="D9D9D9" w:themeFill="background1" w:themeFillShade="D9"/>
            <w:vAlign w:val="center"/>
          </w:tcPr>
          <w:p w14:paraId="24DA04C6" w14:textId="77777777" w:rsidR="00292241" w:rsidRPr="00822200" w:rsidRDefault="00292241"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jednostka miary</w:t>
            </w:r>
          </w:p>
        </w:tc>
        <w:tc>
          <w:tcPr>
            <w:tcW w:w="1560" w:type="dxa"/>
            <w:shd w:val="clear" w:color="auto" w:fill="D9D9D9" w:themeFill="background1" w:themeFillShade="D9"/>
            <w:vAlign w:val="center"/>
          </w:tcPr>
          <w:p w14:paraId="5AF5D98C" w14:textId="77777777" w:rsidR="00292241" w:rsidRPr="00822200" w:rsidRDefault="00292241"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wartość</w:t>
            </w:r>
          </w:p>
        </w:tc>
        <w:tc>
          <w:tcPr>
            <w:tcW w:w="4961" w:type="dxa"/>
            <w:shd w:val="clear" w:color="auto" w:fill="D9D9D9" w:themeFill="background1" w:themeFillShade="D9"/>
            <w:vAlign w:val="center"/>
          </w:tcPr>
          <w:p w14:paraId="24A7C3DA" w14:textId="2BC1F91C" w:rsidR="00292241" w:rsidRPr="00822200" w:rsidRDefault="00292241"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Definicja</w:t>
            </w:r>
          </w:p>
        </w:tc>
        <w:tc>
          <w:tcPr>
            <w:tcW w:w="1701" w:type="dxa"/>
            <w:shd w:val="clear" w:color="auto" w:fill="D9D9D9" w:themeFill="background1" w:themeFillShade="D9"/>
            <w:vAlign w:val="center"/>
          </w:tcPr>
          <w:p w14:paraId="53113C90" w14:textId="4B7E6B48" w:rsidR="00292241" w:rsidRPr="00822200" w:rsidRDefault="00292241"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Źródło i sposób pomiaru</w:t>
            </w:r>
          </w:p>
        </w:tc>
        <w:tc>
          <w:tcPr>
            <w:tcW w:w="1843" w:type="dxa"/>
            <w:shd w:val="clear" w:color="auto" w:fill="D9D9D9" w:themeFill="background1" w:themeFillShade="D9"/>
            <w:vAlign w:val="center"/>
          </w:tcPr>
          <w:p w14:paraId="574D4D42" w14:textId="77777777" w:rsidR="00292241" w:rsidRPr="00822200" w:rsidRDefault="00292241" w:rsidP="00822200">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Sposób monitorowania</w:t>
            </w:r>
          </w:p>
        </w:tc>
      </w:tr>
      <w:tr w:rsidR="00292241" w:rsidRPr="00822200" w14:paraId="5AD13959" w14:textId="77777777" w:rsidTr="00B62DAF">
        <w:tc>
          <w:tcPr>
            <w:cnfStyle w:val="001000000000" w:firstRow="0" w:lastRow="0" w:firstColumn="1" w:lastColumn="0" w:oddVBand="0" w:evenVBand="0" w:oddHBand="0" w:evenHBand="0" w:firstRowFirstColumn="0" w:firstRowLastColumn="0" w:lastRowFirstColumn="0" w:lastRowLastColumn="0"/>
            <w:tcW w:w="988" w:type="dxa"/>
          </w:tcPr>
          <w:p w14:paraId="63A27A9D" w14:textId="77777777" w:rsidR="00292241" w:rsidRPr="00822200" w:rsidRDefault="00292241" w:rsidP="00822200">
            <w:pPr>
              <w:spacing w:after="160" w:line="360" w:lineRule="auto"/>
              <w:rPr>
                <w:rFonts w:eastAsia="Calibri" w:cs="Arial"/>
                <w:szCs w:val="24"/>
              </w:rPr>
            </w:pPr>
            <w:r w:rsidRPr="00822200">
              <w:rPr>
                <w:rFonts w:eastAsia="Calibri" w:cs="Arial"/>
                <w:szCs w:val="24"/>
              </w:rPr>
              <w:t>WLWK-EECO12</w:t>
            </w:r>
          </w:p>
        </w:tc>
        <w:tc>
          <w:tcPr>
            <w:tcW w:w="1842" w:type="dxa"/>
          </w:tcPr>
          <w:p w14:paraId="6B46BA11"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Liczba osób z niepełnosprawnościami objętych wsparciem w programie</w:t>
            </w:r>
          </w:p>
        </w:tc>
        <w:tc>
          <w:tcPr>
            <w:tcW w:w="1134" w:type="dxa"/>
          </w:tcPr>
          <w:p w14:paraId="135D00A2"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osoby</w:t>
            </w:r>
          </w:p>
        </w:tc>
        <w:tc>
          <w:tcPr>
            <w:tcW w:w="1560" w:type="dxa"/>
          </w:tcPr>
          <w:p w14:paraId="71EE1466" w14:textId="14753EF0" w:rsidR="00292241" w:rsidRPr="00822200" w:rsidRDefault="00292B14"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Wartość docelowa nie została określona - wskaźnik mierzony na etapie </w:t>
            </w:r>
            <w:r w:rsidRPr="00822200">
              <w:rPr>
                <w:rFonts w:eastAsia="Calibri" w:cs="Arial"/>
                <w:szCs w:val="24"/>
              </w:rPr>
              <w:lastRenderedPageBreak/>
              <w:t>realizacji projektu.</w:t>
            </w:r>
          </w:p>
        </w:tc>
        <w:tc>
          <w:tcPr>
            <w:tcW w:w="4961" w:type="dxa"/>
          </w:tcPr>
          <w:p w14:paraId="55918D2E"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lastRenderedPageBreak/>
              <w:t xml:space="preserve">Za osoby z niepełnosprawnościami uznaje się osoby niepełnosprawne w świetle przepisów ustawy z dnia 27 sierpnia 1997 r. o rehabilitacji zawodowej i społecznej oraz zatrudnianiu osób niepełnosprawnych, a także osoby z zaburzeniami psychicznymi, o których mowa w ustawie z dnia 19 sierpnia 1994 r. o ochronie zdrowia psychicznego tj. osoby z odpowiednim orzeczeniem lub </w:t>
            </w:r>
            <w:r w:rsidRPr="00822200">
              <w:rPr>
                <w:rFonts w:eastAsia="Calibri" w:cs="Arial"/>
                <w:szCs w:val="24"/>
              </w:rPr>
              <w:lastRenderedPageBreak/>
              <w:t>innym dokumentem poświadczającym stan zdrowia.</w:t>
            </w:r>
          </w:p>
          <w:p w14:paraId="4BE20EED" w14:textId="77777777" w:rsidR="00292241" w:rsidRPr="00822200" w:rsidRDefault="00292241" w:rsidP="00822200">
            <w:pPr>
              <w:spacing w:after="120" w:line="360" w:lineRule="auto"/>
              <w:cnfStyle w:val="000000000000" w:firstRow="0" w:lastRow="0" w:firstColumn="0" w:lastColumn="0" w:oddVBand="0" w:evenVBand="0" w:oddHBand="0" w:evenHBand="0" w:firstRowFirstColumn="0" w:firstRowLastColumn="0" w:lastRowFirstColumn="0" w:lastRowLastColumn="0"/>
              <w:rPr>
                <w:rFonts w:eastAsia="Times New Roman" w:cs="Arial"/>
                <w:szCs w:val="24"/>
                <w:lang w:eastAsia="pl-PL"/>
              </w:rPr>
            </w:pPr>
            <w:r w:rsidRPr="00822200">
              <w:rPr>
                <w:rFonts w:eastAsia="Times New Roman" w:cs="Arial"/>
                <w:szCs w:val="24"/>
                <w:lang w:eastAsia="pl-PL"/>
              </w:rPr>
              <w:t>Przynależność do grupy osób z niepełnosprawnościami określana jest w momencie rozpoczęcia udziału w projekcie, tj. w chwili rozpoczęcia udziału w pierwszej formie wsparcia w projekcie.</w:t>
            </w:r>
          </w:p>
          <w:p w14:paraId="3A63858C" w14:textId="77777777" w:rsidR="00292241" w:rsidRPr="00822200" w:rsidRDefault="00292241" w:rsidP="00822200">
            <w:pPr>
              <w:spacing w:after="120" w:line="360" w:lineRule="auto"/>
              <w:cnfStyle w:val="000000000000" w:firstRow="0" w:lastRow="0" w:firstColumn="0" w:lastColumn="0" w:oddVBand="0" w:evenVBand="0" w:oddHBand="0" w:evenHBand="0" w:firstRowFirstColumn="0" w:firstRowLastColumn="0" w:lastRowFirstColumn="0" w:lastRowLastColumn="0"/>
              <w:rPr>
                <w:rFonts w:eastAsia="Times New Roman" w:cs="Arial"/>
                <w:szCs w:val="24"/>
                <w:lang w:eastAsia="pl-PL"/>
              </w:rPr>
            </w:pPr>
            <w:r w:rsidRPr="00822200">
              <w:rPr>
                <w:rFonts w:eastAsia="Times New Roman" w:cs="Arial"/>
                <w:szCs w:val="24"/>
                <w:lang w:eastAsia="pl-PL"/>
              </w:rPr>
              <w:t xml:space="preserve">W przypadku, gdy niepełnosprawność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w:t>
            </w:r>
            <w:r w:rsidRPr="00822200">
              <w:rPr>
                <w:rFonts w:eastAsia="Times New Roman" w:cs="Arial"/>
                <w:szCs w:val="24"/>
                <w:lang w:eastAsia="pl-PL"/>
              </w:rPr>
              <w:lastRenderedPageBreak/>
              <w:t>Najlepiej, by szacunki dotyczące uczestników z niepełnosprawnościami w ogólnej liczbie uczestników w podziale na płeć były uzyskiwane za pomocą metod, które można statystycznie uzasadnić. Jeśli nie jest to możliwe, należy wykorzystać tzw. wiarygodne szacunki (różne metody szacowania opisano w załączniku do Wytycznych monitorowania). Wybraną metodę szacowania należy udokumentować. Uwaga: w danym projekcie może być stosowana wyłącznie jedna metoda monitorowania tego wskaźnika tj. szacowanie lub zbieranie danych osobowych dot. tego wskaźnika od uczestników.</w:t>
            </w:r>
            <w:r w:rsidRPr="00822200" w:rsidDel="001852A9">
              <w:rPr>
                <w:rFonts w:eastAsia="Times New Roman" w:cs="Arial"/>
                <w:szCs w:val="24"/>
                <w:lang w:eastAsia="pl-PL"/>
              </w:rPr>
              <w:t xml:space="preserve"> </w:t>
            </w:r>
          </w:p>
          <w:p w14:paraId="17071178"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Times New Roman" w:cs="Arial"/>
                <w:szCs w:val="24"/>
                <w:lang w:eastAsia="pl-PL"/>
              </w:rPr>
              <w:t>Zasady dotyczące możliwości wykorzystania wiarygodnych szacunków przez beneficjentów w danym naborze określane są przez właściwą dla programu Instytucję Zarządzającą.</w:t>
            </w:r>
          </w:p>
        </w:tc>
        <w:tc>
          <w:tcPr>
            <w:tcW w:w="1701" w:type="dxa"/>
          </w:tcPr>
          <w:p w14:paraId="0535F89F"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lastRenderedPageBreak/>
              <w:t>Pomiar wskaźnika odbywać się będzie na etapie realizacji projektu.</w:t>
            </w:r>
          </w:p>
        </w:tc>
        <w:tc>
          <w:tcPr>
            <w:tcW w:w="1843" w:type="dxa"/>
          </w:tcPr>
          <w:p w14:paraId="028F9EF1" w14:textId="0868FEAD" w:rsidR="00292241" w:rsidRPr="00822200" w:rsidRDefault="00EE5892" w:rsidP="00822200">
            <w:pPr>
              <w:spacing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Wskaźnik mierzony w momencie objęcia wsparciem  w projekcie osób z niepełnosprawnościami na </w:t>
            </w:r>
            <w:r w:rsidRPr="00822200">
              <w:rPr>
                <w:rFonts w:eastAsia="Calibri" w:cs="Arial"/>
                <w:szCs w:val="24"/>
              </w:rPr>
              <w:lastRenderedPageBreak/>
              <w:t>podstawie dokumentów dostępnych na etapie realizacji.</w:t>
            </w:r>
          </w:p>
        </w:tc>
      </w:tr>
      <w:tr w:rsidR="00292241" w:rsidRPr="00822200" w14:paraId="66468284" w14:textId="77777777" w:rsidTr="00B62DAF">
        <w:tc>
          <w:tcPr>
            <w:cnfStyle w:val="001000000000" w:firstRow="0" w:lastRow="0" w:firstColumn="1" w:lastColumn="0" w:oddVBand="0" w:evenVBand="0" w:oddHBand="0" w:evenHBand="0" w:firstRowFirstColumn="0" w:firstRowLastColumn="0" w:lastRowFirstColumn="0" w:lastRowLastColumn="0"/>
            <w:tcW w:w="988" w:type="dxa"/>
          </w:tcPr>
          <w:p w14:paraId="2791F536" w14:textId="77777777" w:rsidR="00292241" w:rsidRPr="00822200" w:rsidRDefault="00292241" w:rsidP="00822200">
            <w:pPr>
              <w:spacing w:line="360" w:lineRule="auto"/>
              <w:rPr>
                <w:rFonts w:eastAsia="Calibri" w:cs="Arial"/>
                <w:szCs w:val="24"/>
              </w:rPr>
            </w:pPr>
            <w:r w:rsidRPr="00822200">
              <w:rPr>
                <w:rFonts w:eastAsia="Calibri" w:cs="Arial"/>
                <w:szCs w:val="24"/>
              </w:rPr>
              <w:lastRenderedPageBreak/>
              <w:t>WLWK-EECO13</w:t>
            </w:r>
          </w:p>
        </w:tc>
        <w:tc>
          <w:tcPr>
            <w:tcW w:w="1842" w:type="dxa"/>
          </w:tcPr>
          <w:p w14:paraId="2578D5FC" w14:textId="048CAB83"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Liczba osób z krajów trzecich </w:t>
            </w:r>
            <w:r w:rsidR="00582C3A" w:rsidRPr="00822200">
              <w:rPr>
                <w:rFonts w:eastAsia="Calibri" w:cs="Arial"/>
                <w:szCs w:val="24"/>
              </w:rPr>
              <w:t xml:space="preserve"> </w:t>
            </w:r>
            <w:r w:rsidRPr="00822200">
              <w:rPr>
                <w:rFonts w:eastAsia="Calibri" w:cs="Arial"/>
                <w:szCs w:val="24"/>
              </w:rPr>
              <w:t>objętych wsparciem w programie</w:t>
            </w:r>
          </w:p>
        </w:tc>
        <w:tc>
          <w:tcPr>
            <w:tcW w:w="1134" w:type="dxa"/>
          </w:tcPr>
          <w:p w14:paraId="27B5F552"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osoby</w:t>
            </w:r>
          </w:p>
        </w:tc>
        <w:tc>
          <w:tcPr>
            <w:tcW w:w="1560" w:type="dxa"/>
          </w:tcPr>
          <w:p w14:paraId="0A911D4A" w14:textId="7C9B19DC" w:rsidR="00292241" w:rsidRPr="00822200" w:rsidRDefault="00292B14"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Wartość docelowa nie została określona - wskaźnik mierzony na etapie realizacji projektu.</w:t>
            </w:r>
          </w:p>
        </w:tc>
        <w:tc>
          <w:tcPr>
            <w:tcW w:w="4961" w:type="dxa"/>
          </w:tcPr>
          <w:p w14:paraId="7C1D52D5"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Osoby, które są obywatelami krajów spoza UE. Do wskaźnika wlicza się też bezpaństwowców zgodnie z Konwencją o statusie bezpaństwowców z 1954 r. i osoby bez ustalonego obywatelstwa. </w:t>
            </w:r>
          </w:p>
          <w:p w14:paraId="0BFFA301"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Przynależność do grupy osób z krajów trzecich określana jest w momencie rozpoczęcia udziału w projekcie, tj. w chwili rozpoczęcia udziału w pierwszej formie wsparcia w projekcie.</w:t>
            </w:r>
          </w:p>
          <w:p w14:paraId="691D06F2"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W przypadku, gdy obywatelstwo państw trzecich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w:t>
            </w:r>
            <w:r w:rsidRPr="00822200">
              <w:rPr>
                <w:rFonts w:eastAsia="Calibri" w:cs="Arial"/>
                <w:szCs w:val="24"/>
              </w:rPr>
              <w:lastRenderedPageBreak/>
              <w:t>monitorować, nawet w przypadku, gdy powiązane z nim dane osobowe nie są zbierane od uczestników. Beneficjent stosuje wtedy szacunki. Najlepiej, by szacunki dotyczące uczestników z krajów trzecich w ogólnej liczbie uczestników w podziale na płeć były uzyskiwane za pomocą metod, które można statystycznie uzasadnić. Jeśli nie jest to możliwe, należy wykorzystać tzw. wiarygodne szacunki (różne metody szacowania opisano w załączniku do Wytycznych). Wybraną metodę szacowania należy udokumentować. Uwaga: w danym projekcie może być stosowana wyłącznie jedna metoda monitorowania tego wskaźnika tj. szacowanie lub zbieranie danych osobowych dot. tego wskaźnika od uczestników.</w:t>
            </w:r>
          </w:p>
          <w:p w14:paraId="19A06ADA"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Zasady dotyczące możliwości wykorzystania wiarygodnych szacunków przez </w:t>
            </w:r>
            <w:r w:rsidRPr="00822200">
              <w:rPr>
                <w:rFonts w:eastAsia="Calibri" w:cs="Arial"/>
                <w:szCs w:val="24"/>
              </w:rPr>
              <w:lastRenderedPageBreak/>
              <w:t>beneficjentów w danym naborze określane są przez właściwą dla programu Instytucję Zarządzającą.</w:t>
            </w:r>
          </w:p>
        </w:tc>
        <w:tc>
          <w:tcPr>
            <w:tcW w:w="1701" w:type="dxa"/>
          </w:tcPr>
          <w:p w14:paraId="3A2FE71E"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cs="Arial"/>
                <w:szCs w:val="24"/>
              </w:rPr>
              <w:lastRenderedPageBreak/>
              <w:t xml:space="preserve">Pomiar wskaźnika odbywać się będzie na etapie realizacji projektu. </w:t>
            </w:r>
          </w:p>
        </w:tc>
        <w:tc>
          <w:tcPr>
            <w:tcW w:w="1843" w:type="dxa"/>
          </w:tcPr>
          <w:p w14:paraId="5AC22D08" w14:textId="0A7D0A74" w:rsidR="00292241" w:rsidRPr="00822200" w:rsidRDefault="00EE5892" w:rsidP="00822200">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cs="Arial"/>
                <w:szCs w:val="24"/>
              </w:rPr>
              <w:t>Wskaźnik mierzony w momencie objęcia wsparciem  w projekcie osób z krajów trzecich na podstawie dokumentów dostępnych na etapie realizacji.</w:t>
            </w:r>
          </w:p>
        </w:tc>
      </w:tr>
      <w:tr w:rsidR="00292241" w:rsidRPr="00822200" w14:paraId="678C2D16" w14:textId="77777777" w:rsidTr="00B62DAF">
        <w:tc>
          <w:tcPr>
            <w:cnfStyle w:val="001000000000" w:firstRow="0" w:lastRow="0" w:firstColumn="1" w:lastColumn="0" w:oddVBand="0" w:evenVBand="0" w:oddHBand="0" w:evenHBand="0" w:firstRowFirstColumn="0" w:firstRowLastColumn="0" w:lastRowFirstColumn="0" w:lastRowLastColumn="0"/>
            <w:tcW w:w="988" w:type="dxa"/>
          </w:tcPr>
          <w:p w14:paraId="3A09F066" w14:textId="77777777" w:rsidR="00292241" w:rsidRPr="00822200" w:rsidRDefault="00292241" w:rsidP="00822200">
            <w:pPr>
              <w:spacing w:after="160" w:line="360" w:lineRule="auto"/>
              <w:rPr>
                <w:rFonts w:eastAsia="Calibri" w:cs="Arial"/>
                <w:szCs w:val="24"/>
              </w:rPr>
            </w:pPr>
            <w:r w:rsidRPr="00822200">
              <w:rPr>
                <w:rFonts w:eastAsia="Calibri" w:cs="Arial"/>
                <w:szCs w:val="24"/>
              </w:rPr>
              <w:lastRenderedPageBreak/>
              <w:t>WLWK-EECO14</w:t>
            </w:r>
          </w:p>
        </w:tc>
        <w:tc>
          <w:tcPr>
            <w:tcW w:w="1842" w:type="dxa"/>
          </w:tcPr>
          <w:p w14:paraId="2A5848DB"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Liczba osób obcego pochodzenia objętych wsparciem w programie</w:t>
            </w:r>
          </w:p>
        </w:tc>
        <w:tc>
          <w:tcPr>
            <w:tcW w:w="1134" w:type="dxa"/>
          </w:tcPr>
          <w:p w14:paraId="17EFBE32"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osoby</w:t>
            </w:r>
          </w:p>
        </w:tc>
        <w:tc>
          <w:tcPr>
            <w:tcW w:w="1560" w:type="dxa"/>
          </w:tcPr>
          <w:p w14:paraId="63604653" w14:textId="5591FD7B" w:rsidR="00292241" w:rsidRPr="00822200" w:rsidRDefault="00EE5892"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Wartość docelowa nie została określona - wskaźnik mierzony na etapie realizacji projektu.</w:t>
            </w:r>
          </w:p>
        </w:tc>
        <w:tc>
          <w:tcPr>
            <w:tcW w:w="4961" w:type="dxa"/>
          </w:tcPr>
          <w:p w14:paraId="7F76C6E6"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Osoby obcego pochodzenia to cudzoziemcy - każda osoba, która nie posiada polskiego obywatelstwa, bez względu na fakt posiadania lub nie obywatelstwa (obywatelstw) innych krajów. </w:t>
            </w:r>
          </w:p>
          <w:p w14:paraId="0AB96337"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Wskaźnik nie obejmuje osób należących do mniejszości, których udział w projektach monitorowany jest wskaźnikiem </w:t>
            </w:r>
            <w:r w:rsidRPr="00822200">
              <w:rPr>
                <w:rFonts w:eastAsia="Calibri" w:cs="Arial"/>
                <w:i/>
                <w:szCs w:val="24"/>
              </w:rPr>
              <w:t>liczba osób należących do mniejszości, w tym społeczności marginalizowanych takich jak Romowie, objętych wsparciem w programie</w:t>
            </w:r>
            <w:r w:rsidRPr="00822200">
              <w:rPr>
                <w:rFonts w:eastAsia="Calibri" w:cs="Arial"/>
                <w:szCs w:val="24"/>
              </w:rPr>
              <w:t>.</w:t>
            </w:r>
          </w:p>
          <w:p w14:paraId="051FD9A0"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Przynależność do grupy osób obcego pochodzenia określana jest w momencie rozpoczęcia udziału w projekcie, tj. w chwili rozpoczęcia udziału w pierwszej formie wsparcia w projekcie.</w:t>
            </w:r>
          </w:p>
          <w:p w14:paraId="31EC7BC9" w14:textId="77777777" w:rsidR="00292241" w:rsidRPr="00822200" w:rsidRDefault="00292241" w:rsidP="00822200">
            <w:pPr>
              <w:spacing w:after="120" w:line="360" w:lineRule="auto"/>
              <w:cnfStyle w:val="000000000000" w:firstRow="0" w:lastRow="0" w:firstColumn="0" w:lastColumn="0" w:oddVBand="0" w:evenVBand="0" w:oddHBand="0" w:evenHBand="0" w:firstRowFirstColumn="0" w:firstRowLastColumn="0" w:lastRowFirstColumn="0" w:lastRowLastColumn="0"/>
              <w:rPr>
                <w:rFonts w:eastAsia="Times New Roman" w:cs="Arial"/>
                <w:szCs w:val="24"/>
                <w:lang w:eastAsia="pl-PL"/>
              </w:rPr>
            </w:pPr>
            <w:r w:rsidRPr="00822200">
              <w:rPr>
                <w:rFonts w:eastAsia="Calibri" w:cs="Arial"/>
                <w:szCs w:val="24"/>
              </w:rPr>
              <w:lastRenderedPageBreak/>
              <w:t xml:space="preserve">W przypadku, gdy fakt bycia cudzoziemcem (osobą obcego pochodzenia)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obcego pochodzenia </w:t>
            </w:r>
            <w:r w:rsidRPr="00822200">
              <w:rPr>
                <w:rFonts w:eastAsia="Times New Roman" w:cs="Arial"/>
                <w:szCs w:val="24"/>
                <w:lang w:eastAsia="pl-PL"/>
              </w:rPr>
              <w:t xml:space="preserve">w ogólnej liczbie uczestników w podziale na płeć były uzyskiwane za pomocą metod, które można statystycznie uzasadnić. Jeśli nie jest to możliwe, należy wykorzystać tzw. </w:t>
            </w:r>
            <w:r w:rsidRPr="00822200">
              <w:rPr>
                <w:rFonts w:eastAsia="Times New Roman" w:cs="Arial"/>
                <w:szCs w:val="24"/>
                <w:lang w:eastAsia="pl-PL"/>
              </w:rPr>
              <w:lastRenderedPageBreak/>
              <w:t>wiarygodne szacunki (różne metody szacowania opisano w załączniku do Wytycznych). Wybraną metodę szacowania należy udokumentować. Uwaga: w danym projekcie może być stosowana wyłącznie jedna metoda monitorowania tego wskaźnika tj. szacowanie lub zbieranie danych osobowych dot. tego wskaźnika od uczestników.</w:t>
            </w:r>
            <w:r w:rsidRPr="00822200" w:rsidDel="001852A9">
              <w:rPr>
                <w:rFonts w:eastAsia="Times New Roman" w:cs="Arial"/>
                <w:szCs w:val="24"/>
                <w:lang w:eastAsia="pl-PL"/>
              </w:rPr>
              <w:t xml:space="preserve"> </w:t>
            </w:r>
          </w:p>
          <w:p w14:paraId="58558B62" w14:textId="77777777" w:rsidR="00292241" w:rsidRPr="00822200" w:rsidRDefault="00292241" w:rsidP="00822200">
            <w:pPr>
              <w:spacing w:after="12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Times New Roman" w:cs="Arial"/>
                <w:szCs w:val="24"/>
                <w:lang w:eastAsia="pl-PL"/>
              </w:rPr>
              <w:t xml:space="preserve">Informacje dodatkowe: Wskaźnik będzie obejmował zawsze osoby </w:t>
            </w:r>
            <w:r w:rsidRPr="00822200">
              <w:rPr>
                <w:rFonts w:eastAsia="Calibri" w:cs="Arial"/>
                <w:szCs w:val="24"/>
              </w:rPr>
              <w:t xml:space="preserve">z krajów trzecich, zliczane we wskaźniku </w:t>
            </w:r>
            <w:r w:rsidRPr="00822200">
              <w:rPr>
                <w:rFonts w:eastAsia="Calibri" w:cs="Arial"/>
                <w:i/>
                <w:szCs w:val="24"/>
              </w:rPr>
              <w:t>liczba osób z krajów trzecich objętych wsparciem w programie</w:t>
            </w:r>
            <w:r w:rsidRPr="00822200">
              <w:rPr>
                <w:rFonts w:eastAsia="Calibri" w:cs="Arial"/>
                <w:szCs w:val="24"/>
              </w:rPr>
              <w:t>.</w:t>
            </w:r>
          </w:p>
          <w:p w14:paraId="64D125BC"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Zasady dotyczące możliwości wykorzystania wiarygodnych szacunków przez beneficjentów w danym naborze określane są przez właściwą dla programu Instytucję Zarządzającą.</w:t>
            </w:r>
          </w:p>
        </w:tc>
        <w:tc>
          <w:tcPr>
            <w:tcW w:w="1701" w:type="dxa"/>
          </w:tcPr>
          <w:p w14:paraId="46A19628"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cs="Arial"/>
                <w:szCs w:val="24"/>
              </w:rPr>
              <w:lastRenderedPageBreak/>
              <w:t>Pomiar wskaźnika odbywać się będzie na etapie realizacji projektu.</w:t>
            </w:r>
          </w:p>
        </w:tc>
        <w:tc>
          <w:tcPr>
            <w:tcW w:w="1843" w:type="dxa"/>
          </w:tcPr>
          <w:p w14:paraId="400A55D9" w14:textId="60AD1DFD" w:rsidR="00292241" w:rsidRPr="00822200" w:rsidRDefault="00EE5892" w:rsidP="00822200">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cs="Arial"/>
                <w:szCs w:val="24"/>
              </w:rPr>
              <w:t>Wskaźnik mierzony w momencie objęcia wsparciem  w projekcie osób obcego pochodzenia na podstawie dokumentów dostępnych na etapie realizacji.</w:t>
            </w:r>
          </w:p>
        </w:tc>
      </w:tr>
      <w:tr w:rsidR="00292241" w:rsidRPr="00822200" w14:paraId="24BBCA62" w14:textId="77777777" w:rsidTr="00B62DAF">
        <w:tc>
          <w:tcPr>
            <w:cnfStyle w:val="001000000000" w:firstRow="0" w:lastRow="0" w:firstColumn="1" w:lastColumn="0" w:oddVBand="0" w:evenVBand="0" w:oddHBand="0" w:evenHBand="0" w:firstRowFirstColumn="0" w:firstRowLastColumn="0" w:lastRowFirstColumn="0" w:lastRowLastColumn="0"/>
            <w:tcW w:w="988" w:type="dxa"/>
          </w:tcPr>
          <w:p w14:paraId="07AA9B3C" w14:textId="77777777" w:rsidR="00292241" w:rsidRPr="00822200" w:rsidRDefault="00292241" w:rsidP="00822200">
            <w:pPr>
              <w:spacing w:after="160" w:line="360" w:lineRule="auto"/>
              <w:rPr>
                <w:rFonts w:eastAsia="Calibri" w:cs="Arial"/>
                <w:szCs w:val="24"/>
              </w:rPr>
            </w:pPr>
            <w:r w:rsidRPr="00822200">
              <w:rPr>
                <w:rFonts w:eastAsia="Calibri" w:cs="Arial"/>
                <w:szCs w:val="24"/>
              </w:rPr>
              <w:lastRenderedPageBreak/>
              <w:t>WLWK-EECO15</w:t>
            </w:r>
          </w:p>
        </w:tc>
        <w:tc>
          <w:tcPr>
            <w:tcW w:w="1842" w:type="dxa"/>
          </w:tcPr>
          <w:p w14:paraId="3711F20A"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Liczba osób należących do mniejszości, w tym społeczności marginalizowanych takich jak Romowie, objętych wsparciem w programie</w:t>
            </w:r>
          </w:p>
        </w:tc>
        <w:tc>
          <w:tcPr>
            <w:tcW w:w="1134" w:type="dxa"/>
          </w:tcPr>
          <w:p w14:paraId="467F27AC"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osoby</w:t>
            </w:r>
          </w:p>
        </w:tc>
        <w:tc>
          <w:tcPr>
            <w:tcW w:w="1560" w:type="dxa"/>
          </w:tcPr>
          <w:p w14:paraId="1721DA9D" w14:textId="79A49938" w:rsidR="00292241" w:rsidRPr="00822200" w:rsidRDefault="00EE5892"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Wartość docelowa nie została określona - wskaźnik mierzony na etapie realizacji projektu.</w:t>
            </w:r>
          </w:p>
        </w:tc>
        <w:tc>
          <w:tcPr>
            <w:tcW w:w="4961" w:type="dxa"/>
          </w:tcPr>
          <w:p w14:paraId="08CC6672"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Wskaźnik obejmuje osoby należące do mniejszości narodowych i etnicznych biorące udział w projektach EFS+.</w:t>
            </w:r>
          </w:p>
          <w:p w14:paraId="2482D9BD"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Zgodnie z prawem krajowym mniejszości narodowe to mniejszość: białoruska, czeska, litewska, niemiecka, ormiańska, rosyjska, słowacka, ukraińska, żydowska. Mniejszości etniczne: karaimska, łemkowska, romska, tatarska.</w:t>
            </w:r>
            <w:r w:rsidRPr="00822200">
              <w:rPr>
                <w:rFonts w:eastAsia="Calibri" w:cs="Arial"/>
                <w:szCs w:val="24"/>
              </w:rPr>
              <w:br/>
              <w:t>Definicja opracowana na podstawie ustawy z dnia 6 stycznia 2005 r. o mniejszościach narodowych i etnicznych oraz o języku regionalnym.</w:t>
            </w:r>
          </w:p>
          <w:p w14:paraId="4AE7F596"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Przynależność do grupy osób należących do mniejszości określana jest w momencie rozpoczęcia udziału w projekcie, tj. w chwili rozpoczęcia udziału w pierwszej formie wsparcia w projekcie.</w:t>
            </w:r>
          </w:p>
          <w:p w14:paraId="3FC551BC"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W przypadku, gdy przynależność do mniejszości jest kryterium umożliwiającym </w:t>
            </w:r>
            <w:r w:rsidRPr="00822200">
              <w:rPr>
                <w:rFonts w:eastAsia="Calibri" w:cs="Arial"/>
                <w:szCs w:val="24"/>
              </w:rPr>
              <w:lastRenderedPageBreak/>
              <w:t xml:space="preserve">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należących do mniejszości w ogólnej liczbie uczestników w podziale na płeć były uzyskiwane za pomocą metod, które można statystycznie uzasadnić. Jeśli nie jest to możliwe, należy wykorzystać tzw. wiarygodne szacunki (różne metody szacowania opisano w załączniku do </w:t>
            </w:r>
            <w:r w:rsidRPr="00822200">
              <w:rPr>
                <w:rFonts w:eastAsia="Calibri" w:cs="Arial"/>
                <w:szCs w:val="24"/>
              </w:rPr>
              <w:lastRenderedPageBreak/>
              <w:t>Wytycznych). Wybraną metodę szacowania należy udokumentować. Uwaga: w danym projekcie może być stosowana wyłącznie jedna metoda monitorowania tego wskaźnika tj. szacowanie lub zbieranie danych osobowych dot. tego wskaźnika od uczestników.</w:t>
            </w:r>
          </w:p>
          <w:p w14:paraId="0FDD75C3"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Zasady dotyczące możliwości wykorzystania wiarygodnych szacunków przez beneficjentów w danym naborze określane są przez właściwą dla programu Instytucję Zarządzającą</w:t>
            </w:r>
          </w:p>
        </w:tc>
        <w:tc>
          <w:tcPr>
            <w:tcW w:w="1701" w:type="dxa"/>
          </w:tcPr>
          <w:p w14:paraId="3DFB72DC"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cs="Arial"/>
                <w:szCs w:val="24"/>
              </w:rPr>
              <w:lastRenderedPageBreak/>
              <w:t>Pomiar wskaźnika odbywać się będzie na etapie realizacji projektu.</w:t>
            </w:r>
          </w:p>
        </w:tc>
        <w:tc>
          <w:tcPr>
            <w:tcW w:w="1843" w:type="dxa"/>
          </w:tcPr>
          <w:p w14:paraId="72724486" w14:textId="614857BF" w:rsidR="00292241" w:rsidRPr="00822200" w:rsidRDefault="00EE5892" w:rsidP="00822200">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cs="Arial"/>
                <w:szCs w:val="24"/>
              </w:rPr>
              <w:t>Wskaźnik mierzony w momencie objęcia wsparciem  w projekcie osób należących do mniejszości, w tym społeczności marginalizowanych takich jak Romowie na podstawie dokumentów dostępnych na etapie realizacji.</w:t>
            </w:r>
          </w:p>
        </w:tc>
      </w:tr>
      <w:tr w:rsidR="00292241" w:rsidRPr="00822200" w14:paraId="20E029D5" w14:textId="77777777" w:rsidTr="00B62DAF">
        <w:tc>
          <w:tcPr>
            <w:cnfStyle w:val="001000000000" w:firstRow="0" w:lastRow="0" w:firstColumn="1" w:lastColumn="0" w:oddVBand="0" w:evenVBand="0" w:oddHBand="0" w:evenHBand="0" w:firstRowFirstColumn="0" w:firstRowLastColumn="0" w:lastRowFirstColumn="0" w:lastRowLastColumn="0"/>
            <w:tcW w:w="988" w:type="dxa"/>
          </w:tcPr>
          <w:p w14:paraId="534FD543" w14:textId="77777777" w:rsidR="00292241" w:rsidRPr="00822200" w:rsidRDefault="00292241" w:rsidP="00822200">
            <w:pPr>
              <w:spacing w:after="160" w:line="360" w:lineRule="auto"/>
              <w:rPr>
                <w:rFonts w:eastAsia="Calibri" w:cs="Arial"/>
                <w:szCs w:val="24"/>
              </w:rPr>
            </w:pPr>
            <w:r w:rsidRPr="00822200">
              <w:rPr>
                <w:rFonts w:eastAsia="Calibri" w:cs="Arial"/>
                <w:szCs w:val="24"/>
              </w:rPr>
              <w:lastRenderedPageBreak/>
              <w:t>WLWK-EECO16</w:t>
            </w:r>
          </w:p>
        </w:tc>
        <w:tc>
          <w:tcPr>
            <w:tcW w:w="1842" w:type="dxa"/>
          </w:tcPr>
          <w:p w14:paraId="38B54601"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Liczba osób w kryzysie bezdomności lub dotkniętych wykluczeniem z dostępu do mieszkań, objętych </w:t>
            </w:r>
            <w:r w:rsidRPr="00822200">
              <w:rPr>
                <w:rFonts w:eastAsia="Calibri" w:cs="Arial"/>
                <w:szCs w:val="24"/>
              </w:rPr>
              <w:lastRenderedPageBreak/>
              <w:t>wsparciem w programie</w:t>
            </w:r>
          </w:p>
        </w:tc>
        <w:tc>
          <w:tcPr>
            <w:tcW w:w="1134" w:type="dxa"/>
          </w:tcPr>
          <w:p w14:paraId="1D4B65F6" w14:textId="051D6C47" w:rsidR="00292241" w:rsidRPr="00822200" w:rsidRDefault="00EE5892"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lastRenderedPageBreak/>
              <w:t>osoby</w:t>
            </w:r>
          </w:p>
        </w:tc>
        <w:tc>
          <w:tcPr>
            <w:tcW w:w="1560" w:type="dxa"/>
          </w:tcPr>
          <w:p w14:paraId="709360C9" w14:textId="7DC421B0" w:rsidR="00292241" w:rsidRPr="00822200" w:rsidRDefault="00EE5892"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Wartość docelowa nie została określona - wskaźnik mierzony na etapie </w:t>
            </w:r>
            <w:r w:rsidRPr="00822200">
              <w:rPr>
                <w:rFonts w:eastAsia="Calibri" w:cs="Arial"/>
                <w:szCs w:val="24"/>
              </w:rPr>
              <w:lastRenderedPageBreak/>
              <w:t>realizacji projektu.</w:t>
            </w:r>
          </w:p>
        </w:tc>
        <w:tc>
          <w:tcPr>
            <w:tcW w:w="4961" w:type="dxa"/>
          </w:tcPr>
          <w:p w14:paraId="60F4F7BA"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lastRenderedPageBreak/>
              <w:t>We wskaźniku wykazywane są osoby w kryzysie bezdomności lub dotknięte wykluczeniem z dostępu do mieszkań.</w:t>
            </w:r>
            <w:r w:rsidRPr="00822200">
              <w:rPr>
                <w:rFonts w:eastAsia="Calibri" w:cs="Arial"/>
                <w:szCs w:val="24"/>
              </w:rPr>
              <w:br w:type="page"/>
            </w:r>
          </w:p>
          <w:p w14:paraId="30D08C63"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Bezdomność i wykluczenie mieszkaniowe definiowane są zgodnie z Europejską typologią bezdomności i wykluczenia mieszkaniowego ETHOS, w której wskazuje się okoliczności życia w bezdomności lub </w:t>
            </w:r>
            <w:r w:rsidRPr="00822200">
              <w:rPr>
                <w:rFonts w:eastAsia="Calibri" w:cs="Arial"/>
                <w:szCs w:val="24"/>
              </w:rPr>
              <w:lastRenderedPageBreak/>
              <w:t>ekstremalne formy wykluczenia mieszkaniowego oraz ustawą z dnia 12 marca 2004 r.  o pomocy społecznej:</w:t>
            </w:r>
            <w:r w:rsidRPr="00822200">
              <w:rPr>
                <w:rFonts w:eastAsia="Calibri" w:cs="Arial"/>
                <w:szCs w:val="24"/>
              </w:rPr>
              <w:br w:type="page"/>
              <w:t xml:space="preserve"> </w:t>
            </w:r>
          </w:p>
          <w:p w14:paraId="4BA6886F" w14:textId="77777777" w:rsidR="00292241" w:rsidRPr="00822200" w:rsidRDefault="00292241" w:rsidP="00822200">
            <w:pPr>
              <w:numPr>
                <w:ilvl w:val="0"/>
                <w:numId w:val="2"/>
              </w:num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Bez dachu nad głową, w tym osoby żyjące w przestrzeni publicznej lub zakwaterowane interwencyjnie;</w:t>
            </w:r>
          </w:p>
          <w:p w14:paraId="4ECCD554" w14:textId="77777777" w:rsidR="00292241" w:rsidRPr="00822200" w:rsidRDefault="00292241" w:rsidP="00822200">
            <w:pPr>
              <w:numPr>
                <w:ilvl w:val="0"/>
                <w:numId w:val="2"/>
              </w:num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br w:type="page"/>
              <w:t xml:space="preserve">Bez mieszkania, w tym osoby zakwaterowane w placówkach dla bezdomnych, w schroniskach dla kobiet, schroniskach dla imigrantów, osoby opuszczające instytucje penitencjarne/karne/medyczne, instytucje opiekuńcze, osoby otrzymujące długookresowe wsparcie z powodu bezdomności - specjalistyczne zakwaterowanie wspierane); </w:t>
            </w:r>
          </w:p>
          <w:p w14:paraId="2320CA8A" w14:textId="77777777" w:rsidR="00292241" w:rsidRPr="00822200" w:rsidRDefault="00292241" w:rsidP="00822200">
            <w:pPr>
              <w:numPr>
                <w:ilvl w:val="0"/>
                <w:numId w:val="2"/>
              </w:num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Niezabezpieczone zakwaterowanie, w tym osoby w lokalach niezabezpieczonych – przebywające </w:t>
            </w:r>
            <w:r w:rsidRPr="00822200">
              <w:rPr>
                <w:rFonts w:eastAsia="Calibri" w:cs="Arial"/>
                <w:szCs w:val="24"/>
              </w:rPr>
              <w:lastRenderedPageBreak/>
              <w:t>czasowo u rodziny/przyjaciół, tj. przebywające w konwencjonalnych warunkach lokalowych, ale nie w stałym miejscu zamieszkania ze względu na brak posiadania takiego, wynajmujący nielegalnie lub nielegalnie zajmujące ziemie, osoby posiadające niepewny najem z nakazem eksmisji, osoby zagrożone przemocą;</w:t>
            </w:r>
          </w:p>
          <w:p w14:paraId="3C06CD80" w14:textId="77777777" w:rsidR="00292241" w:rsidRPr="00822200" w:rsidRDefault="00292241" w:rsidP="00822200">
            <w:pPr>
              <w:numPr>
                <w:ilvl w:val="0"/>
                <w:numId w:val="2"/>
              </w:num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br w:type="page"/>
              <w:t xml:space="preserve">Nieodpowiednie warunki mieszkaniowe, w tym osoby zamieszkujące konstrukcje tymczasowe/nietrwałe, mieszkania </w:t>
            </w:r>
            <w:proofErr w:type="spellStart"/>
            <w:r w:rsidRPr="00822200">
              <w:rPr>
                <w:rFonts w:eastAsia="Calibri" w:cs="Arial"/>
                <w:szCs w:val="24"/>
              </w:rPr>
              <w:t>substandardowe</w:t>
            </w:r>
            <w:proofErr w:type="spellEnd"/>
            <w:r w:rsidRPr="00822200">
              <w:rPr>
                <w:rFonts w:eastAsia="Calibri" w:cs="Arial"/>
                <w:szCs w:val="24"/>
              </w:rPr>
              <w:t xml:space="preserve"> - lokale nienadające się do zamieszkania wg standardu krajowego, w warunkach skrajnego przeludnienia;</w:t>
            </w:r>
          </w:p>
          <w:p w14:paraId="6C067845" w14:textId="77777777" w:rsidR="00292241" w:rsidRPr="00822200" w:rsidRDefault="00292241" w:rsidP="00822200">
            <w:pPr>
              <w:numPr>
                <w:ilvl w:val="0"/>
                <w:numId w:val="2"/>
              </w:num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Osoby niezamieszkujące w lokalu mieszkalnym w rozumieniu przepisów o ochronie praw lokatorów i </w:t>
            </w:r>
            <w:r w:rsidRPr="00822200">
              <w:rPr>
                <w:rFonts w:eastAsia="Calibri" w:cs="Arial"/>
                <w:szCs w:val="24"/>
              </w:rPr>
              <w:lastRenderedPageBreak/>
              <w:t>mieszkaniowym zasobie gminy i niezameldowane na pobyt stały, w rozumieniu przepisów o ewidencji ludności, a także osoby niezamieszkujące w lokalu mieszkalnym i zameldowaną na pobyt stały w lokalu, w którym nie ma możliwości zamieszkania.</w:t>
            </w:r>
          </w:p>
          <w:p w14:paraId="4F40E7ED"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Osoby dorosłe mieszkające z rodzicami nie powinny być wykazywane we wskaźniku, chyba że wszystkie te osoby są w kryzysie bezdomności lub mieszkają w nieodpowiednich i niebezpiecznych warunkach.</w:t>
            </w:r>
          </w:p>
          <w:p w14:paraId="080E487E"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W przypadku, gdy bezdomność / wykluczenie z dostępu do mieszkań jest kryterium umożliwiającym udział w danej interwencji (np. grupa docelowa wskazana została we wniosku o dofinansowanie, kryteriach wyboru projektu lub dokumentach programowych), należy dane pozyskiwać </w:t>
            </w:r>
            <w:r w:rsidRPr="00822200">
              <w:rPr>
                <w:rFonts w:eastAsia="Calibri" w:cs="Arial"/>
                <w:szCs w:val="24"/>
              </w:rPr>
              <w:lastRenderedPageBreak/>
              <w:t xml:space="preserve">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bezdomnych / wykluczonych z dostępu do mieszkań w ogólnej liczbie uczestników w podziale na płeć były uzyskiwane za pomocą metod, które można statystycznie uzasadnić. Jeśli nie jest to możliwe, należy wykorzystać tzw. wiarygodne szacunki (różne metody szacowania opisano w załączniku do Wytycznych). Wybraną metodę szacowania należy udokumentować. Uwaga: w danym projekcie może być stosowana wyłącznie jedna metoda monitorowania tego </w:t>
            </w:r>
            <w:r w:rsidRPr="00822200">
              <w:rPr>
                <w:rFonts w:eastAsia="Calibri" w:cs="Arial"/>
                <w:szCs w:val="24"/>
              </w:rPr>
              <w:lastRenderedPageBreak/>
              <w:t>wskaźnika tj. szacowanie lub zbieranie danych osobowych dot. tego wskaźnika od uczestników.</w:t>
            </w:r>
            <w:r w:rsidRPr="00822200" w:rsidDel="001852A9">
              <w:rPr>
                <w:rFonts w:eastAsia="Calibri" w:cs="Arial"/>
                <w:szCs w:val="24"/>
              </w:rPr>
              <w:t xml:space="preserve"> </w:t>
            </w:r>
          </w:p>
          <w:p w14:paraId="26FFB1A3"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 xml:space="preserve">Przynależność do grupy osób w kryzysie bezdomności lub dotkniętych wykluczeniem z dostępu do mieszkań określana jest w momencie rozpoczęcia udziału w projekcie, tj. w chwili rozpoczęcia udziału w pierwszej formie wsparcia w projekcie. </w:t>
            </w:r>
          </w:p>
          <w:p w14:paraId="3A4E85F8"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eastAsia="Calibri" w:cs="Arial"/>
                <w:szCs w:val="24"/>
              </w:rPr>
              <w:t>Zasady dotyczące możliwości wykorzystania wiarygodnych szacunków przez beneficjentów w danym naborze określane są przez właściwą dla programu Instytucję Zarządzającą</w:t>
            </w:r>
          </w:p>
        </w:tc>
        <w:tc>
          <w:tcPr>
            <w:tcW w:w="1701" w:type="dxa"/>
          </w:tcPr>
          <w:p w14:paraId="71764711"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cs="Arial"/>
                <w:szCs w:val="24"/>
              </w:rPr>
              <w:lastRenderedPageBreak/>
              <w:t>Pomiar wskaźnika odbywać się będzie na etapie realizacji projektu.</w:t>
            </w:r>
          </w:p>
        </w:tc>
        <w:tc>
          <w:tcPr>
            <w:tcW w:w="1843" w:type="dxa"/>
          </w:tcPr>
          <w:p w14:paraId="61915E6B" w14:textId="0313280E" w:rsidR="00582C3A" w:rsidRPr="00822200" w:rsidRDefault="00EE5892" w:rsidP="00822200">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822200">
              <w:rPr>
                <w:rFonts w:cs="Arial"/>
                <w:szCs w:val="24"/>
              </w:rPr>
              <w:t xml:space="preserve">Wskaźnik mierzony w momencie objęcia wsparciem  w projekcie osób w kryzysie bezdomności lub dotkniętych </w:t>
            </w:r>
            <w:r w:rsidRPr="00822200">
              <w:rPr>
                <w:rFonts w:cs="Arial"/>
                <w:szCs w:val="24"/>
              </w:rPr>
              <w:lastRenderedPageBreak/>
              <w:t>wykluczeniem z dostępu do mieszkań na podstawie dokumentów dostępnych na etapie realizacji.</w:t>
            </w:r>
          </w:p>
        </w:tc>
      </w:tr>
    </w:tbl>
    <w:p w14:paraId="665B62B0" w14:textId="35419A1D" w:rsidR="00822200" w:rsidRDefault="00822200" w:rsidP="00822200">
      <w:pPr>
        <w:pStyle w:val="Nagwek3"/>
        <w:numPr>
          <w:ilvl w:val="0"/>
          <w:numId w:val="0"/>
        </w:numPr>
        <w:ind w:left="1080"/>
        <w:rPr>
          <w:rFonts w:eastAsia="Calibri"/>
        </w:rPr>
      </w:pPr>
    </w:p>
    <w:p w14:paraId="30C21431" w14:textId="208D647C" w:rsidR="00B03A51" w:rsidRDefault="00B03A51" w:rsidP="00B03A51"/>
    <w:p w14:paraId="6B54A3DD" w14:textId="291F45AE" w:rsidR="00B03A51" w:rsidRDefault="00B03A51" w:rsidP="00B03A51"/>
    <w:p w14:paraId="2FC0E95F" w14:textId="77777777" w:rsidR="00B03A51" w:rsidRPr="00B03A51" w:rsidRDefault="00B03A51" w:rsidP="00B03A51"/>
    <w:p w14:paraId="7F869571" w14:textId="789AD146" w:rsidR="00292241" w:rsidRPr="000C2A35" w:rsidRDefault="00292241" w:rsidP="00B62DAF">
      <w:pPr>
        <w:pStyle w:val="Nagwek3"/>
        <w:rPr>
          <w:rFonts w:eastAsia="Calibri"/>
        </w:rPr>
      </w:pPr>
      <w:r>
        <w:rPr>
          <w:rFonts w:eastAsia="Calibri"/>
        </w:rPr>
        <w:lastRenderedPageBreak/>
        <w:t>Wskaźniki monitoringowe</w:t>
      </w:r>
      <w:r w:rsidRPr="000C2A35">
        <w:rPr>
          <w:rFonts w:eastAsia="Calibri"/>
        </w:rPr>
        <w:t xml:space="preserve"> dotyczące podmiotów</w:t>
      </w:r>
    </w:p>
    <w:tbl>
      <w:tblPr>
        <w:tblStyle w:val="Tabelasiatki1jasna"/>
        <w:tblW w:w="14029" w:type="dxa"/>
        <w:tblLayout w:type="fixed"/>
        <w:tblLook w:val="04A0" w:firstRow="1" w:lastRow="0" w:firstColumn="1" w:lastColumn="0" w:noHBand="0" w:noVBand="1"/>
        <w:tblCaption w:val="Wskaźniki monitoringowe dotyczące podmiotów"/>
        <w:tblDescription w:val="W tabeli przedstawiono wskaźniki monitoringowe dotyczące podmiotów. "/>
      </w:tblPr>
      <w:tblGrid>
        <w:gridCol w:w="988"/>
        <w:gridCol w:w="1984"/>
        <w:gridCol w:w="1134"/>
        <w:gridCol w:w="1418"/>
        <w:gridCol w:w="4394"/>
        <w:gridCol w:w="2147"/>
        <w:gridCol w:w="1964"/>
      </w:tblGrid>
      <w:tr w:rsidR="00292241" w:rsidRPr="000C2A35" w14:paraId="6EF91CB5" w14:textId="77777777" w:rsidTr="00B62D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shd w:val="clear" w:color="auto" w:fill="D9D9D9" w:themeFill="background1" w:themeFillShade="D9"/>
            <w:vAlign w:val="center"/>
          </w:tcPr>
          <w:p w14:paraId="692010C7" w14:textId="77777777" w:rsidR="00292241" w:rsidRPr="00822200" w:rsidRDefault="00292241" w:rsidP="00822200">
            <w:pPr>
              <w:spacing w:after="160" w:line="360" w:lineRule="auto"/>
              <w:jc w:val="center"/>
              <w:rPr>
                <w:rFonts w:eastAsia="Calibri" w:cs="Arial"/>
              </w:rPr>
            </w:pPr>
            <w:r w:rsidRPr="00822200">
              <w:rPr>
                <w:rFonts w:eastAsia="Calibri" w:cs="Arial"/>
              </w:rPr>
              <w:t>Kod wskaźnika</w:t>
            </w:r>
          </w:p>
        </w:tc>
        <w:tc>
          <w:tcPr>
            <w:tcW w:w="1984" w:type="dxa"/>
            <w:shd w:val="clear" w:color="auto" w:fill="D9D9D9" w:themeFill="background1" w:themeFillShade="D9"/>
            <w:vAlign w:val="center"/>
          </w:tcPr>
          <w:p w14:paraId="0E307E88" w14:textId="4BE68744" w:rsidR="00292241" w:rsidRPr="00822200" w:rsidRDefault="00292241"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822200">
              <w:rPr>
                <w:rFonts w:eastAsia="Calibri" w:cs="Arial"/>
              </w:rPr>
              <w:t>Nazwa wskaźnika</w:t>
            </w:r>
          </w:p>
        </w:tc>
        <w:tc>
          <w:tcPr>
            <w:tcW w:w="1134" w:type="dxa"/>
            <w:shd w:val="clear" w:color="auto" w:fill="D9D9D9" w:themeFill="background1" w:themeFillShade="D9"/>
            <w:vAlign w:val="center"/>
          </w:tcPr>
          <w:p w14:paraId="7572F1E2" w14:textId="77777777" w:rsidR="00292241" w:rsidRPr="00822200" w:rsidRDefault="00292241"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822200">
              <w:rPr>
                <w:rFonts w:eastAsia="Calibri" w:cs="Arial"/>
              </w:rPr>
              <w:t>jednostka miary</w:t>
            </w:r>
          </w:p>
        </w:tc>
        <w:tc>
          <w:tcPr>
            <w:tcW w:w="1418" w:type="dxa"/>
            <w:shd w:val="clear" w:color="auto" w:fill="D9D9D9" w:themeFill="background1" w:themeFillShade="D9"/>
            <w:vAlign w:val="center"/>
          </w:tcPr>
          <w:p w14:paraId="55B65A12" w14:textId="77777777" w:rsidR="00292241" w:rsidRPr="00822200" w:rsidRDefault="00292241"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822200">
              <w:rPr>
                <w:rFonts w:eastAsia="Calibri" w:cs="Arial"/>
              </w:rPr>
              <w:t>wartość</w:t>
            </w:r>
          </w:p>
        </w:tc>
        <w:tc>
          <w:tcPr>
            <w:tcW w:w="4394" w:type="dxa"/>
            <w:shd w:val="clear" w:color="auto" w:fill="D9D9D9" w:themeFill="background1" w:themeFillShade="D9"/>
            <w:vAlign w:val="center"/>
          </w:tcPr>
          <w:p w14:paraId="4FAA3ED4" w14:textId="65E01AEF" w:rsidR="00292241" w:rsidRPr="00822200" w:rsidRDefault="00292241"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822200">
              <w:rPr>
                <w:rFonts w:eastAsia="Calibri" w:cs="Arial"/>
              </w:rPr>
              <w:t>Definicja</w:t>
            </w:r>
          </w:p>
        </w:tc>
        <w:tc>
          <w:tcPr>
            <w:tcW w:w="2147" w:type="dxa"/>
            <w:shd w:val="clear" w:color="auto" w:fill="D9D9D9" w:themeFill="background1" w:themeFillShade="D9"/>
            <w:vAlign w:val="center"/>
          </w:tcPr>
          <w:p w14:paraId="51392022" w14:textId="61763DDB" w:rsidR="00292241" w:rsidRPr="00822200" w:rsidRDefault="00292241" w:rsidP="00822200">
            <w:pPr>
              <w:spacing w:after="16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822200">
              <w:rPr>
                <w:rFonts w:eastAsia="Calibri" w:cs="Arial"/>
              </w:rPr>
              <w:t>Źródło i sposób pomiaru</w:t>
            </w:r>
          </w:p>
        </w:tc>
        <w:tc>
          <w:tcPr>
            <w:tcW w:w="1964" w:type="dxa"/>
            <w:shd w:val="clear" w:color="auto" w:fill="D9D9D9" w:themeFill="background1" w:themeFillShade="D9"/>
            <w:vAlign w:val="center"/>
          </w:tcPr>
          <w:p w14:paraId="17929F61" w14:textId="77777777" w:rsidR="00292241" w:rsidRPr="00822200" w:rsidRDefault="00292241" w:rsidP="00822200">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822200">
              <w:rPr>
                <w:rFonts w:eastAsia="Calibri" w:cs="Arial"/>
              </w:rPr>
              <w:t>Sposób monitorowania</w:t>
            </w:r>
          </w:p>
        </w:tc>
      </w:tr>
      <w:tr w:rsidR="00292241" w:rsidRPr="000C2A35" w14:paraId="763BDD17" w14:textId="77777777" w:rsidTr="00B62DAF">
        <w:tc>
          <w:tcPr>
            <w:cnfStyle w:val="001000000000" w:firstRow="0" w:lastRow="0" w:firstColumn="1" w:lastColumn="0" w:oddVBand="0" w:evenVBand="0" w:oddHBand="0" w:evenHBand="0" w:firstRowFirstColumn="0" w:firstRowLastColumn="0" w:lastRowFirstColumn="0" w:lastRowLastColumn="0"/>
            <w:tcW w:w="988" w:type="dxa"/>
          </w:tcPr>
          <w:p w14:paraId="65CF4F1A" w14:textId="77777777" w:rsidR="00292241" w:rsidRPr="00822200" w:rsidRDefault="00292241" w:rsidP="00822200">
            <w:pPr>
              <w:spacing w:after="160" w:line="360" w:lineRule="auto"/>
              <w:rPr>
                <w:rFonts w:eastAsia="Calibri" w:cs="Arial"/>
              </w:rPr>
            </w:pPr>
            <w:r w:rsidRPr="00822200">
              <w:rPr>
                <w:rFonts w:eastAsia="Calibri" w:cs="Arial"/>
              </w:rPr>
              <w:t>WLWK-EECO18</w:t>
            </w:r>
          </w:p>
        </w:tc>
        <w:tc>
          <w:tcPr>
            <w:tcW w:w="1984" w:type="dxa"/>
          </w:tcPr>
          <w:p w14:paraId="5D1A8251"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822200">
              <w:rPr>
                <w:rFonts w:eastAsia="Calibri" w:cs="Arial"/>
              </w:rPr>
              <w:t>Liczba objętych wsparciem podmiotów administracji publicznej lub służb publicznych na szczeblu krajowym, regionalnym lub lokalnym</w:t>
            </w:r>
          </w:p>
        </w:tc>
        <w:tc>
          <w:tcPr>
            <w:tcW w:w="1134" w:type="dxa"/>
          </w:tcPr>
          <w:p w14:paraId="5D065084"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822200">
              <w:rPr>
                <w:rFonts w:eastAsia="Calibri" w:cs="Arial"/>
              </w:rPr>
              <w:t>podmioty</w:t>
            </w:r>
          </w:p>
        </w:tc>
        <w:tc>
          <w:tcPr>
            <w:tcW w:w="1418" w:type="dxa"/>
          </w:tcPr>
          <w:p w14:paraId="564BB1CB" w14:textId="155CBB5F" w:rsidR="00292241" w:rsidRPr="00822200" w:rsidRDefault="00EE5892"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822200">
              <w:rPr>
                <w:rFonts w:eastAsia="Calibri" w:cs="Arial"/>
              </w:rPr>
              <w:t>Wartość docelowa nie została określona - wskaźnik mierzony na etapie realizacji projektu.</w:t>
            </w:r>
          </w:p>
        </w:tc>
        <w:tc>
          <w:tcPr>
            <w:tcW w:w="4394" w:type="dxa"/>
          </w:tcPr>
          <w:p w14:paraId="30F08A6B"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822200">
              <w:rPr>
                <w:rFonts w:eastAsia="Calibri" w:cs="Arial"/>
              </w:rPr>
              <w:t>Za służby publiczne uznaje się publiczne lub prywatne podmioty, które świadczą usługi publiczne (w przypadku usług publicznych zlecanych przez państwo podmiotom prywatnym lub świadczonych w ramach partnerstwa publiczno-prywatnego).</w:t>
            </w:r>
          </w:p>
          <w:p w14:paraId="16FB0443"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822200">
              <w:rPr>
                <w:rFonts w:eastAsia="Calibri" w:cs="Arial"/>
              </w:rPr>
              <w:t xml:space="preserve">Przez administrację publiczną rozumie się: administrację wykonawczą i prawodawczą na poziomie centralnym, regionalnym i lokalnym; administrację i nadzór nad sprawami podatkowymi (obsługa podatków; pobór cła / podatku od towarów i dochodzenie w sprawie naruszenia prawa podatkowego; służba celna); </w:t>
            </w:r>
            <w:r w:rsidRPr="00822200">
              <w:rPr>
                <w:rFonts w:eastAsia="Calibri" w:cs="Arial"/>
              </w:rPr>
              <w:lastRenderedPageBreak/>
              <w:t>administrację zajmującą się wdrażaniem budżetu i zarządzaniem  środkami budżetu państwa i długiem publicznym (pobieranie i otrzymywanie pieniędzy oraz kontrola ich wydatkowania); administrację zajmującą się sprawami obywatelskimi, polityką w zakresie badań i rozwoju oraz powiązanymi funduszami; administrację i realizację  ogólnego planowania gospodarczego i społecznego oraz usług statystycznych na różnych szczeblach rządzenia.</w:t>
            </w:r>
          </w:p>
          <w:p w14:paraId="36DF4C91"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822200">
              <w:rPr>
                <w:rFonts w:eastAsia="Calibri" w:cs="Arial"/>
              </w:rPr>
              <w:t>Informacje dotyczące podmiotów objętych wsparciem powinny pochodzić z dokumentów administracyjnych np. z umów o dofinansowanie.</w:t>
            </w:r>
          </w:p>
          <w:p w14:paraId="2F89226E"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822200">
              <w:rPr>
                <w:rFonts w:eastAsia="Calibri" w:cs="Arial"/>
              </w:rPr>
              <w:t xml:space="preserve">Do wskaźnika wliczane są tylko te podmioty, dla których można wyróżnić </w:t>
            </w:r>
            <w:r w:rsidRPr="00822200">
              <w:rPr>
                <w:rFonts w:eastAsia="Calibri" w:cs="Arial"/>
              </w:rPr>
              <w:lastRenderedPageBreak/>
              <w:t>wydatki (nie dotyczy pomocy technicznej).</w:t>
            </w:r>
          </w:p>
          <w:p w14:paraId="3AFAA1F0"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822200">
              <w:rPr>
                <w:rFonts w:eastAsia="Calibri" w:cs="Arial"/>
              </w:rPr>
              <w:t>Podmiot jest wliczany do wskaźnika w momencie rozpoczęcia udziału w projekcie.</w:t>
            </w:r>
          </w:p>
        </w:tc>
        <w:tc>
          <w:tcPr>
            <w:tcW w:w="2147" w:type="dxa"/>
          </w:tcPr>
          <w:p w14:paraId="3C235512"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822200">
              <w:rPr>
                <w:rFonts w:cs="Arial"/>
              </w:rPr>
              <w:lastRenderedPageBreak/>
              <w:t xml:space="preserve">Pomiar wskaźnika odbywać się będzie na etapie realizacji projektu. </w:t>
            </w:r>
          </w:p>
        </w:tc>
        <w:tc>
          <w:tcPr>
            <w:tcW w:w="1964" w:type="dxa"/>
          </w:tcPr>
          <w:p w14:paraId="3283680F" w14:textId="3EA6D32B" w:rsidR="00582C3A" w:rsidRPr="00822200" w:rsidRDefault="00EE5892" w:rsidP="00822200">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822200">
              <w:rPr>
                <w:rFonts w:cs="Arial"/>
              </w:rPr>
              <w:t xml:space="preserve">Wskaźnik mierzony w momencie objęcia wsparciem  w projekcie podmiotów administracji publicznej lub służb publicznych na szczeblu krajowym, regionalnym lub lokalnym na podstawie dokumentów </w:t>
            </w:r>
            <w:r w:rsidRPr="00822200">
              <w:rPr>
                <w:rFonts w:cs="Arial"/>
              </w:rPr>
              <w:lastRenderedPageBreak/>
              <w:t>dostępnych na etapie realizacji.</w:t>
            </w:r>
          </w:p>
        </w:tc>
      </w:tr>
      <w:tr w:rsidR="00292241" w:rsidRPr="000C2A35" w14:paraId="447D201D" w14:textId="77777777" w:rsidTr="00B62DAF">
        <w:tc>
          <w:tcPr>
            <w:cnfStyle w:val="001000000000" w:firstRow="0" w:lastRow="0" w:firstColumn="1" w:lastColumn="0" w:oddVBand="0" w:evenVBand="0" w:oddHBand="0" w:evenHBand="0" w:firstRowFirstColumn="0" w:firstRowLastColumn="0" w:lastRowFirstColumn="0" w:lastRowLastColumn="0"/>
            <w:tcW w:w="988" w:type="dxa"/>
          </w:tcPr>
          <w:p w14:paraId="719DACCB" w14:textId="77777777" w:rsidR="00292241" w:rsidRPr="00822200" w:rsidRDefault="00292241" w:rsidP="00822200">
            <w:pPr>
              <w:spacing w:after="160" w:line="360" w:lineRule="auto"/>
              <w:rPr>
                <w:rFonts w:eastAsia="Calibri" w:cs="Arial"/>
              </w:rPr>
            </w:pPr>
            <w:r w:rsidRPr="00822200">
              <w:rPr>
                <w:rFonts w:eastAsia="Calibri" w:cs="Arial"/>
              </w:rPr>
              <w:lastRenderedPageBreak/>
              <w:t>WLWK-EECO19</w:t>
            </w:r>
          </w:p>
        </w:tc>
        <w:tc>
          <w:tcPr>
            <w:tcW w:w="1984" w:type="dxa"/>
          </w:tcPr>
          <w:p w14:paraId="48FAE83F"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bookmarkStart w:id="15" w:name="_GoBack"/>
            <w:r w:rsidRPr="00822200">
              <w:rPr>
                <w:rFonts w:eastAsia="Calibri" w:cs="Arial"/>
              </w:rPr>
              <w:t xml:space="preserve">Liczba objętych wsparciem mikro-, </w:t>
            </w:r>
            <w:bookmarkEnd w:id="15"/>
            <w:r w:rsidRPr="00822200">
              <w:rPr>
                <w:rFonts w:eastAsia="Calibri" w:cs="Arial"/>
              </w:rPr>
              <w:t>małych i średnich przedsiębiorstw (w tym spółdzielni i przedsiębiorstw społecznych)</w:t>
            </w:r>
          </w:p>
        </w:tc>
        <w:tc>
          <w:tcPr>
            <w:tcW w:w="1134" w:type="dxa"/>
          </w:tcPr>
          <w:p w14:paraId="5CACA681"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822200">
              <w:rPr>
                <w:rFonts w:eastAsia="Calibri" w:cs="Arial"/>
              </w:rPr>
              <w:t>przedsiębiorstwa</w:t>
            </w:r>
          </w:p>
        </w:tc>
        <w:tc>
          <w:tcPr>
            <w:tcW w:w="1418" w:type="dxa"/>
          </w:tcPr>
          <w:p w14:paraId="667C9919" w14:textId="372A5F48" w:rsidR="00292241" w:rsidRPr="00822200" w:rsidRDefault="00EE5892"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822200">
              <w:rPr>
                <w:rFonts w:eastAsia="Calibri" w:cs="Arial"/>
              </w:rPr>
              <w:t>Wartość docelowa nie została określona - wskaźnik mierzony na etapie realizacji projektu.</w:t>
            </w:r>
          </w:p>
        </w:tc>
        <w:tc>
          <w:tcPr>
            <w:tcW w:w="4394" w:type="dxa"/>
          </w:tcPr>
          <w:p w14:paraId="550A460C"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822200">
              <w:rPr>
                <w:rFonts w:eastAsia="Calibri" w:cs="Arial"/>
              </w:rPr>
              <w:t>Za przedsiębiorstwo uważa się podmiot prowadzący działalność gospodarczą bez względu na jego formę prawną, w tym spółdzielnie i przedsiębiorstwa społeczne.</w:t>
            </w:r>
          </w:p>
          <w:p w14:paraId="062E1EC4"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822200">
              <w:rPr>
                <w:rFonts w:eastAsia="Calibri" w:cs="Arial"/>
              </w:rPr>
              <w:t>Na kategorię mikroprzedsiębiorstw oraz małych i średnich przedsiębiorstw (MMŚP) składają się przedsiębiorstwa, które zatrudniają mniej niż 250 pracowników, których roczny obrót nie przekracza 50 milionów EUR lub roczna suma bilansowa nie przekracza 43 milionów EUR.</w:t>
            </w:r>
          </w:p>
          <w:p w14:paraId="325F07F7"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822200">
              <w:rPr>
                <w:rFonts w:eastAsia="Calibri" w:cs="Arial"/>
              </w:rPr>
              <w:t xml:space="preserve">Definicje na podstawie: Zalecenie Komisji z dnia 6 maja 2003 r. </w:t>
            </w:r>
            <w:r w:rsidRPr="00822200">
              <w:rPr>
                <w:rFonts w:eastAsia="Calibri" w:cs="Arial"/>
              </w:rPr>
              <w:lastRenderedPageBreak/>
              <w:t>dotyczące definicji mikroprzedsiębiorstw oraz małych i średnich przedsiębiorstw (2003/361/WE).</w:t>
            </w:r>
          </w:p>
          <w:p w14:paraId="02C16281"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822200">
              <w:rPr>
                <w:rFonts w:eastAsia="Calibri" w:cs="Arial"/>
              </w:rPr>
              <w:t>Dodatkowe informacje:</w:t>
            </w:r>
          </w:p>
          <w:p w14:paraId="4FECA530"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822200">
              <w:rPr>
                <w:rFonts w:eastAsia="Calibri" w:cs="Arial"/>
              </w:rPr>
              <w:t>W kategorii mikroprzedsiębiorstwa należy uwzględnić również osoby prowadzące działalność na własny rachunek.</w:t>
            </w:r>
          </w:p>
          <w:p w14:paraId="4489F05E"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822200">
              <w:rPr>
                <w:rFonts w:eastAsia="Calibri" w:cs="Arial"/>
              </w:rPr>
              <w:t xml:space="preserve">Tylko MMŚP, które korzystają bezpośrednio ze wsparcia powinny być uwzględniane do wskaźnika, tj. w przypadku, kiedy wsparcie jest kierowane do konkretnego przedsiębiorstwa. Jeżeli na przykład pracownik z MMŚP z własnej inicjatywy uczestniczy w szkoleniu, nie należy tego uwzględniać we wskaźniku dotyczącym MMŚP, ponieważ jest to tylko wsparcie pośrednie dla </w:t>
            </w:r>
            <w:r w:rsidRPr="00822200">
              <w:rPr>
                <w:rFonts w:eastAsia="Calibri" w:cs="Arial"/>
              </w:rPr>
              <w:lastRenderedPageBreak/>
              <w:t>przedsiębiorstwa. MMŚP będące jedynie beneficjentami projektu także nie są odnotowywane w tym wskaźniku.</w:t>
            </w:r>
          </w:p>
          <w:p w14:paraId="7AD70D07"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822200">
              <w:rPr>
                <w:rFonts w:eastAsia="Calibri" w:cs="Arial"/>
              </w:rPr>
              <w:t>Podmiot jest wliczany do wskaźnika w momencie rozpoczęcia udziału w projekcie.</w:t>
            </w:r>
          </w:p>
        </w:tc>
        <w:tc>
          <w:tcPr>
            <w:tcW w:w="2147" w:type="dxa"/>
          </w:tcPr>
          <w:p w14:paraId="271BBF4E" w14:textId="77777777" w:rsidR="00292241" w:rsidRPr="00822200" w:rsidRDefault="00292241" w:rsidP="00822200">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822200">
              <w:rPr>
                <w:rFonts w:cs="Arial"/>
              </w:rPr>
              <w:lastRenderedPageBreak/>
              <w:t xml:space="preserve">Pomiar wskaźnika odbywać się będzie na etapie realizacji projektu. </w:t>
            </w:r>
          </w:p>
        </w:tc>
        <w:tc>
          <w:tcPr>
            <w:tcW w:w="1964" w:type="dxa"/>
          </w:tcPr>
          <w:p w14:paraId="6E86CD41" w14:textId="1061D2BA" w:rsidR="00424987" w:rsidRPr="00822200" w:rsidRDefault="00EE5892" w:rsidP="00822200">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rPr>
            </w:pPr>
            <w:r w:rsidRPr="00822200">
              <w:rPr>
                <w:rFonts w:cs="Arial"/>
              </w:rPr>
              <w:t xml:space="preserve">Wskaźnik mierzony w momencie objęcia wsparciem  w projekcie mikro-, małych i średnich przedsiębiorstw (w tym spółdzielni i przedsiębiorstw społecznych) na podstawie dokumentów </w:t>
            </w:r>
            <w:r w:rsidRPr="00822200">
              <w:rPr>
                <w:rFonts w:cs="Arial"/>
              </w:rPr>
              <w:lastRenderedPageBreak/>
              <w:t>dostępnych na etapie realizacji.</w:t>
            </w:r>
          </w:p>
        </w:tc>
      </w:tr>
    </w:tbl>
    <w:p w14:paraId="0F45C8C9" w14:textId="77777777" w:rsidR="00292241" w:rsidRPr="000C2A35" w:rsidRDefault="00292241" w:rsidP="00292241">
      <w:pPr>
        <w:spacing w:after="160"/>
        <w:rPr>
          <w:rFonts w:ascii="Calibri" w:eastAsia="Calibri" w:hAnsi="Calibri" w:cs="Times New Roman"/>
          <w:b/>
          <w:sz w:val="22"/>
        </w:rPr>
      </w:pPr>
    </w:p>
    <w:p w14:paraId="03348F1B" w14:textId="77777777" w:rsidR="008876A1" w:rsidRPr="00292241" w:rsidRDefault="008876A1" w:rsidP="00292241"/>
    <w:sectPr w:rsidR="008876A1" w:rsidRPr="00292241" w:rsidSect="00B63FB6">
      <w:pgSz w:w="16838" w:h="11906" w:orient="landscape"/>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0AB9781" w16cex:dateUtc="2023-04-18T05:20:14.116Z">
    <w16cex:extLst>
      <w16:ext w16:uri="{CE6994B0-6A32-4C9F-8C6B-6E91EDA988CE}">
        <cr:reactions xmlns:cr="http://schemas.microsoft.com/office/comments/2020/reactions">
          <cr:reaction reactionType="1">
            <cr:reactionInfo dateUtc="2023-04-18T05:37:12.516Z">
              <cr:user userId="S::zlotorowiczr@slaskie.pl::60ae4bf7-0b22-496d-941a-5dac77d42263" userProvider="AD" userName="Złotorowicz Rafał"/>
            </cr:reactionInfo>
            <cr:reactionInfo dateUtc="2023-04-18T11:20:12.017Z">
              <cr:user userId="S::radziejowskaa@slaskie.pl::d7f78d1d-e247-479c-b043-a032073332cd" userProvider="AD" userName="Radziejowska Agnieszka"/>
            </cr:reactionInfo>
          </cr:reaction>
        </cr:reactions>
      </w16:ext>
    </w16cex:extLst>
  </w16cex:commentExtensible>
  <w16cex:commentExtensible w16cex:durableId="159232FA" w16cex:dateUtc="2023-04-18T05:35:00.424Z">
    <w16cex:extLst>
      <w16:ext w16:uri="{CE6994B0-6A32-4C9F-8C6B-6E91EDA988CE}">
        <cr:reactions xmlns:cr="http://schemas.microsoft.com/office/comments/2020/reactions">
          <cr:reaction reactionType="1">
            <cr:reactionInfo dateUtc="2023-04-18T11:39:15.221Z">
              <cr:user userId="S::pietakd@slaskie.pl::b0fba0f9-256b-4c28-bb41-848c22172ff3" userProvider="AD" userName="Piętak Dorota"/>
            </cr:reactionInfo>
          </cr:reaction>
        </cr:reactions>
      </w16:ext>
    </w16cex:extLst>
  </w16cex:commentExtensible>
  <w16cex:commentExtensible w16cex:durableId="421380B8" w16cex:dateUtc="2023-04-18T05:41:09.402Z"/>
  <w16cex:commentExtensible w16cex:durableId="26E97756" w16cex:dateUtc="2023-04-18T05:45:42.317Z"/>
  <w16cex:commentExtensible w16cex:durableId="7724EE68" w16cex:dateUtc="2023-04-18T05:47:22.633Z"/>
  <w16cex:commentExtensible w16cex:durableId="12F65C46" w16cex:dateUtc="2023-04-18T05:51:47.441Z">
    <w16cex:extLst>
      <w16:ext w16:uri="{CE6994B0-6A32-4C9F-8C6B-6E91EDA988CE}">
        <cr:reactions xmlns:cr="http://schemas.microsoft.com/office/comments/2020/reactions">
          <cr:reaction reactionType="1">
            <cr:reactionInfo dateUtc="2023-04-18T11:41:40.528Z">
              <cr:user userId="S::radziejowskaa@slaskie.pl::d7f78d1d-e247-479c-b043-a032073332cd" userProvider="AD" userName="Radziejowska Agnieszka"/>
            </cr:reactionInfo>
          </cr:reaction>
        </cr:reactions>
      </w16:ext>
    </w16cex:extLst>
  </w16cex:commentExtensible>
  <w16cex:commentExtensible w16cex:durableId="7A2A0177" w16cex:dateUtc="2023-04-18T05:54:08.156Z">
    <w16cex:extLst>
      <w16:ext w16:uri="{CE6994B0-6A32-4C9F-8C6B-6E91EDA988CE}">
        <cr:reactions xmlns:cr="http://schemas.microsoft.com/office/comments/2020/reactions">
          <cr:reaction reactionType="1">
            <cr:reactionInfo dateUtc="2023-04-18T11:42:34.014Z">
              <cr:user userId="S::radziejowskaa@slaskie.pl::d7f78d1d-e247-479c-b043-a032073332cd" userProvider="AD" userName="Radziejowska Agnieszka"/>
            </cr:reactionInfo>
          </cr:reaction>
        </cr:reactions>
      </w16:ext>
    </w16cex:extLst>
  </w16cex:commentExtensible>
  <w16cex:commentExtensible w16cex:durableId="6277E8CC" w16cex:dateUtc="2023-04-18T05:56:00.064Z"/>
  <w16cex:commentExtensible w16cex:durableId="20EFD078" w16cex:dateUtc="2023-04-18T05:58:43.028Z"/>
  <w16cex:commentExtensible w16cex:durableId="4CECA7CD" w16cex:dateUtc="2023-04-18T05:59:06.105Z">
    <w16cex:extLst>
      <w16:ext w16:uri="{CE6994B0-6A32-4C9F-8C6B-6E91EDA988CE}">
        <cr:reactions xmlns:cr="http://schemas.microsoft.com/office/comments/2020/reactions">
          <cr:reaction reactionType="1">
            <cr:reactionInfo dateUtc="2023-04-18T11:45:08.247Z">
              <cr:user userId="S::radziejowskaa@slaskie.pl::d7f78d1d-e247-479c-b043-a032073332cd" userProvider="AD" userName="Radziejowska Agnieszka"/>
            </cr:reactionInfo>
          </cr:reaction>
        </cr:reactions>
      </w16:ext>
    </w16cex:extLst>
  </w16cex:commentExtensible>
  <w16cex:commentExtensible w16cex:durableId="37F9ACB1" w16cex:dateUtc="2023-04-18T06:33:17.442Z">
    <w16cex:extLst>
      <w16:ext w16:uri="{CE6994B0-6A32-4C9F-8C6B-6E91EDA988CE}">
        <cr:reactions xmlns:cr="http://schemas.microsoft.com/office/comments/2020/reactions">
          <cr:reaction reactionType="1">
            <cr:reactionInfo dateUtc="2023-04-18T11:45:36.468Z">
              <cr:user userId="S::radziejowskaa@slaskie.pl::d7f78d1d-e247-479c-b043-a032073332cd" userProvider="AD" userName="Radziejowska Agnieszka"/>
            </cr:reactionInfo>
          </cr:reaction>
        </cr:reactions>
      </w16:ext>
    </w16cex:extLst>
  </w16cex:commentExtensible>
  <w16cex:commentExtensible w16cex:durableId="72ACC3C7" w16cex:dateUtc="2023-04-18T06:35:43.631Z"/>
  <w16cex:commentExtensible w16cex:durableId="59506E26" w16cex:dateUtc="2023-04-18T06:40:44.936Z">
    <w16cex:extLst>
      <w16:ext w16:uri="{CE6994B0-6A32-4C9F-8C6B-6E91EDA988CE}">
        <cr:reactions xmlns:cr="http://schemas.microsoft.com/office/comments/2020/reactions">
          <cr:reaction reactionType="1">
            <cr:reactionInfo dateUtc="2023-04-18T11:52:44.146Z">
              <cr:user userId="S::radziejowskaa@slaskie.pl::d7f78d1d-e247-479c-b043-a032073332cd" userProvider="AD" userName="Radziejowska Agnieszka"/>
            </cr:reactionInfo>
          </cr:reaction>
        </cr:reactions>
      </w16:ext>
    </w16cex:extLst>
  </w16cex:commentExtensible>
  <w16cex:commentExtensible w16cex:durableId="518FE1A6" w16cex:dateUtc="2023-04-18T06:42:06.993Z"/>
  <w16cex:commentExtensible w16cex:durableId="04D554BA" w16cex:dateUtc="2023-04-18T06:42:27.582Z"/>
  <w16cex:commentExtensible w16cex:durableId="5919418B" w16cex:dateUtc="2023-04-18T06:57:47.736Z">
    <w16cex:extLst>
      <w16:ext w16:uri="{CE6994B0-6A32-4C9F-8C6B-6E91EDA988CE}">
        <cr:reactions xmlns:cr="http://schemas.microsoft.com/office/comments/2020/reactions">
          <cr:reaction reactionType="1">
            <cr:reactionInfo dateUtc="2023-04-18T11:53:21.552Z">
              <cr:user userId="S::radziejowskaa@slaskie.pl::d7f78d1d-e247-479c-b043-a032073332cd" userProvider="AD" userName="Radziejowska Agnieszka"/>
            </cr:reactionInfo>
          </cr:reaction>
        </cr:reactions>
      </w16:ext>
    </w16cex:extLst>
  </w16cex:commentExtensible>
  <w16cex:commentExtensible w16cex:durableId="2DF1BC0C" w16cex:dateUtc="2023-04-18T06:58:39.331Z">
    <w16cex:extLst>
      <w16:ext w16:uri="{CE6994B0-6A32-4C9F-8C6B-6E91EDA988CE}">
        <cr:reactions xmlns:cr="http://schemas.microsoft.com/office/comments/2020/reactions">
          <cr:reaction reactionType="1">
            <cr:reactionInfo dateUtc="2023-04-18T11:53:32.894Z">
              <cr:user userId="S::radziejowskaa@slaskie.pl::d7f78d1d-e247-479c-b043-a032073332cd" userProvider="AD" userName="Radziejowska Agnieszka"/>
            </cr:reactionInfo>
            <cr:reactionInfo dateUtc="2023-04-18T12:25:06.767Z">
              <cr:user userId="S::pietakd@slaskie.pl::b0fba0f9-256b-4c28-bb41-848c22172ff3" userProvider="AD" userName="Piętak Dorota"/>
            </cr:reactionInfo>
          </cr:reaction>
        </cr:reactions>
      </w16:ext>
    </w16cex:extLst>
  </w16cex:commentExtensible>
  <w16cex:commentExtensible w16cex:durableId="13902AA7" w16cex:dateUtc="2023-04-18T06:59:59.52Z">
    <w16cex:extLst>
      <w16:ext w16:uri="{CE6994B0-6A32-4C9F-8C6B-6E91EDA988CE}">
        <cr:reactions xmlns:cr="http://schemas.microsoft.com/office/comments/2020/reactions">
          <cr:reaction reactionType="1">
            <cr:reactionInfo dateUtc="2023-04-18T11:52:45.735Z">
              <cr:user userId="S::radziejowskaa@slaskie.pl::d7f78d1d-e247-479c-b043-a032073332cd" userProvider="AD" userName="Radziejowska Agnieszka"/>
            </cr:reactionInfo>
          </cr:reaction>
        </cr:reactions>
      </w16:ext>
    </w16cex:extLst>
  </w16cex:commentExtensible>
  <w16cex:commentExtensible w16cex:durableId="030E9B31" w16cex:dateUtc="2023-04-18T07:11:23.328Z"/>
  <w16cex:commentExtensible w16cex:durableId="38B8AC20" w16cex:dateUtc="2023-04-18T07:12:12.367Z">
    <w16cex:extLst>
      <w16:ext w16:uri="{CE6994B0-6A32-4C9F-8C6B-6E91EDA988CE}">
        <cr:reactions xmlns:cr="http://schemas.microsoft.com/office/comments/2020/reactions">
          <cr:reaction reactionType="1">
            <cr:reactionInfo dateUtc="2023-04-18T12:23:57.788Z">
              <cr:user userId="S::pietakd@slaskie.pl::b0fba0f9-256b-4c28-bb41-848c22172ff3" userProvider="AD" userName="Piętak Dorota"/>
            </cr:reactionInfo>
          </cr:reaction>
        </cr:reactions>
      </w16:ext>
    </w16cex:extLst>
  </w16cex:commentExtensible>
  <w16cex:commentExtensible w16cex:durableId="74766E93" w16cex:dateUtc="2023-04-18T07:12:53.713Z">
    <w16cex:extLst>
      <w16:ext w16:uri="{CE6994B0-6A32-4C9F-8C6B-6E91EDA988CE}">
        <cr:reactions xmlns:cr="http://schemas.microsoft.com/office/comments/2020/reactions">
          <cr:reaction reactionType="1">
            <cr:reactionInfo dateUtc="2023-04-18T11:45:11.928Z">
              <cr:user userId="S::radziejowskaa@slaskie.pl::d7f78d1d-e247-479c-b043-a032073332cd" userProvider="AD" userName="Radziejowska Agnieszka"/>
            </cr:reactionInfo>
          </cr:reaction>
        </cr:reactions>
      </w16:ext>
    </w16cex:extLst>
  </w16cex:commentExtensible>
  <w16cex:commentExtensible w16cex:durableId="2B321DBA" w16cex:dateUtc="2023-04-18T07:13:33.114Z">
    <w16cex:extLst>
      <w16:ext w16:uri="{CE6994B0-6A32-4C9F-8C6B-6E91EDA988CE}">
        <cr:reactions xmlns:cr="http://schemas.microsoft.com/office/comments/2020/reactions">
          <cr:reaction reactionType="1">
            <cr:reactionInfo dateUtc="2023-04-18T11:48:06.01Z">
              <cr:user userId="S::radziejowskaa@slaskie.pl::d7f78d1d-e247-479c-b043-a032073332cd" userProvider="AD" userName="Radziejowska Agnieszka"/>
            </cr:reactionInfo>
          </cr:reaction>
        </cr:reactions>
      </w16:ext>
    </w16cex:extLst>
  </w16cex:commentExtensible>
  <w16cex:commentExtensible w16cex:durableId="2C101A65" w16cex:dateUtc="2023-04-18T11:29:45.612Z"/>
  <w16cex:commentExtensible w16cex:durableId="00367593" w16cex:dateUtc="2023-04-18T11:31:18.988Z"/>
  <w16cex:commentExtensible w16cex:durableId="2E911617" w16cex:dateUtc="2023-04-18T11:36:41.157Z"/>
  <w16cex:commentExtensible w16cex:durableId="6BFB759B" w16cex:dateUtc="2023-04-18T11:38:55.824Z"/>
  <w16cex:commentExtensible w16cex:durableId="2D18C26B" w16cex:dateUtc="2023-04-18T11:43:08.799Z"/>
  <w16cex:commentExtensible w16cex:durableId="20F64AC2" w16cex:dateUtc="2023-04-18T11:44:46.928Z">
    <w16cex:extLst>
      <w16:ext w16:uri="{CE6994B0-6A32-4C9F-8C6B-6E91EDA988CE}">
        <cr:reactions xmlns:cr="http://schemas.microsoft.com/office/comments/2020/reactions">
          <cr:reaction reactionType="1">
            <cr:reactionInfo dateUtc="2023-04-18T12:24:01.984Z">
              <cr:user userId="S::pietakd@slaskie.pl::b0fba0f9-256b-4c28-bb41-848c22172ff3" userProvider="AD" userName="Piętak Dorota"/>
            </cr:reactionInfo>
          </cr:reaction>
        </cr:reactions>
      </w16:ext>
    </w16cex:extLst>
  </w16cex:commentExtensible>
  <w16cex:commentExtensible w16cex:durableId="2FE36B08" w16cex:dateUtc="2023-04-18T11:52:04.659Z"/>
  <w16cex:commentExtensible w16cex:durableId="4D9B9477" w16cex:dateUtc="2023-04-18T12:15:52.859Z"/>
  <w16cex:commentExtensible w16cex:durableId="0F265E29" w16cex:dateUtc="2023-04-18T12:22:32.501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772E0"/>
    <w:multiLevelType w:val="multilevel"/>
    <w:tmpl w:val="9C9EE568"/>
    <w:lvl w:ilvl="0">
      <w:start w:val="1"/>
      <w:numFmt w:val="decimal"/>
      <w:pStyle w:val="Nagwek1"/>
      <w:lvlText w:val="%1."/>
      <w:lvlJc w:val="left"/>
      <w:pPr>
        <w:ind w:left="792" w:hanging="432"/>
      </w:pPr>
    </w:lvl>
    <w:lvl w:ilvl="1">
      <w:start w:val="1"/>
      <w:numFmt w:val="decimal"/>
      <w:pStyle w:val="Nagwek2"/>
      <w:lvlText w:val="%1.%2"/>
      <w:lvlJc w:val="left"/>
      <w:pPr>
        <w:ind w:left="93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1080" w:hanging="720"/>
      </w:pPr>
    </w:lvl>
    <w:lvl w:ilvl="3">
      <w:start w:val="1"/>
      <w:numFmt w:val="decimal"/>
      <w:pStyle w:val="Nagwek4"/>
      <w:lvlText w:val="%1.%2.%3.%4"/>
      <w:lvlJc w:val="left"/>
      <w:pPr>
        <w:ind w:left="1224" w:hanging="864"/>
      </w:pPr>
    </w:lvl>
    <w:lvl w:ilvl="4">
      <w:start w:val="1"/>
      <w:numFmt w:val="decimal"/>
      <w:pStyle w:val="Nagwek5"/>
      <w:lvlText w:val="%1.%2.%3.%4.%5"/>
      <w:lvlJc w:val="left"/>
      <w:pPr>
        <w:ind w:left="1368" w:hanging="1008"/>
      </w:pPr>
    </w:lvl>
    <w:lvl w:ilvl="5">
      <w:start w:val="1"/>
      <w:numFmt w:val="decimal"/>
      <w:pStyle w:val="Nagwek6"/>
      <w:lvlText w:val="%1.%2.%3.%4.%5.%6"/>
      <w:lvlJc w:val="left"/>
      <w:pPr>
        <w:ind w:left="1512" w:hanging="1152"/>
      </w:pPr>
    </w:lvl>
    <w:lvl w:ilvl="6">
      <w:start w:val="1"/>
      <w:numFmt w:val="decimal"/>
      <w:pStyle w:val="Nagwek7"/>
      <w:lvlText w:val="%1.%2.%3.%4.%5.%6.%7"/>
      <w:lvlJc w:val="left"/>
      <w:pPr>
        <w:ind w:left="1656" w:hanging="1296"/>
      </w:pPr>
    </w:lvl>
    <w:lvl w:ilvl="7">
      <w:start w:val="1"/>
      <w:numFmt w:val="decimal"/>
      <w:pStyle w:val="Nagwek8"/>
      <w:lvlText w:val="%1.%2.%3.%4.%5.%6.%7.%8"/>
      <w:lvlJc w:val="left"/>
      <w:pPr>
        <w:ind w:left="1800" w:hanging="1440"/>
      </w:pPr>
    </w:lvl>
    <w:lvl w:ilvl="8">
      <w:start w:val="1"/>
      <w:numFmt w:val="decimal"/>
      <w:pStyle w:val="Nagwek9"/>
      <w:lvlText w:val="%1.%2.%3.%4.%5.%6.%7.%8.%9"/>
      <w:lvlJc w:val="left"/>
      <w:pPr>
        <w:ind w:left="1944" w:hanging="1584"/>
      </w:pPr>
    </w:lvl>
  </w:abstractNum>
  <w:abstractNum w:abstractNumId="1" w15:restartNumberingAfterBreak="0">
    <w:nsid w:val="4F554902"/>
    <w:multiLevelType w:val="hybridMultilevel"/>
    <w:tmpl w:val="0D2232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FB6"/>
    <w:rsid w:val="00034194"/>
    <w:rsid w:val="000433DB"/>
    <w:rsid w:val="0008360C"/>
    <w:rsid w:val="00141F9D"/>
    <w:rsid w:val="0014566E"/>
    <w:rsid w:val="00225386"/>
    <w:rsid w:val="00246299"/>
    <w:rsid w:val="00274903"/>
    <w:rsid w:val="00292241"/>
    <w:rsid w:val="00292B14"/>
    <w:rsid w:val="002D2D7B"/>
    <w:rsid w:val="002E4A7A"/>
    <w:rsid w:val="002F6DD2"/>
    <w:rsid w:val="00306485"/>
    <w:rsid w:val="00307A16"/>
    <w:rsid w:val="003A3929"/>
    <w:rsid w:val="003A4272"/>
    <w:rsid w:val="00424987"/>
    <w:rsid w:val="0045267F"/>
    <w:rsid w:val="005038B2"/>
    <w:rsid w:val="0056137C"/>
    <w:rsid w:val="00582C3A"/>
    <w:rsid w:val="006156D3"/>
    <w:rsid w:val="00630073"/>
    <w:rsid w:val="006667A6"/>
    <w:rsid w:val="007029CC"/>
    <w:rsid w:val="0072C279"/>
    <w:rsid w:val="00780CCE"/>
    <w:rsid w:val="00822200"/>
    <w:rsid w:val="008551D5"/>
    <w:rsid w:val="0088210A"/>
    <w:rsid w:val="008876A1"/>
    <w:rsid w:val="00906FEB"/>
    <w:rsid w:val="0099379E"/>
    <w:rsid w:val="00A125D0"/>
    <w:rsid w:val="00A71D8F"/>
    <w:rsid w:val="00AB691E"/>
    <w:rsid w:val="00AF4EB8"/>
    <w:rsid w:val="00B03A51"/>
    <w:rsid w:val="00B139D0"/>
    <w:rsid w:val="00B501B5"/>
    <w:rsid w:val="00B62DAF"/>
    <w:rsid w:val="00B63FB6"/>
    <w:rsid w:val="00BC5ACF"/>
    <w:rsid w:val="00BD062A"/>
    <w:rsid w:val="00C362E7"/>
    <w:rsid w:val="00C858C1"/>
    <w:rsid w:val="00CE3683"/>
    <w:rsid w:val="00D443ED"/>
    <w:rsid w:val="00DB04CD"/>
    <w:rsid w:val="00E01420"/>
    <w:rsid w:val="00E12FEF"/>
    <w:rsid w:val="00E5438C"/>
    <w:rsid w:val="00E74E44"/>
    <w:rsid w:val="00EB2FC2"/>
    <w:rsid w:val="00EE5892"/>
    <w:rsid w:val="00EF1A39"/>
    <w:rsid w:val="00F53C97"/>
    <w:rsid w:val="00FA11F7"/>
    <w:rsid w:val="00FE2C5B"/>
    <w:rsid w:val="00FF64DC"/>
    <w:rsid w:val="02C13F10"/>
    <w:rsid w:val="051874ED"/>
    <w:rsid w:val="09564269"/>
    <w:rsid w:val="12C187F6"/>
    <w:rsid w:val="135D6F61"/>
    <w:rsid w:val="168BB73F"/>
    <w:rsid w:val="1A3B7E52"/>
    <w:rsid w:val="1C82B5F6"/>
    <w:rsid w:val="1DA43FB9"/>
    <w:rsid w:val="2189BAF8"/>
    <w:rsid w:val="259CDD3F"/>
    <w:rsid w:val="26B82439"/>
    <w:rsid w:val="26EE0913"/>
    <w:rsid w:val="2703A6ED"/>
    <w:rsid w:val="2738ADA0"/>
    <w:rsid w:val="294FA442"/>
    <w:rsid w:val="2C33A178"/>
    <w:rsid w:val="2CCA391D"/>
    <w:rsid w:val="308EC688"/>
    <w:rsid w:val="33C43C3B"/>
    <w:rsid w:val="36153042"/>
    <w:rsid w:val="37AED594"/>
    <w:rsid w:val="37E7A7D2"/>
    <w:rsid w:val="43D1750E"/>
    <w:rsid w:val="43EEFE21"/>
    <w:rsid w:val="456D456F"/>
    <w:rsid w:val="521F8AFD"/>
    <w:rsid w:val="57272720"/>
    <w:rsid w:val="5C67EEEC"/>
    <w:rsid w:val="5CBCCA84"/>
    <w:rsid w:val="5F413E8C"/>
    <w:rsid w:val="608AB1F8"/>
    <w:rsid w:val="61FD4E15"/>
    <w:rsid w:val="677D4B27"/>
    <w:rsid w:val="68ED2493"/>
    <w:rsid w:val="6D11942C"/>
    <w:rsid w:val="6E485885"/>
    <w:rsid w:val="747AC2A0"/>
    <w:rsid w:val="769238E9"/>
    <w:rsid w:val="76FE2ECC"/>
    <w:rsid w:val="77C8636C"/>
    <w:rsid w:val="79B0B14E"/>
    <w:rsid w:val="7BFD6F7C"/>
    <w:rsid w:val="7CA77F69"/>
    <w:rsid w:val="7E98CD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16D8"/>
  <w15:chartTrackingRefBased/>
  <w15:docId w15:val="{6E242EE3-B2E2-4166-A7B0-6D74D1A80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63FB6"/>
    <w:pPr>
      <w:spacing w:after="40"/>
    </w:pPr>
    <w:rPr>
      <w:rFonts w:ascii="Arial" w:hAnsi="Arial"/>
      <w:sz w:val="24"/>
    </w:rPr>
  </w:style>
  <w:style w:type="paragraph" w:styleId="Nagwek1">
    <w:name w:val="heading 1"/>
    <w:basedOn w:val="Normalny"/>
    <w:next w:val="Normalny"/>
    <w:link w:val="Nagwek1Znak"/>
    <w:uiPriority w:val="9"/>
    <w:qFormat/>
    <w:rsid w:val="00B63FB6"/>
    <w:pPr>
      <w:keepNext/>
      <w:keepLines/>
      <w:numPr>
        <w:numId w:val="1"/>
      </w:numPr>
      <w:spacing w:before="120" w:after="120"/>
      <w:outlineLvl w:val="0"/>
    </w:pPr>
    <w:rPr>
      <w:rFonts w:eastAsiaTheme="majorEastAsia" w:cstheme="majorBidi"/>
      <w:b/>
      <w:color w:val="2E74B5" w:themeColor="accent1" w:themeShade="BF"/>
      <w:sz w:val="32"/>
      <w:szCs w:val="32"/>
    </w:rPr>
  </w:style>
  <w:style w:type="paragraph" w:styleId="Nagwek2">
    <w:name w:val="heading 2"/>
    <w:basedOn w:val="Normalny"/>
    <w:next w:val="Normalny"/>
    <w:link w:val="Nagwek2Znak"/>
    <w:uiPriority w:val="9"/>
    <w:unhideWhenUsed/>
    <w:qFormat/>
    <w:rsid w:val="00B63FB6"/>
    <w:pPr>
      <w:keepNext/>
      <w:keepLines/>
      <w:numPr>
        <w:ilvl w:val="1"/>
        <w:numId w:val="1"/>
      </w:numPr>
      <w:spacing w:before="40" w:after="0"/>
      <w:outlineLvl w:val="1"/>
    </w:pPr>
    <w:rPr>
      <w:rFonts w:eastAsiaTheme="majorEastAsia" w:cstheme="majorBidi"/>
      <w:b/>
      <w:color w:val="2E74B5" w:themeColor="accent1" w:themeShade="BF"/>
      <w:sz w:val="26"/>
      <w:szCs w:val="26"/>
    </w:rPr>
  </w:style>
  <w:style w:type="paragraph" w:styleId="Nagwek3">
    <w:name w:val="heading 3"/>
    <w:basedOn w:val="Normalny"/>
    <w:next w:val="Normalny"/>
    <w:link w:val="Nagwek3Znak"/>
    <w:uiPriority w:val="9"/>
    <w:unhideWhenUsed/>
    <w:qFormat/>
    <w:rsid w:val="00B63FB6"/>
    <w:pPr>
      <w:keepNext/>
      <w:keepLines/>
      <w:numPr>
        <w:ilvl w:val="2"/>
        <w:numId w:val="1"/>
      </w:numPr>
      <w:spacing w:before="40" w:after="0"/>
      <w:outlineLvl w:val="2"/>
    </w:pPr>
    <w:rPr>
      <w:rFonts w:eastAsiaTheme="majorEastAsia" w:cstheme="majorBidi"/>
      <w:b/>
      <w:color w:val="1F4D78" w:themeColor="accent1" w:themeShade="7F"/>
      <w:szCs w:val="24"/>
    </w:rPr>
  </w:style>
  <w:style w:type="paragraph" w:styleId="Nagwek4">
    <w:name w:val="heading 4"/>
    <w:basedOn w:val="Normalny"/>
    <w:next w:val="Normalny"/>
    <w:link w:val="Nagwek4Znak"/>
    <w:uiPriority w:val="9"/>
    <w:unhideWhenUsed/>
    <w:qFormat/>
    <w:rsid w:val="00B63FB6"/>
    <w:pPr>
      <w:keepNext/>
      <w:keepLines/>
      <w:numPr>
        <w:ilvl w:val="3"/>
        <w:numId w:val="1"/>
      </w:numPr>
      <w:spacing w:before="40" w:after="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semiHidden/>
    <w:unhideWhenUsed/>
    <w:qFormat/>
    <w:rsid w:val="00B63FB6"/>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semiHidden/>
    <w:unhideWhenUsed/>
    <w:qFormat/>
    <w:rsid w:val="00B63FB6"/>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semiHidden/>
    <w:unhideWhenUsed/>
    <w:qFormat/>
    <w:rsid w:val="00B63FB6"/>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B63FB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B63FB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63FB6"/>
    <w:rPr>
      <w:rFonts w:ascii="Arial" w:eastAsiaTheme="majorEastAsia" w:hAnsi="Arial" w:cstheme="majorBidi"/>
      <w:b/>
      <w:color w:val="2E74B5" w:themeColor="accent1" w:themeShade="BF"/>
      <w:sz w:val="32"/>
      <w:szCs w:val="32"/>
    </w:rPr>
  </w:style>
  <w:style w:type="character" w:customStyle="1" w:styleId="Nagwek2Znak">
    <w:name w:val="Nagłówek 2 Znak"/>
    <w:basedOn w:val="Domylnaczcionkaakapitu"/>
    <w:link w:val="Nagwek2"/>
    <w:uiPriority w:val="9"/>
    <w:rsid w:val="00B63FB6"/>
    <w:rPr>
      <w:rFonts w:ascii="Arial" w:eastAsiaTheme="majorEastAsia" w:hAnsi="Arial" w:cstheme="majorBidi"/>
      <w:b/>
      <w:color w:val="2E74B5" w:themeColor="accent1" w:themeShade="BF"/>
      <w:sz w:val="26"/>
      <w:szCs w:val="26"/>
    </w:rPr>
  </w:style>
  <w:style w:type="character" w:customStyle="1" w:styleId="Nagwek3Znak">
    <w:name w:val="Nagłówek 3 Znak"/>
    <w:basedOn w:val="Domylnaczcionkaakapitu"/>
    <w:link w:val="Nagwek3"/>
    <w:uiPriority w:val="9"/>
    <w:rsid w:val="00B63FB6"/>
    <w:rPr>
      <w:rFonts w:ascii="Arial" w:eastAsiaTheme="majorEastAsia" w:hAnsi="Arial" w:cstheme="majorBidi"/>
      <w:b/>
      <w:color w:val="1F4D78" w:themeColor="accent1" w:themeShade="7F"/>
      <w:sz w:val="24"/>
      <w:szCs w:val="24"/>
    </w:rPr>
  </w:style>
  <w:style w:type="character" w:customStyle="1" w:styleId="Nagwek4Znak">
    <w:name w:val="Nagłówek 4 Znak"/>
    <w:basedOn w:val="Domylnaczcionkaakapitu"/>
    <w:link w:val="Nagwek4"/>
    <w:uiPriority w:val="9"/>
    <w:rsid w:val="00B63FB6"/>
    <w:rPr>
      <w:rFonts w:ascii="Arial" w:eastAsiaTheme="majorEastAsia" w:hAnsi="Arial" w:cstheme="majorBidi"/>
      <w:i/>
      <w:iCs/>
      <w:color w:val="2E74B5" w:themeColor="accent1" w:themeShade="BF"/>
      <w:sz w:val="24"/>
    </w:rPr>
  </w:style>
  <w:style w:type="character" w:customStyle="1" w:styleId="Nagwek5Znak">
    <w:name w:val="Nagłówek 5 Znak"/>
    <w:basedOn w:val="Domylnaczcionkaakapitu"/>
    <w:link w:val="Nagwek5"/>
    <w:uiPriority w:val="9"/>
    <w:semiHidden/>
    <w:rsid w:val="00B63FB6"/>
    <w:rPr>
      <w:rFonts w:asciiTheme="majorHAnsi" w:eastAsiaTheme="majorEastAsia" w:hAnsiTheme="majorHAnsi" w:cstheme="majorBidi"/>
      <w:color w:val="2E74B5" w:themeColor="accent1" w:themeShade="BF"/>
      <w:sz w:val="24"/>
    </w:rPr>
  </w:style>
  <w:style w:type="character" w:customStyle="1" w:styleId="Nagwek6Znak">
    <w:name w:val="Nagłówek 6 Znak"/>
    <w:basedOn w:val="Domylnaczcionkaakapitu"/>
    <w:link w:val="Nagwek6"/>
    <w:uiPriority w:val="9"/>
    <w:semiHidden/>
    <w:rsid w:val="00B63FB6"/>
    <w:rPr>
      <w:rFonts w:asciiTheme="majorHAnsi" w:eastAsiaTheme="majorEastAsia" w:hAnsiTheme="majorHAnsi" w:cstheme="majorBidi"/>
      <w:color w:val="1F4D78" w:themeColor="accent1" w:themeShade="7F"/>
      <w:sz w:val="24"/>
    </w:rPr>
  </w:style>
  <w:style w:type="character" w:customStyle="1" w:styleId="Nagwek7Znak">
    <w:name w:val="Nagłówek 7 Znak"/>
    <w:basedOn w:val="Domylnaczcionkaakapitu"/>
    <w:link w:val="Nagwek7"/>
    <w:uiPriority w:val="9"/>
    <w:semiHidden/>
    <w:rsid w:val="00B63FB6"/>
    <w:rPr>
      <w:rFonts w:asciiTheme="majorHAnsi" w:eastAsiaTheme="majorEastAsia" w:hAnsiTheme="majorHAnsi" w:cstheme="majorBidi"/>
      <w:i/>
      <w:iCs/>
      <w:color w:val="1F4D78" w:themeColor="accent1" w:themeShade="7F"/>
      <w:sz w:val="24"/>
    </w:rPr>
  </w:style>
  <w:style w:type="character" w:customStyle="1" w:styleId="Nagwek8Znak">
    <w:name w:val="Nagłówek 8 Znak"/>
    <w:basedOn w:val="Domylnaczcionkaakapitu"/>
    <w:link w:val="Nagwek8"/>
    <w:uiPriority w:val="9"/>
    <w:semiHidden/>
    <w:rsid w:val="00B63FB6"/>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B63FB6"/>
    <w:rPr>
      <w:rFonts w:asciiTheme="majorHAnsi" w:eastAsiaTheme="majorEastAsia" w:hAnsiTheme="majorHAnsi" w:cstheme="majorBidi"/>
      <w:i/>
      <w:iCs/>
      <w:color w:val="272727" w:themeColor="text1" w:themeTint="D8"/>
      <w:sz w:val="21"/>
      <w:szCs w:val="21"/>
    </w:rPr>
  </w:style>
  <w:style w:type="character" w:customStyle="1" w:styleId="normaltextrun">
    <w:name w:val="normaltextrun"/>
    <w:basedOn w:val="Domylnaczcionkaakapitu"/>
    <w:rsid w:val="00B63FB6"/>
  </w:style>
  <w:style w:type="table" w:customStyle="1" w:styleId="Tabela-Siatka1">
    <w:name w:val="Tabela - Siatka1"/>
    <w:basedOn w:val="Standardowy"/>
    <w:next w:val="Tabela-Siatka"/>
    <w:uiPriority w:val="39"/>
    <w:rsid w:val="00B63F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B63F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rFonts w:ascii="Arial" w:hAnsi="Arial"/>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A71D8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71D8F"/>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A71D8F"/>
    <w:rPr>
      <w:b/>
      <w:bCs/>
    </w:rPr>
  </w:style>
  <w:style w:type="character" w:customStyle="1" w:styleId="TematkomentarzaZnak">
    <w:name w:val="Temat komentarza Znak"/>
    <w:basedOn w:val="TekstkomentarzaZnak"/>
    <w:link w:val="Tematkomentarza"/>
    <w:uiPriority w:val="99"/>
    <w:semiHidden/>
    <w:rsid w:val="00A71D8F"/>
    <w:rPr>
      <w:rFonts w:ascii="Arial" w:hAnsi="Arial"/>
      <w:b/>
      <w:bCs/>
      <w:sz w:val="20"/>
      <w:szCs w:val="20"/>
    </w:rPr>
  </w:style>
  <w:style w:type="table" w:styleId="Tabelasiatki1jasna">
    <w:name w:val="Grid Table 1 Light"/>
    <w:basedOn w:val="Standardowy"/>
    <w:uiPriority w:val="46"/>
    <w:rsid w:val="00B62DA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kapitzlist">
    <w:name w:val="List Paragraph"/>
    <w:basedOn w:val="Normalny"/>
    <w:uiPriority w:val="34"/>
    <w:qFormat/>
    <w:rsid w:val="00780C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40482d38fb64437b" Type="http://schemas.microsoft.com/office/2018/08/relationships/commentsExtensible" Target="commentsExtensible.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4" ma:contentTypeDescription="Utwórz nowy dokument." ma:contentTypeScope="" ma:versionID="5574ded999a1aedf03e6ef5b8792f387">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b5acaf124c5447fa467085fc1f0e8884"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4E21E7-3F8E-4B84-B6BC-09AC7F490276}">
  <ds:schemaRefs>
    <ds:schemaRef ds:uri="http://schemas.microsoft.com/sharepoint/v3/contenttype/forms"/>
  </ds:schemaRefs>
</ds:datastoreItem>
</file>

<file path=customXml/itemProps2.xml><?xml version="1.0" encoding="utf-8"?>
<ds:datastoreItem xmlns:ds="http://schemas.openxmlformats.org/officeDocument/2006/customXml" ds:itemID="{BA5654B0-D235-47D7-8AF6-F49CD2115548}">
  <ds:schemaRefs>
    <ds:schemaRef ds:uri="http://schemas.microsoft.com/office/2006/metadata/properties"/>
    <ds:schemaRef ds:uri="http://schemas.microsoft.com/office/infopath/2007/PartnerControls"/>
    <ds:schemaRef ds:uri="d4f64a22-a125-4b7a-afce-4a30c86a8f7c"/>
  </ds:schemaRefs>
</ds:datastoreItem>
</file>

<file path=customXml/itemProps3.xml><?xml version="1.0" encoding="utf-8"?>
<ds:datastoreItem xmlns:ds="http://schemas.openxmlformats.org/officeDocument/2006/customXml" ds:itemID="{A0EB7370-62FA-4268-BBC9-21703AAAE3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45</Pages>
  <Words>4758</Words>
  <Characters>28554</Characters>
  <Application>Microsoft Office Word</Application>
  <DocSecurity>0</DocSecurity>
  <Lines>237</Lines>
  <Paragraphs>66</Paragraphs>
  <ScaleCrop>false</ScaleCrop>
  <HeadingPairs>
    <vt:vector size="2" baseType="variant">
      <vt:variant>
        <vt:lpstr>Tytuł</vt:lpstr>
      </vt:variant>
      <vt:variant>
        <vt:i4>1</vt:i4>
      </vt:variant>
    </vt:vector>
  </HeadingPairs>
  <TitlesOfParts>
    <vt:vector size="1" baseType="lpstr">
      <vt:lpstr>Załącznik nr 2 - Wskaźniki</vt:lpstr>
    </vt:vector>
  </TitlesOfParts>
  <Company/>
  <LinksUpToDate>false</LinksUpToDate>
  <CharactersWithSpaces>33246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 Wskaźniki</dc:title>
  <dc:subject/>
  <dc:creator>Frączek Adriana</dc:creator>
  <cp:keywords/>
  <dc:description/>
  <cp:lastModifiedBy>Gruszka Diana</cp:lastModifiedBy>
  <cp:revision>13</cp:revision>
  <dcterms:created xsi:type="dcterms:W3CDTF">2023-04-24T20:37:00Z</dcterms:created>
  <dcterms:modified xsi:type="dcterms:W3CDTF">2023-04-27T12:38:00Z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