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69E02" w14:textId="77777777" w:rsidR="006C5E5E" w:rsidRPr="007F7842" w:rsidRDefault="006C5E5E" w:rsidP="006C5E5E">
      <w:pPr>
        <w:pStyle w:val="Nagwek2"/>
        <w:numPr>
          <w:ilvl w:val="0"/>
          <w:numId w:val="0"/>
        </w:numPr>
        <w:rPr>
          <w:rStyle w:val="normaltextrun"/>
          <w:rFonts w:eastAsiaTheme="minorHAnsi" w:cs="Arial"/>
          <w:b w:val="0"/>
          <w:color w:val="auto"/>
          <w:sz w:val="20"/>
          <w:szCs w:val="20"/>
        </w:rPr>
      </w:pPr>
      <w:bookmarkStart w:id="0" w:name="_Toc134443693"/>
      <w:r w:rsidRPr="007F7842">
        <w:rPr>
          <w:rStyle w:val="normaltextrun"/>
          <w:rFonts w:cs="Arial"/>
          <w:sz w:val="20"/>
          <w:szCs w:val="20"/>
        </w:rPr>
        <w:t>Załącznik nr 2 - Wskaźniki</w:t>
      </w:r>
      <w:bookmarkEnd w:id="0"/>
    </w:p>
    <w:p w14:paraId="3A28683A" w14:textId="77777777" w:rsidR="006C5E5E" w:rsidRPr="007F7842" w:rsidRDefault="006C5E5E" w:rsidP="006C5E5E">
      <w:pPr>
        <w:rPr>
          <w:rFonts w:cs="Arial"/>
          <w:sz w:val="20"/>
          <w:szCs w:val="20"/>
        </w:rPr>
      </w:pPr>
      <w:bookmarkStart w:id="1" w:name="_Zał._nr_3:"/>
      <w:bookmarkEnd w:id="1"/>
    </w:p>
    <w:p w14:paraId="3B334712" w14:textId="77777777" w:rsidR="006C5E5E" w:rsidRPr="0061117C" w:rsidRDefault="006C5E5E" w:rsidP="006C5E5E">
      <w:pPr>
        <w:rPr>
          <w:rStyle w:val="markedcontent"/>
          <w:rFonts w:cs="Arial"/>
          <w:b/>
          <w:szCs w:val="24"/>
        </w:rPr>
      </w:pPr>
      <w:r w:rsidRPr="0061117C">
        <w:rPr>
          <w:rStyle w:val="markedcontent"/>
          <w:rFonts w:cs="Arial"/>
          <w:b/>
          <w:szCs w:val="24"/>
        </w:rPr>
        <w:t>Obligatoryjne wskaźniki produktu i rezultatu:</w:t>
      </w:r>
    </w:p>
    <w:p w14:paraId="393A5AC0" w14:textId="77777777" w:rsidR="006C5E5E" w:rsidRPr="0061117C" w:rsidRDefault="006C5E5E" w:rsidP="006C5E5E">
      <w:pPr>
        <w:rPr>
          <w:rFonts w:cs="Arial"/>
          <w:szCs w:val="24"/>
        </w:rPr>
      </w:pPr>
      <w:r w:rsidRPr="0061117C">
        <w:rPr>
          <w:rStyle w:val="markedcontent"/>
          <w:rFonts w:cs="Arial"/>
          <w:szCs w:val="24"/>
        </w:rPr>
        <w:t>W swoim projekcie musisz monitorować wszystkie wskaźniki wskazane w tabeli. Wskaźniki są bezpośrednio związane z wydatkami ponoszonymi w ramach projektu oraz są bezpośrednio efektem dofinansowania projektu.</w:t>
      </w:r>
      <w:r w:rsidRPr="0061117C">
        <w:rPr>
          <w:rFonts w:cs="Arial"/>
          <w:szCs w:val="24"/>
        </w:rPr>
        <w:br/>
        <w:t>Wszystkie wskaźniki odnoszące się do osób monitoruj w podziale na płeć.</w:t>
      </w:r>
    </w:p>
    <w:p w14:paraId="0EB85018" w14:textId="77777777" w:rsidR="008609B9" w:rsidRPr="007F7842" w:rsidRDefault="008609B9" w:rsidP="00E4639D">
      <w:pPr>
        <w:ind w:left="284" w:hanging="284"/>
        <w:rPr>
          <w:rFonts w:cs="Arial"/>
          <w:b/>
          <w:sz w:val="20"/>
          <w:szCs w:val="20"/>
        </w:rPr>
      </w:pPr>
    </w:p>
    <w:p w14:paraId="4FE5621D" w14:textId="77777777" w:rsidR="00E4639D" w:rsidRPr="007F7842" w:rsidRDefault="00E4639D" w:rsidP="00606432">
      <w:pPr>
        <w:pStyle w:val="Nagwek1"/>
      </w:pPr>
      <w:r w:rsidRPr="007F7842">
        <w:t xml:space="preserve">Wskaźniki </w:t>
      </w:r>
      <w:r w:rsidR="005B5301" w:rsidRPr="007F7842">
        <w:t>produktu</w:t>
      </w:r>
      <w:r w:rsidRPr="007F7842">
        <w:t>: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04"/>
        <w:gridCol w:w="2209"/>
        <w:gridCol w:w="1964"/>
        <w:gridCol w:w="2072"/>
        <w:gridCol w:w="1945"/>
        <w:gridCol w:w="1677"/>
        <w:gridCol w:w="1653"/>
        <w:gridCol w:w="1813"/>
      </w:tblGrid>
      <w:tr w:rsidR="00517317" w:rsidRPr="0061117C" w14:paraId="2D288B7B" w14:textId="77777777" w:rsidTr="0061117C">
        <w:trPr>
          <w:trHeight w:val="850"/>
        </w:trPr>
        <w:tc>
          <w:tcPr>
            <w:tcW w:w="1271" w:type="dxa"/>
            <w:vAlign w:val="center"/>
          </w:tcPr>
          <w:p w14:paraId="2DF1D19F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Kod wskaźnika</w:t>
            </w:r>
          </w:p>
        </w:tc>
        <w:tc>
          <w:tcPr>
            <w:tcW w:w="2268" w:type="dxa"/>
            <w:vAlign w:val="center"/>
          </w:tcPr>
          <w:p w14:paraId="3103877F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Nazwa wskaźnika</w:t>
            </w:r>
          </w:p>
        </w:tc>
        <w:tc>
          <w:tcPr>
            <w:tcW w:w="1985" w:type="dxa"/>
            <w:vAlign w:val="center"/>
          </w:tcPr>
          <w:p w14:paraId="6F71D898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Definicja wskaźnika</w:t>
            </w:r>
          </w:p>
        </w:tc>
        <w:tc>
          <w:tcPr>
            <w:tcW w:w="2126" w:type="dxa"/>
            <w:vAlign w:val="center"/>
          </w:tcPr>
          <w:p w14:paraId="7D8F27AA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Sposób pomiaru</w:t>
            </w:r>
          </w:p>
        </w:tc>
        <w:tc>
          <w:tcPr>
            <w:tcW w:w="1984" w:type="dxa"/>
            <w:vAlign w:val="center"/>
          </w:tcPr>
          <w:p w14:paraId="77F1AD0D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Jednostka miary</w:t>
            </w:r>
          </w:p>
        </w:tc>
        <w:tc>
          <w:tcPr>
            <w:tcW w:w="1701" w:type="dxa"/>
          </w:tcPr>
          <w:p w14:paraId="0D88B526" w14:textId="77777777" w:rsidR="00517317" w:rsidRPr="0061117C" w:rsidRDefault="00517317" w:rsidP="0058674C">
            <w:pPr>
              <w:spacing w:before="240" w:after="0" w:line="276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Narzędzia pomiaru</w:t>
            </w:r>
          </w:p>
        </w:tc>
        <w:tc>
          <w:tcPr>
            <w:tcW w:w="1560" w:type="dxa"/>
            <w:vAlign w:val="center"/>
          </w:tcPr>
          <w:p w14:paraId="509A3C29" w14:textId="77777777" w:rsidR="00517317" w:rsidRPr="0061117C" w:rsidRDefault="00517317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Charakter wskaźnika</w:t>
            </w:r>
          </w:p>
        </w:tc>
        <w:tc>
          <w:tcPr>
            <w:tcW w:w="1842" w:type="dxa"/>
            <w:vAlign w:val="center"/>
          </w:tcPr>
          <w:p w14:paraId="4802C411" w14:textId="2F8CC994" w:rsidR="00517317" w:rsidRPr="0061117C" w:rsidRDefault="00517317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Wartość</w:t>
            </w:r>
            <w:r w:rsidR="000222EC">
              <w:rPr>
                <w:rStyle w:val="markedcontent"/>
                <w:rFonts w:cs="Arial"/>
                <w:b/>
                <w:szCs w:val="24"/>
              </w:rPr>
              <w:t xml:space="preserve"> docelowa</w:t>
            </w:r>
            <w:r w:rsidRPr="0061117C">
              <w:rPr>
                <w:rStyle w:val="markedcontent"/>
                <w:rFonts w:cs="Arial"/>
                <w:b/>
                <w:szCs w:val="24"/>
              </w:rPr>
              <w:t xml:space="preserve"> wskaźnika</w:t>
            </w:r>
          </w:p>
        </w:tc>
      </w:tr>
      <w:tr w:rsidR="00517317" w:rsidRPr="0061117C" w14:paraId="23BF3A05" w14:textId="77777777" w:rsidTr="0061117C">
        <w:trPr>
          <w:trHeight w:val="708"/>
        </w:trPr>
        <w:tc>
          <w:tcPr>
            <w:tcW w:w="1271" w:type="dxa"/>
            <w:shd w:val="clear" w:color="000000" w:fill="FFFFFF"/>
          </w:tcPr>
          <w:p w14:paraId="077BB638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Fonts w:cs="Arial"/>
                <w:szCs w:val="24"/>
              </w:rPr>
              <w:t>WLWK-PLHCO01</w:t>
            </w:r>
          </w:p>
        </w:tc>
        <w:tc>
          <w:tcPr>
            <w:tcW w:w="2268" w:type="dxa"/>
            <w:shd w:val="clear" w:color="000000" w:fill="FFFFFF"/>
          </w:tcPr>
          <w:p w14:paraId="300A2F3A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Fonts w:cs="Arial"/>
                <w:szCs w:val="24"/>
              </w:rPr>
              <w:t>Liczba podmiotów ekonomii społecznej objętych wsparciem</w:t>
            </w:r>
          </w:p>
        </w:tc>
        <w:tc>
          <w:tcPr>
            <w:tcW w:w="1985" w:type="dxa"/>
            <w:shd w:val="clear" w:color="000000" w:fill="FFFFFF"/>
          </w:tcPr>
          <w:p w14:paraId="11C29658" w14:textId="77777777" w:rsidR="00517317" w:rsidRPr="0061117C" w:rsidRDefault="00517317" w:rsidP="0058674C">
            <w:pPr>
              <w:pStyle w:val="Tekstpodstawowy"/>
              <w:spacing w:line="276" w:lineRule="auto"/>
              <w:jc w:val="center"/>
              <w:rPr>
                <w:sz w:val="24"/>
                <w:szCs w:val="24"/>
              </w:rPr>
            </w:pPr>
            <w:r w:rsidRPr="0061117C">
              <w:rPr>
                <w:sz w:val="24"/>
                <w:szCs w:val="24"/>
              </w:rPr>
              <w:t>We wskaźniku należy wykazać podmioty ekonomii społecznej, które otrzymały wsparcie bezpośrednie w ramach projektu.</w:t>
            </w:r>
          </w:p>
          <w:p w14:paraId="710E7260" w14:textId="77777777" w:rsidR="00517317" w:rsidRPr="0061117C" w:rsidRDefault="00517317" w:rsidP="0058674C">
            <w:pPr>
              <w:spacing w:after="120" w:line="276" w:lineRule="auto"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 xml:space="preserve">Definicja PES oraz zakres wsparcia zgodny z </w:t>
            </w:r>
            <w:r w:rsidRPr="0061117C">
              <w:rPr>
                <w:rFonts w:eastAsia="Calibri" w:cs="Arial"/>
                <w:szCs w:val="24"/>
              </w:rPr>
              <w:lastRenderedPageBreak/>
              <w:t>wytycznymi ministra właściwego ds. rozwoju regionalnego.</w:t>
            </w:r>
          </w:p>
          <w:p w14:paraId="5246C6DC" w14:textId="77777777" w:rsidR="00517317" w:rsidRPr="0061117C" w:rsidRDefault="00517317" w:rsidP="0058674C">
            <w:pPr>
              <w:spacing w:after="120" w:line="276" w:lineRule="auto"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>Jeden podmiot wykazywany jest raz w ramach wskaźnika, niezależnie od liczby form wsparcia, z których skorzystał.</w:t>
            </w:r>
          </w:p>
          <w:p w14:paraId="0047B4AD" w14:textId="77777777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000000" w:fill="FFFFFF"/>
          </w:tcPr>
          <w:p w14:paraId="59EB00A7" w14:textId="1A80CDAC" w:rsidR="00517317" w:rsidRPr="0061117C" w:rsidRDefault="00517317" w:rsidP="0058674C">
            <w:pPr>
              <w:spacing w:after="0" w:line="276" w:lineRule="auto"/>
              <w:jc w:val="center"/>
              <w:rPr>
                <w:rFonts w:cs="Arial"/>
                <w:noProof/>
                <w:szCs w:val="24"/>
              </w:rPr>
            </w:pPr>
            <w:r w:rsidRPr="0061117C">
              <w:rPr>
                <w:rFonts w:cs="Arial"/>
                <w:noProof/>
                <w:szCs w:val="24"/>
              </w:rPr>
              <w:lastRenderedPageBreak/>
              <w:t>Podmiot należy wykazać w momencie objęcia instytucji pierwszą formą wsparcia w projekcie</w:t>
            </w:r>
            <w:r w:rsidR="002A1E7A">
              <w:rPr>
                <w:rFonts w:cs="Arial"/>
                <w:noProof/>
                <w:szCs w:val="24"/>
              </w:rPr>
              <w:t>.</w:t>
            </w:r>
          </w:p>
        </w:tc>
        <w:tc>
          <w:tcPr>
            <w:tcW w:w="1984" w:type="dxa"/>
            <w:shd w:val="clear" w:color="000000" w:fill="FFFFFF"/>
          </w:tcPr>
          <w:p w14:paraId="2784DC2A" w14:textId="77777777" w:rsidR="00517317" w:rsidRPr="0061117C" w:rsidRDefault="00517317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61117C">
              <w:rPr>
                <w:rStyle w:val="markedcontent"/>
                <w:rFonts w:cs="Arial"/>
                <w:szCs w:val="24"/>
              </w:rPr>
              <w:t>sztuka</w:t>
            </w:r>
          </w:p>
        </w:tc>
        <w:tc>
          <w:tcPr>
            <w:tcW w:w="1701" w:type="dxa"/>
            <w:shd w:val="clear" w:color="000000" w:fill="FFFFFF"/>
          </w:tcPr>
          <w:p w14:paraId="03D66D64" w14:textId="1C87F4B0" w:rsidR="00517317" w:rsidRPr="0061117C" w:rsidRDefault="00DD5D3C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61117C">
              <w:rPr>
                <w:rFonts w:cs="Arial"/>
                <w:szCs w:val="24"/>
              </w:rPr>
              <w:t xml:space="preserve">umowa wsparcia </w:t>
            </w:r>
            <w:r w:rsidRPr="0061117C">
              <w:rPr>
                <w:rFonts w:cs="Arial"/>
                <w:color w:val="000000"/>
                <w:szCs w:val="24"/>
              </w:rPr>
              <w:t xml:space="preserve">pomiędzy OWES a PES/PS </w:t>
            </w:r>
            <w:bookmarkStart w:id="2" w:name="_GoBack"/>
            <w:bookmarkEnd w:id="2"/>
          </w:p>
        </w:tc>
        <w:tc>
          <w:tcPr>
            <w:tcW w:w="1560" w:type="dxa"/>
            <w:shd w:val="clear" w:color="000000" w:fill="FFFFFF"/>
          </w:tcPr>
          <w:p w14:paraId="542F425C" w14:textId="4BBA91B1" w:rsidR="00517317" w:rsidRPr="0061117C" w:rsidRDefault="00517317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61117C">
              <w:rPr>
                <w:rStyle w:val="markedcontent"/>
                <w:rFonts w:cs="Arial"/>
                <w:szCs w:val="24"/>
              </w:rPr>
              <w:t>obligatoryjny</w:t>
            </w:r>
            <w:r w:rsidR="000222EC">
              <w:rPr>
                <w:rStyle w:val="Odwoanieprzypisudolnego"/>
                <w:rFonts w:cs="Arial"/>
                <w:szCs w:val="24"/>
              </w:rPr>
              <w:footnoteReference w:id="1"/>
            </w:r>
          </w:p>
        </w:tc>
        <w:tc>
          <w:tcPr>
            <w:tcW w:w="1842" w:type="dxa"/>
            <w:shd w:val="clear" w:color="000000" w:fill="FFFFFF"/>
          </w:tcPr>
          <w:p w14:paraId="3411A3A1" w14:textId="77777777" w:rsidR="00517317" w:rsidRPr="0061117C" w:rsidRDefault="007F7842" w:rsidP="0058674C">
            <w:pPr>
              <w:spacing w:after="0" w:line="276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61117C">
              <w:rPr>
                <w:szCs w:val="24"/>
              </w:rPr>
              <w:t>1 179</w:t>
            </w:r>
          </w:p>
        </w:tc>
      </w:tr>
    </w:tbl>
    <w:p w14:paraId="07B0EDF8" w14:textId="77777777" w:rsidR="0058674C" w:rsidRPr="007F7842" w:rsidRDefault="0058674C" w:rsidP="00E4639D">
      <w:pPr>
        <w:ind w:left="284" w:hanging="284"/>
        <w:rPr>
          <w:rFonts w:cs="Arial"/>
          <w:sz w:val="20"/>
          <w:szCs w:val="20"/>
        </w:rPr>
      </w:pPr>
    </w:p>
    <w:p w14:paraId="77F14724" w14:textId="77777777" w:rsidR="00E8485E" w:rsidRPr="007F7842" w:rsidRDefault="00E8485E" w:rsidP="00606432">
      <w:pPr>
        <w:pStyle w:val="Nagwek1"/>
      </w:pPr>
      <w:bookmarkStart w:id="3" w:name="_Hlk137639570"/>
      <w:r w:rsidRPr="007F7842">
        <w:t>Wskaźniki rezultatu:</w:t>
      </w:r>
    </w:p>
    <w:bookmarkEnd w:id="3"/>
    <w:p w14:paraId="7E4329D5" w14:textId="77777777" w:rsidR="00E4639D" w:rsidRPr="007F7842" w:rsidRDefault="00E4639D" w:rsidP="00E4639D">
      <w:pPr>
        <w:ind w:left="284" w:hanging="284"/>
        <w:rPr>
          <w:rFonts w:cs="Arial"/>
          <w:b/>
          <w:sz w:val="20"/>
          <w:szCs w:val="20"/>
        </w:rPr>
      </w:pPr>
    </w:p>
    <w:tbl>
      <w:tblPr>
        <w:tblStyle w:val="Tabela-Siatka2"/>
        <w:tblW w:w="14737" w:type="dxa"/>
        <w:tblLayout w:type="fixed"/>
        <w:tblLook w:val="04A0" w:firstRow="1" w:lastRow="0" w:firstColumn="1" w:lastColumn="0" w:noHBand="0" w:noVBand="1"/>
      </w:tblPr>
      <w:tblGrid>
        <w:gridCol w:w="1435"/>
        <w:gridCol w:w="2271"/>
        <w:gridCol w:w="2023"/>
        <w:gridCol w:w="1706"/>
        <w:gridCol w:w="1529"/>
        <w:gridCol w:w="2230"/>
        <w:gridCol w:w="1701"/>
        <w:gridCol w:w="1842"/>
      </w:tblGrid>
      <w:tr w:rsidR="00517317" w:rsidRPr="0061117C" w14:paraId="25C64C79" w14:textId="77777777" w:rsidTr="00E100D5">
        <w:trPr>
          <w:trHeight w:val="708"/>
        </w:trPr>
        <w:tc>
          <w:tcPr>
            <w:tcW w:w="1435" w:type="dxa"/>
          </w:tcPr>
          <w:p w14:paraId="71A8D706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Kod wskaźnika</w:t>
            </w:r>
          </w:p>
        </w:tc>
        <w:tc>
          <w:tcPr>
            <w:tcW w:w="2271" w:type="dxa"/>
          </w:tcPr>
          <w:p w14:paraId="754DEAC0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Nazwa wskaźnika</w:t>
            </w:r>
          </w:p>
        </w:tc>
        <w:tc>
          <w:tcPr>
            <w:tcW w:w="2023" w:type="dxa"/>
          </w:tcPr>
          <w:p w14:paraId="4933C568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Fonts w:cs="Arial"/>
                <w:b/>
                <w:color w:val="000000"/>
                <w:szCs w:val="24"/>
              </w:rPr>
              <w:t>Definicja wskaźnika</w:t>
            </w:r>
          </w:p>
        </w:tc>
        <w:tc>
          <w:tcPr>
            <w:tcW w:w="1706" w:type="dxa"/>
          </w:tcPr>
          <w:p w14:paraId="6228F1C8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Sposób pomiaru</w:t>
            </w:r>
          </w:p>
        </w:tc>
        <w:tc>
          <w:tcPr>
            <w:tcW w:w="1529" w:type="dxa"/>
          </w:tcPr>
          <w:p w14:paraId="57D07F0A" w14:textId="77777777" w:rsidR="00517317" w:rsidRPr="0061117C" w:rsidRDefault="00517317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Jednostka miary</w:t>
            </w:r>
          </w:p>
        </w:tc>
        <w:tc>
          <w:tcPr>
            <w:tcW w:w="2230" w:type="dxa"/>
          </w:tcPr>
          <w:p w14:paraId="74A6865C" w14:textId="77777777" w:rsidR="00517317" w:rsidRPr="0061117C" w:rsidRDefault="00517317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Fonts w:cs="Arial"/>
                <w:b/>
                <w:szCs w:val="24"/>
              </w:rPr>
              <w:t>Narzędzia pomiaru</w:t>
            </w:r>
          </w:p>
        </w:tc>
        <w:tc>
          <w:tcPr>
            <w:tcW w:w="1701" w:type="dxa"/>
          </w:tcPr>
          <w:p w14:paraId="337D6E8F" w14:textId="77777777" w:rsidR="00517317" w:rsidRPr="0061117C" w:rsidRDefault="00517317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>Charakter wskaźnika</w:t>
            </w:r>
          </w:p>
        </w:tc>
        <w:tc>
          <w:tcPr>
            <w:tcW w:w="1842" w:type="dxa"/>
          </w:tcPr>
          <w:p w14:paraId="6E073698" w14:textId="77B8CBE9" w:rsidR="00517317" w:rsidRPr="0061117C" w:rsidRDefault="00517317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b/>
                <w:szCs w:val="24"/>
              </w:rPr>
            </w:pPr>
            <w:r w:rsidRPr="0061117C">
              <w:rPr>
                <w:rStyle w:val="markedcontent"/>
                <w:rFonts w:cs="Arial"/>
                <w:b/>
                <w:szCs w:val="24"/>
              </w:rPr>
              <w:t xml:space="preserve">Wartość </w:t>
            </w:r>
            <w:r w:rsidR="00E100D5">
              <w:rPr>
                <w:rStyle w:val="markedcontent"/>
                <w:rFonts w:cs="Arial"/>
                <w:b/>
                <w:szCs w:val="24"/>
              </w:rPr>
              <w:t xml:space="preserve">docelowa </w:t>
            </w:r>
            <w:r w:rsidRPr="0061117C">
              <w:rPr>
                <w:rStyle w:val="markedcontent"/>
                <w:rFonts w:cs="Arial"/>
                <w:b/>
                <w:szCs w:val="24"/>
              </w:rPr>
              <w:t>wskaźnika</w:t>
            </w:r>
          </w:p>
        </w:tc>
      </w:tr>
      <w:tr w:rsidR="00517317" w:rsidRPr="0061117C" w14:paraId="580AE4C0" w14:textId="77777777" w:rsidTr="00E100D5">
        <w:trPr>
          <w:trHeight w:val="2475"/>
        </w:trPr>
        <w:tc>
          <w:tcPr>
            <w:tcW w:w="1435" w:type="dxa"/>
          </w:tcPr>
          <w:p w14:paraId="43707D1F" w14:textId="77777777" w:rsidR="00517317" w:rsidRPr="0061117C" w:rsidRDefault="00517317" w:rsidP="0058674C">
            <w:pPr>
              <w:spacing w:after="0" w:line="360" w:lineRule="auto"/>
              <w:rPr>
                <w:rFonts w:eastAsia="Times New Roman" w:cs="Arial"/>
                <w:b/>
                <w:color w:val="000000"/>
                <w:szCs w:val="24"/>
                <w:lang w:eastAsia="pl-PL"/>
              </w:rPr>
            </w:pPr>
            <w:r w:rsidRPr="0061117C">
              <w:rPr>
                <w:rFonts w:cs="Arial"/>
                <w:szCs w:val="24"/>
              </w:rPr>
              <w:lastRenderedPageBreak/>
              <w:t>WLWK-PLHCR01</w:t>
            </w:r>
          </w:p>
        </w:tc>
        <w:tc>
          <w:tcPr>
            <w:tcW w:w="2271" w:type="dxa"/>
          </w:tcPr>
          <w:p w14:paraId="4D7CECD2" w14:textId="5A5EFDF9" w:rsidR="00517317" w:rsidRPr="0061117C" w:rsidRDefault="00517317" w:rsidP="0058674C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  <w:r w:rsidRPr="0061117C">
              <w:rPr>
                <w:rFonts w:cs="Arial"/>
                <w:szCs w:val="24"/>
              </w:rPr>
              <w:t>Liczba miejsc pracy utworzonych w przedsiębiorstwach społecznych</w:t>
            </w:r>
            <w:r w:rsidR="002A1E7A">
              <w:rPr>
                <w:rFonts w:cs="Arial"/>
                <w:szCs w:val="24"/>
              </w:rPr>
              <w:t>.</w:t>
            </w:r>
          </w:p>
          <w:p w14:paraId="4C9616F8" w14:textId="77777777" w:rsidR="00517317" w:rsidRPr="0061117C" w:rsidRDefault="00517317" w:rsidP="0058674C">
            <w:pPr>
              <w:spacing w:after="0" w:line="360" w:lineRule="auto"/>
              <w:rPr>
                <w:rFonts w:cs="Arial"/>
                <w:b/>
                <w:color w:val="000000"/>
                <w:szCs w:val="24"/>
              </w:rPr>
            </w:pPr>
          </w:p>
        </w:tc>
        <w:tc>
          <w:tcPr>
            <w:tcW w:w="2023" w:type="dxa"/>
          </w:tcPr>
          <w:p w14:paraId="34FC0A67" w14:textId="77777777" w:rsidR="00517317" w:rsidRPr="0061117C" w:rsidRDefault="00517317" w:rsidP="0058674C">
            <w:pPr>
              <w:spacing w:after="120" w:line="360" w:lineRule="auto"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>Wskaźnik uwzględnia wyłącznie miejsca pracy powstałe w wyniku przyznania wsparcia finansowego.</w:t>
            </w:r>
          </w:p>
          <w:p w14:paraId="4427D0E2" w14:textId="77777777" w:rsidR="00517317" w:rsidRPr="0061117C" w:rsidRDefault="00517317" w:rsidP="0058674C">
            <w:pPr>
              <w:spacing w:after="120" w:line="360" w:lineRule="auto"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>Definicja przedsiębiorstwa społecznego oraz zakres wsparcia zgodny z wytycznymi ministra właściwego ds. rozwoju regionalnego.</w:t>
            </w:r>
          </w:p>
          <w:p w14:paraId="4685422C" w14:textId="476C9F1F" w:rsidR="00517317" w:rsidRDefault="00517317" w:rsidP="0058674C">
            <w:pPr>
              <w:spacing w:after="120" w:line="360" w:lineRule="auto"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 xml:space="preserve">We wskaźniku wykazywane są </w:t>
            </w:r>
            <w:r w:rsidRPr="0061117C">
              <w:rPr>
                <w:rFonts w:eastAsia="Calibri" w:cs="Arial"/>
                <w:szCs w:val="24"/>
              </w:rPr>
              <w:lastRenderedPageBreak/>
              <w:t>stworzone miejsca pracy dla osób wskazanych w definicji przedsiębiorstwa społecznego.</w:t>
            </w:r>
          </w:p>
          <w:p w14:paraId="0148642F" w14:textId="3B161D52" w:rsidR="00517317" w:rsidRPr="0061117C" w:rsidRDefault="002F7121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2F7121">
              <w:rPr>
                <w:rStyle w:val="markedcontent"/>
                <w:rFonts w:cs="Arial"/>
                <w:szCs w:val="24"/>
              </w:rPr>
              <w:t xml:space="preserve"> </w:t>
            </w:r>
          </w:p>
        </w:tc>
        <w:tc>
          <w:tcPr>
            <w:tcW w:w="1706" w:type="dxa"/>
          </w:tcPr>
          <w:p w14:paraId="51381C84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szCs w:val="24"/>
              </w:rPr>
            </w:pPr>
            <w:r w:rsidRPr="0061117C">
              <w:rPr>
                <w:rFonts w:cs="Arial"/>
                <w:szCs w:val="24"/>
              </w:rPr>
              <w:lastRenderedPageBreak/>
              <w:t>Moment pomiaru to podpisanie umowy o pracę, w tym spółdzielczej umowy o pracę.</w:t>
            </w:r>
          </w:p>
        </w:tc>
        <w:tc>
          <w:tcPr>
            <w:tcW w:w="1529" w:type="dxa"/>
          </w:tcPr>
          <w:p w14:paraId="70AACBB1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sztuka</w:t>
            </w:r>
          </w:p>
        </w:tc>
        <w:tc>
          <w:tcPr>
            <w:tcW w:w="2230" w:type="dxa"/>
          </w:tcPr>
          <w:p w14:paraId="3F4A7FE4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podpisana umowa wsparcia wskazująca na liczbę miejsc pracy w danym</w:t>
            </w:r>
          </w:p>
          <w:p w14:paraId="28192B44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PS i liczbę miejsc pracy, które tworzone są w oparciu o przyznane stawki</w:t>
            </w:r>
          </w:p>
          <w:p w14:paraId="095609D8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wraz z wymiarem etatowym tych miejsc;</w:t>
            </w:r>
            <w:r>
              <w:rPr>
                <w:rFonts w:cs="Arial"/>
                <w:color w:val="000000"/>
                <w:szCs w:val="24"/>
              </w:rPr>
              <w:t xml:space="preserve"> </w:t>
            </w:r>
            <w:r w:rsidRPr="0061117C">
              <w:rPr>
                <w:rFonts w:cs="Arial"/>
                <w:color w:val="000000"/>
                <w:szCs w:val="24"/>
              </w:rPr>
              <w:t>potwierdzenie przelewu stawki jednostkowej do PS;</w:t>
            </w:r>
            <w:r>
              <w:rPr>
                <w:rFonts w:cs="Arial"/>
                <w:color w:val="000000"/>
                <w:szCs w:val="24"/>
              </w:rPr>
              <w:t xml:space="preserve"> </w:t>
            </w:r>
            <w:r w:rsidRPr="0061117C">
              <w:rPr>
                <w:rFonts w:cs="Arial"/>
                <w:color w:val="000000"/>
                <w:szCs w:val="24"/>
              </w:rPr>
              <w:t xml:space="preserve">kopia umowy o pracę lub umowy spółdzielczej </w:t>
            </w:r>
            <w:r w:rsidRPr="0061117C">
              <w:rPr>
                <w:rFonts w:cs="Arial"/>
                <w:color w:val="000000"/>
                <w:szCs w:val="24"/>
              </w:rPr>
              <w:lastRenderedPageBreak/>
              <w:t>potwierdzająca utworzenie</w:t>
            </w:r>
          </w:p>
          <w:p w14:paraId="0AA6FB8C" w14:textId="733E3C2B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miejsca pracy;</w:t>
            </w:r>
            <w:r>
              <w:t xml:space="preserve"> </w:t>
            </w:r>
            <w:r w:rsidRPr="0061117C">
              <w:rPr>
                <w:rFonts w:cs="Arial"/>
                <w:color w:val="000000"/>
                <w:szCs w:val="24"/>
              </w:rPr>
              <w:t>w przypadku nowotworzonych PS oraz podmiotów ekonomii społecznej</w:t>
            </w:r>
          </w:p>
          <w:p w14:paraId="430CCF19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przekształcających się w PS, dokumenty potwierdzające</w:t>
            </w:r>
          </w:p>
          <w:p w14:paraId="07072D1C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założenie/rejestrację nowego PS</w:t>
            </w:r>
            <w:r>
              <w:rPr>
                <w:rFonts w:cs="Arial"/>
                <w:color w:val="000000"/>
                <w:szCs w:val="24"/>
              </w:rPr>
              <w:t xml:space="preserve">;  </w:t>
            </w:r>
            <w:r w:rsidRPr="0061117C">
              <w:rPr>
                <w:rFonts w:cs="Arial"/>
                <w:color w:val="000000"/>
                <w:szCs w:val="24"/>
              </w:rPr>
              <w:t>orzeczenie o niepełnosprawności lub inny dokument potwierdzający</w:t>
            </w:r>
          </w:p>
          <w:p w14:paraId="395A38BB" w14:textId="77777777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lastRenderedPageBreak/>
              <w:t>stopień niepełnosprawności – w przypadku utworzenia miejsca pracy dla</w:t>
            </w:r>
          </w:p>
          <w:p w14:paraId="553F2231" w14:textId="756C3835" w:rsidR="0061117C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osób z niepełnosprawnościami sprzężonymi lub ze znacznym stopniem</w:t>
            </w:r>
          </w:p>
          <w:p w14:paraId="28BDC903" w14:textId="133EB8B8" w:rsidR="00517317" w:rsidRPr="0061117C" w:rsidRDefault="0061117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niepełnosprawności</w:t>
            </w:r>
            <w:r w:rsidR="002A1E7A">
              <w:rPr>
                <w:rFonts w:cs="Arial"/>
                <w:color w:val="000000"/>
                <w:szCs w:val="24"/>
              </w:rPr>
              <w:t xml:space="preserve"> w wymiarze co najmniej ¼ etatu.</w:t>
            </w:r>
          </w:p>
        </w:tc>
        <w:tc>
          <w:tcPr>
            <w:tcW w:w="1701" w:type="dxa"/>
          </w:tcPr>
          <w:p w14:paraId="13D54438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lastRenderedPageBreak/>
              <w:t>obligatoryjny</w:t>
            </w:r>
          </w:p>
        </w:tc>
        <w:tc>
          <w:tcPr>
            <w:tcW w:w="1842" w:type="dxa"/>
          </w:tcPr>
          <w:p w14:paraId="77A6E0CC" w14:textId="77777777" w:rsidR="00517317" w:rsidRPr="0061117C" w:rsidRDefault="007F7842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szCs w:val="24"/>
              </w:rPr>
              <w:t>1 089</w:t>
            </w:r>
          </w:p>
        </w:tc>
      </w:tr>
      <w:tr w:rsidR="00517317" w:rsidRPr="0061117C" w14:paraId="4EBA13D2" w14:textId="77777777" w:rsidTr="00E100D5">
        <w:trPr>
          <w:trHeight w:val="2400"/>
        </w:trPr>
        <w:tc>
          <w:tcPr>
            <w:tcW w:w="1435" w:type="dxa"/>
          </w:tcPr>
          <w:p w14:paraId="34F6704B" w14:textId="77777777" w:rsidR="00517317" w:rsidRPr="0061117C" w:rsidRDefault="00517317" w:rsidP="0058674C">
            <w:pPr>
              <w:spacing w:after="200" w:line="360" w:lineRule="auto"/>
              <w:jc w:val="center"/>
              <w:rPr>
                <w:rFonts w:eastAsia="Times New Roman" w:cs="Arial"/>
                <w:b/>
                <w:color w:val="000000"/>
                <w:szCs w:val="24"/>
                <w:lang w:eastAsia="pl-PL"/>
              </w:rPr>
            </w:pPr>
            <w:r w:rsidRPr="0061117C">
              <w:rPr>
                <w:rFonts w:cs="Arial"/>
                <w:szCs w:val="24"/>
              </w:rPr>
              <w:lastRenderedPageBreak/>
              <w:t>WLWK-EECR04</w:t>
            </w:r>
          </w:p>
        </w:tc>
        <w:tc>
          <w:tcPr>
            <w:tcW w:w="2271" w:type="dxa"/>
          </w:tcPr>
          <w:p w14:paraId="6D3EBF37" w14:textId="68412536" w:rsidR="00517317" w:rsidRPr="0061117C" w:rsidRDefault="00517317" w:rsidP="0058674C">
            <w:pPr>
              <w:spacing w:line="360" w:lineRule="auto"/>
              <w:jc w:val="center"/>
              <w:rPr>
                <w:rFonts w:cs="Arial"/>
                <w:b/>
                <w:szCs w:val="24"/>
              </w:rPr>
            </w:pPr>
            <w:r w:rsidRPr="0061117C">
              <w:rPr>
                <w:rFonts w:cs="Arial"/>
                <w:szCs w:val="24"/>
              </w:rPr>
              <w:t>Liczba osób pracujących, łącznie z prowadzącymi działalność na własny rachunek, po opuszczeniu programu</w:t>
            </w:r>
            <w:r w:rsidR="002A1E7A">
              <w:rPr>
                <w:rFonts w:cs="Arial"/>
                <w:szCs w:val="24"/>
              </w:rPr>
              <w:t>.</w:t>
            </w:r>
          </w:p>
          <w:p w14:paraId="1B3A963F" w14:textId="77777777" w:rsidR="00517317" w:rsidRPr="0061117C" w:rsidRDefault="00517317" w:rsidP="0058674C">
            <w:pPr>
              <w:spacing w:after="200" w:line="360" w:lineRule="auto"/>
              <w:jc w:val="center"/>
              <w:rPr>
                <w:rFonts w:cs="Arial"/>
                <w:b/>
                <w:szCs w:val="24"/>
              </w:rPr>
            </w:pPr>
          </w:p>
          <w:p w14:paraId="31A2ACB4" w14:textId="77777777" w:rsidR="00517317" w:rsidRPr="0061117C" w:rsidRDefault="00517317" w:rsidP="0058674C">
            <w:pPr>
              <w:spacing w:line="360" w:lineRule="auto"/>
              <w:ind w:firstLine="708"/>
              <w:rPr>
                <w:rFonts w:cs="Arial"/>
                <w:szCs w:val="24"/>
              </w:rPr>
            </w:pPr>
          </w:p>
        </w:tc>
        <w:tc>
          <w:tcPr>
            <w:tcW w:w="2023" w:type="dxa"/>
          </w:tcPr>
          <w:p w14:paraId="48C8499C" w14:textId="77777777" w:rsidR="00517317" w:rsidRPr="0061117C" w:rsidRDefault="00517317" w:rsidP="0058674C">
            <w:pPr>
              <w:spacing w:before="120" w:after="120" w:line="36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61117C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Do wskaźnika wlicza się osoby bezrobotne lub bierne zawodowo w momencie przystępowania do projektu, </w:t>
            </w:r>
            <w:r w:rsidRPr="0061117C">
              <w:rPr>
                <w:rFonts w:eastAsia="Times New Roman" w:cs="Arial"/>
                <w:szCs w:val="24"/>
                <w:lang w:eastAsia="pl-PL"/>
              </w:rPr>
              <w:lastRenderedPageBreak/>
              <w:t>które po uzyskaniu wsparcia EFS+ podjęły zatrudnienie (łącznie z prowadzącymi działalność na własny rachunek) i pozostają zatrudnione bezpośrednio po opuszczeniu projektu, tj. do czterech tygodni od zakończenia udziału w projekcie.</w:t>
            </w:r>
          </w:p>
          <w:p w14:paraId="46BCC5CE" w14:textId="77777777" w:rsidR="00517317" w:rsidRPr="0061117C" w:rsidRDefault="00517317" w:rsidP="0058674C">
            <w:pPr>
              <w:spacing w:before="120" w:after="120" w:line="36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61117C">
              <w:rPr>
                <w:rFonts w:eastAsia="Times New Roman" w:cs="Arial"/>
                <w:szCs w:val="24"/>
                <w:lang w:eastAsia="pl-PL"/>
              </w:rPr>
              <w:t xml:space="preserve">Osoby bezrobotne </w:t>
            </w:r>
            <w:r w:rsidRPr="0061117C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definiowane są jak we wskaźniku: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t>liczba osób bezrobotnych, w tym długotrwale bezrobotnych, objętych wsparciem w programie (osoby)</w:t>
            </w:r>
            <w:r w:rsidRPr="0061117C">
              <w:rPr>
                <w:rFonts w:eastAsia="Times New Roman" w:cs="Arial"/>
                <w:szCs w:val="24"/>
                <w:lang w:eastAsia="pl-PL"/>
              </w:rPr>
              <w:t>.</w:t>
            </w:r>
          </w:p>
          <w:p w14:paraId="52FD4B66" w14:textId="77777777" w:rsidR="00517317" w:rsidRPr="0061117C" w:rsidRDefault="00517317" w:rsidP="0058674C">
            <w:pPr>
              <w:spacing w:before="120" w:after="120" w:line="36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61117C">
              <w:rPr>
                <w:rFonts w:eastAsia="Times New Roman" w:cs="Arial"/>
                <w:szCs w:val="24"/>
                <w:lang w:eastAsia="pl-PL"/>
              </w:rPr>
              <w:t xml:space="preserve">Osoby bierne zawodowo definiowane są jak we wskaźniku: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t xml:space="preserve">liczba osób biernych zawodowo objętych wsparciem w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lastRenderedPageBreak/>
              <w:t>programie</w:t>
            </w:r>
            <w:r w:rsidRPr="0061117C"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t>(osoby)</w:t>
            </w:r>
            <w:r w:rsidRPr="0061117C">
              <w:rPr>
                <w:rFonts w:eastAsia="Times New Roman" w:cs="Arial"/>
                <w:szCs w:val="24"/>
                <w:lang w:eastAsia="pl-PL"/>
              </w:rPr>
              <w:t>.</w:t>
            </w:r>
          </w:p>
          <w:p w14:paraId="5A42608B" w14:textId="77777777" w:rsidR="00517317" w:rsidRPr="0061117C" w:rsidRDefault="00517317" w:rsidP="0058674C">
            <w:pPr>
              <w:spacing w:before="120" w:after="120" w:line="36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61117C">
              <w:rPr>
                <w:rFonts w:eastAsia="Times New Roman" w:cs="Arial"/>
                <w:szCs w:val="24"/>
                <w:lang w:eastAsia="pl-PL"/>
              </w:rPr>
              <w:t xml:space="preserve">Definicja pracujących, łącznie z prowadzącymi działalność na własny rachunek, jak we wskaźniku: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t>liczba osób pracujących, łącznie z prowadzącymi działalność na własny rachunek, objętych wsparciem w programie</w:t>
            </w:r>
            <w:r w:rsidRPr="0061117C">
              <w:rPr>
                <w:rFonts w:eastAsia="Times New Roman" w:cs="Arial"/>
                <w:szCs w:val="24"/>
                <w:lang w:eastAsia="pl-PL"/>
              </w:rPr>
              <w:t xml:space="preserve"> </w:t>
            </w:r>
            <w:r w:rsidRPr="0061117C">
              <w:rPr>
                <w:rFonts w:eastAsia="Times New Roman" w:cs="Arial"/>
                <w:i/>
                <w:szCs w:val="24"/>
                <w:lang w:eastAsia="pl-PL"/>
              </w:rPr>
              <w:t>(osoby)</w:t>
            </w:r>
            <w:r w:rsidRPr="0061117C">
              <w:rPr>
                <w:rFonts w:eastAsia="Times New Roman" w:cs="Arial"/>
                <w:szCs w:val="24"/>
                <w:lang w:eastAsia="pl-PL"/>
              </w:rPr>
              <w:t>.</w:t>
            </w:r>
          </w:p>
          <w:p w14:paraId="3F7EA231" w14:textId="5C2764D3" w:rsidR="00517317" w:rsidRPr="0061117C" w:rsidRDefault="00517317" w:rsidP="0058674C">
            <w:pPr>
              <w:spacing w:before="120" w:after="120" w:line="360" w:lineRule="auto"/>
              <w:contextualSpacing/>
              <w:jc w:val="center"/>
              <w:rPr>
                <w:rFonts w:eastAsia="Calibri"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lastRenderedPageBreak/>
              <w:t xml:space="preserve">Wskaźnik należy rozumieć jako zmianę statusu na rynku pracy po opuszczeniu programu, w stosunku do sytuacji w momencie przystąpienia do interwencji EFS+ (uczestnik bezrobotny lub bierny zawodowo w chwili wejścia do programu EFS+, a w ciągu czterech tygodni po opuszczeniu </w:t>
            </w:r>
            <w:r w:rsidRPr="0061117C">
              <w:rPr>
                <w:rFonts w:eastAsia="Calibri" w:cs="Arial"/>
                <w:szCs w:val="24"/>
              </w:rPr>
              <w:lastRenderedPageBreak/>
              <w:t>projektu – osoba pracująca).</w:t>
            </w:r>
          </w:p>
          <w:p w14:paraId="782108A4" w14:textId="77777777" w:rsidR="00517317" w:rsidRPr="0061117C" w:rsidRDefault="00517317" w:rsidP="0058674C">
            <w:pPr>
              <w:spacing w:after="0" w:line="360" w:lineRule="auto"/>
              <w:jc w:val="center"/>
              <w:rPr>
                <w:rStyle w:val="markedcontent"/>
                <w:rFonts w:cs="Arial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t>Wskaźnik mierzony do czterech tygodni od zakończenia przez uczestnika udziału w projekcie.</w:t>
            </w:r>
          </w:p>
        </w:tc>
        <w:tc>
          <w:tcPr>
            <w:tcW w:w="1706" w:type="dxa"/>
          </w:tcPr>
          <w:p w14:paraId="2655696D" w14:textId="263D7591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eastAsia="Calibri" w:cs="Arial"/>
                <w:szCs w:val="24"/>
              </w:rPr>
              <w:lastRenderedPageBreak/>
              <w:t xml:space="preserve">We wskaźniku należy uwzględniać wszystkie osoby, które w okresie do czterech </w:t>
            </w:r>
            <w:r w:rsidRPr="0061117C">
              <w:rPr>
                <w:rFonts w:eastAsia="Calibri" w:cs="Arial"/>
                <w:szCs w:val="24"/>
              </w:rPr>
              <w:lastRenderedPageBreak/>
              <w:t>tygodni po zakończeniu udziału w projekcie podjęły zatrudnienie</w:t>
            </w:r>
            <w:r w:rsidR="002A1E7A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529" w:type="dxa"/>
          </w:tcPr>
          <w:p w14:paraId="35BA392A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lastRenderedPageBreak/>
              <w:t>osoby</w:t>
            </w:r>
          </w:p>
        </w:tc>
        <w:tc>
          <w:tcPr>
            <w:tcW w:w="2230" w:type="dxa"/>
          </w:tcPr>
          <w:p w14:paraId="442FCD6F" w14:textId="1ED3F333" w:rsidR="00517317" w:rsidRPr="0061117C" w:rsidRDefault="003656CC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t>Pomiar będzie się odbywał za pomocą następujących narzędzi pomiaru: Lista uczestników</w:t>
            </w:r>
            <w:r w:rsidR="007A79F2" w:rsidRPr="0061117C">
              <w:rPr>
                <w:rFonts w:cs="Arial"/>
                <w:color w:val="000000"/>
                <w:szCs w:val="24"/>
              </w:rPr>
              <w:t>,</w:t>
            </w:r>
            <w:r w:rsidRPr="0061117C">
              <w:rPr>
                <w:rFonts w:cs="Arial"/>
                <w:color w:val="000000"/>
                <w:szCs w:val="24"/>
              </w:rPr>
              <w:t xml:space="preserve"> którzy pracują łącznie z </w:t>
            </w:r>
            <w:r w:rsidRPr="0061117C">
              <w:rPr>
                <w:rFonts w:cs="Arial"/>
                <w:color w:val="000000"/>
                <w:szCs w:val="24"/>
              </w:rPr>
              <w:lastRenderedPageBreak/>
              <w:t>prowadzącymi działalność na własny rachunek</w:t>
            </w:r>
            <w:r w:rsidR="00DD5D3C" w:rsidRPr="0061117C">
              <w:rPr>
                <w:rFonts w:cs="Arial"/>
                <w:color w:val="000000"/>
                <w:szCs w:val="24"/>
              </w:rPr>
              <w:t xml:space="preserve"> lub</w:t>
            </w:r>
            <w:r w:rsidRPr="0061117C">
              <w:rPr>
                <w:rFonts w:cs="Arial"/>
                <w:color w:val="000000"/>
                <w:szCs w:val="24"/>
              </w:rPr>
              <w:t xml:space="preserve"> umowy o pracę</w:t>
            </w:r>
            <w:r w:rsidR="00DD5D3C" w:rsidRPr="0061117C">
              <w:rPr>
                <w:rFonts w:cs="Arial"/>
                <w:color w:val="000000"/>
                <w:szCs w:val="24"/>
              </w:rPr>
              <w:t xml:space="preserve"> lub </w:t>
            </w:r>
            <w:r w:rsidRPr="0061117C">
              <w:rPr>
                <w:rFonts w:cs="Arial"/>
                <w:color w:val="000000"/>
                <w:szCs w:val="24"/>
              </w:rPr>
              <w:t>wydruk C</w:t>
            </w:r>
            <w:r w:rsidR="007A79F2" w:rsidRPr="0061117C">
              <w:rPr>
                <w:rFonts w:cs="Arial"/>
                <w:color w:val="000000"/>
                <w:szCs w:val="24"/>
              </w:rPr>
              <w:t>E</w:t>
            </w:r>
            <w:r w:rsidRPr="0061117C">
              <w:rPr>
                <w:rFonts w:cs="Arial"/>
                <w:color w:val="000000"/>
                <w:szCs w:val="24"/>
              </w:rPr>
              <w:t>IDG</w:t>
            </w:r>
            <w:r w:rsidR="002A1E7A">
              <w:rPr>
                <w:rFonts w:cs="Arial"/>
                <w:color w:val="000000"/>
                <w:szCs w:val="24"/>
              </w:rPr>
              <w:t>.</w:t>
            </w:r>
          </w:p>
        </w:tc>
        <w:tc>
          <w:tcPr>
            <w:tcW w:w="1701" w:type="dxa"/>
          </w:tcPr>
          <w:p w14:paraId="78E8F89B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  <w:r w:rsidRPr="0061117C">
              <w:rPr>
                <w:rFonts w:cs="Arial"/>
                <w:color w:val="000000"/>
                <w:szCs w:val="24"/>
              </w:rPr>
              <w:lastRenderedPageBreak/>
              <w:t>obligatoryjny</w:t>
            </w:r>
          </w:p>
        </w:tc>
        <w:tc>
          <w:tcPr>
            <w:tcW w:w="1842" w:type="dxa"/>
          </w:tcPr>
          <w:p w14:paraId="1C9657FC" w14:textId="77777777" w:rsidR="00517317" w:rsidRPr="0061117C" w:rsidRDefault="00517317" w:rsidP="0058674C">
            <w:pPr>
              <w:spacing w:after="0" w:line="360" w:lineRule="auto"/>
              <w:jc w:val="center"/>
              <w:rPr>
                <w:rFonts w:cs="Arial"/>
                <w:color w:val="000000"/>
                <w:szCs w:val="24"/>
              </w:rPr>
            </w:pPr>
          </w:p>
        </w:tc>
      </w:tr>
    </w:tbl>
    <w:p w14:paraId="589D05DD" w14:textId="77777777" w:rsidR="00606432" w:rsidRPr="00606432" w:rsidRDefault="00606432" w:rsidP="00606432">
      <w:pPr>
        <w:pStyle w:val="Nagwek1"/>
        <w:numPr>
          <w:ilvl w:val="0"/>
          <w:numId w:val="0"/>
        </w:numPr>
        <w:ind w:left="792"/>
      </w:pPr>
    </w:p>
    <w:p w14:paraId="61E27AB4" w14:textId="41BB4F79" w:rsidR="00606432" w:rsidRDefault="00606432" w:rsidP="00606432">
      <w:pPr>
        <w:pStyle w:val="Nagwek1"/>
      </w:pPr>
      <w:r w:rsidRPr="007F7842">
        <w:t xml:space="preserve">Wskaźniki </w:t>
      </w:r>
      <w:r>
        <w:t xml:space="preserve">do rozliczenia stawek jednostkowych </w:t>
      </w:r>
    </w:p>
    <w:p w14:paraId="49E4ACEC" w14:textId="77777777" w:rsidR="00606432" w:rsidRPr="00606432" w:rsidRDefault="00606432" w:rsidP="00606432"/>
    <w:p w14:paraId="463A95BA" w14:textId="7969B861" w:rsidR="00606432" w:rsidRPr="00606432" w:rsidRDefault="00606432" w:rsidP="00606432">
      <w:pPr>
        <w:pStyle w:val="Nagwek2"/>
      </w:pPr>
      <w:r>
        <w:t xml:space="preserve">Stawka jednostkowa na utworzenie miejsca pracy </w:t>
      </w:r>
      <w:r w:rsidR="004D40AC">
        <w:t>w PS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Wskaźniki do rozliczania stawki jednostkowej"/>
        <w:tblDescription w:val="W tabeli przedstawiono wskaźniki do rozliczania stawki jednostkowej wdrażane przez Departament Europejskiego Funduszu Społecznego w ramach EFS+"/>
      </w:tblPr>
      <w:tblGrid>
        <w:gridCol w:w="2245"/>
        <w:gridCol w:w="1338"/>
        <w:gridCol w:w="2925"/>
        <w:gridCol w:w="5253"/>
        <w:gridCol w:w="2233"/>
      </w:tblGrid>
      <w:tr w:rsidR="001A158D" w:rsidRPr="00B404D6" w14:paraId="7235E6C0" w14:textId="772A2C79" w:rsidTr="001A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pct"/>
            <w:shd w:val="clear" w:color="auto" w:fill="D9D9D9" w:themeFill="background1" w:themeFillShade="D9"/>
            <w:vAlign w:val="center"/>
          </w:tcPr>
          <w:p w14:paraId="061B8865" w14:textId="77777777" w:rsidR="001A158D" w:rsidRPr="00B404D6" w:rsidRDefault="001A158D" w:rsidP="005E4ACA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4" w:name="_Hlk137640551"/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694C30FA" w14:textId="77777777" w:rsidR="001A158D" w:rsidRPr="00B404D6" w:rsidRDefault="001A158D" w:rsidP="005E4ACA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045" w:type="pct"/>
            <w:shd w:val="clear" w:color="auto" w:fill="D9D9D9" w:themeFill="background1" w:themeFillShade="D9"/>
            <w:vAlign w:val="center"/>
          </w:tcPr>
          <w:p w14:paraId="2AFFE00E" w14:textId="77777777" w:rsidR="001A158D" w:rsidRPr="00B404D6" w:rsidRDefault="001A158D" w:rsidP="005E4ACA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877" w:type="pct"/>
            <w:shd w:val="clear" w:color="auto" w:fill="D9D9D9" w:themeFill="background1" w:themeFillShade="D9"/>
            <w:vAlign w:val="center"/>
          </w:tcPr>
          <w:p w14:paraId="35434EE1" w14:textId="77777777" w:rsidR="001A158D" w:rsidRPr="00B404D6" w:rsidRDefault="001A158D" w:rsidP="005E4ACA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  <w:tc>
          <w:tcPr>
            <w:tcW w:w="798" w:type="pct"/>
            <w:shd w:val="clear" w:color="auto" w:fill="D9D9D9" w:themeFill="background1" w:themeFillShade="D9"/>
          </w:tcPr>
          <w:p w14:paraId="27F90715" w14:textId="0688BEDA" w:rsidR="001A158D" w:rsidRPr="00B404D6" w:rsidRDefault="001A158D" w:rsidP="005E4ACA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A158D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1A158D" w:rsidRPr="00B404D6" w14:paraId="4AEA2BA2" w14:textId="7BDBC5D6" w:rsidTr="001A158D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pct"/>
          </w:tcPr>
          <w:p w14:paraId="18E24BDD" w14:textId="496F7394" w:rsidR="001A158D" w:rsidRPr="00B404D6" w:rsidRDefault="001A158D" w:rsidP="0061117C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5" w:name="_Hlk137642555"/>
            <w:r>
              <w:rPr>
                <w:rFonts w:eastAsia="Calibri" w:cs="Arial"/>
                <w:szCs w:val="24"/>
              </w:rPr>
              <w:t>L</w:t>
            </w:r>
            <w:r w:rsidRPr="00606432">
              <w:rPr>
                <w:rFonts w:eastAsia="Calibri" w:cs="Arial"/>
                <w:szCs w:val="24"/>
              </w:rPr>
              <w:t>iczba miejsc pracy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utworzonych w przedsiębiorstwie społecznym</w:t>
            </w:r>
            <w:bookmarkEnd w:id="5"/>
          </w:p>
        </w:tc>
        <w:tc>
          <w:tcPr>
            <w:tcW w:w="478" w:type="pct"/>
          </w:tcPr>
          <w:p w14:paraId="3C85175B" w14:textId="07842CDC" w:rsidR="001A158D" w:rsidRPr="00B404D6" w:rsidRDefault="001A158D" w:rsidP="00606432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045" w:type="pct"/>
          </w:tcPr>
          <w:p w14:paraId="0F316A0C" w14:textId="77777777" w:rsidR="001A158D" w:rsidRDefault="001A158D" w:rsidP="006064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bookmarkStart w:id="6" w:name="_Hlk137642600"/>
            <w:r w:rsidRPr="00606432">
              <w:rPr>
                <w:rFonts w:eastAsia="Calibri" w:cs="Arial"/>
                <w:szCs w:val="24"/>
              </w:rPr>
              <w:t>Wskaźnik mierzy liczbę nowoutworzonych ze środków EFS+ miejsc pracy dla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lastRenderedPageBreak/>
              <w:t xml:space="preserve">kwalifikowalnych w ramach projektu osób. </w:t>
            </w:r>
          </w:p>
          <w:bookmarkEnd w:id="6"/>
          <w:p w14:paraId="06273A05" w14:textId="01C9354B" w:rsidR="001A158D" w:rsidRDefault="001A158D" w:rsidP="006064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606432">
              <w:rPr>
                <w:rFonts w:eastAsia="Calibri" w:cs="Arial"/>
                <w:szCs w:val="24"/>
              </w:rPr>
              <w:t>Jako miejsce pracy na potrzeby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rozliczenia stawki jednostkowej na utworzenie miejsca pracy, należy rozumieć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zatrudnienie na podstawie umowy o pracę lub spółdzielczej umowy o pracę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w wymiarze co najmniej ½ etatu, a w przypadku osób z niepełnosprawnością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sprzężoną lub ze znacznym stopniem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niepełnosprawności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w wymiarze co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06432">
              <w:rPr>
                <w:rFonts w:eastAsia="Calibri" w:cs="Arial"/>
                <w:szCs w:val="24"/>
              </w:rPr>
              <w:t>najmniej ¼ etatu.</w:t>
            </w:r>
          </w:p>
          <w:p w14:paraId="30F6FD6F" w14:textId="77777777" w:rsidR="001A158D" w:rsidRDefault="001A158D" w:rsidP="006064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606432">
              <w:rPr>
                <w:rFonts w:eastAsia="Calibri" w:cs="Arial"/>
                <w:szCs w:val="24"/>
              </w:rPr>
              <w:lastRenderedPageBreak/>
              <w:t>Za dzień utworzenia miejsca</w:t>
            </w:r>
            <w:r w:rsidRPr="00606432">
              <w:rPr>
                <w:rFonts w:eastAsia="Calibri" w:cs="Arial"/>
                <w:szCs w:val="24"/>
              </w:rPr>
              <w:br/>
              <w:t>pracy uznaje się datę rozpoczęcia pracy nowozatrudnionej osoby</w:t>
            </w:r>
            <w:r>
              <w:rPr>
                <w:rFonts w:eastAsia="Calibri" w:cs="Arial"/>
                <w:szCs w:val="24"/>
              </w:rPr>
              <w:t xml:space="preserve">. </w:t>
            </w:r>
          </w:p>
          <w:p w14:paraId="5060135B" w14:textId="7D9EB3A7" w:rsidR="001A158D" w:rsidRPr="00B404D6" w:rsidRDefault="001A158D" w:rsidP="004D40AC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D40AC">
              <w:rPr>
                <w:rFonts w:eastAsia="Calibri" w:cs="Arial"/>
                <w:szCs w:val="24"/>
              </w:rPr>
              <w:t>Pomiar wskaźnika dokonywany jest do 3 miesięcy od wypłaty wsparcia w celu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4D40AC">
              <w:rPr>
                <w:rFonts w:eastAsia="Calibri" w:cs="Arial"/>
                <w:szCs w:val="24"/>
              </w:rPr>
              <w:t>potwierdzenia faktycznego utworzenia miejsca pracy i tym samym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4D40AC">
              <w:rPr>
                <w:rFonts w:eastAsia="Calibri" w:cs="Arial"/>
                <w:szCs w:val="24"/>
              </w:rPr>
              <w:t>kwalifikowalności stawki utworzenia miejsca pracy.</w:t>
            </w:r>
          </w:p>
        </w:tc>
        <w:tc>
          <w:tcPr>
            <w:tcW w:w="1877" w:type="pct"/>
          </w:tcPr>
          <w:p w14:paraId="10D37941" w14:textId="688A0D48" w:rsidR="001A158D" w:rsidRPr="00B404D6" w:rsidRDefault="001A158D" w:rsidP="005E4AC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404D6">
              <w:rPr>
                <w:rFonts w:cs="Arial"/>
                <w:szCs w:val="24"/>
              </w:rPr>
              <w:lastRenderedPageBreak/>
              <w:t xml:space="preserve">Kwalifikowalność każdego </w:t>
            </w:r>
            <w:r>
              <w:rPr>
                <w:rFonts w:cs="Arial"/>
                <w:szCs w:val="24"/>
              </w:rPr>
              <w:t xml:space="preserve">utworzonego miejsca pracy </w:t>
            </w:r>
            <w:r w:rsidRPr="00B404D6">
              <w:rPr>
                <w:rFonts w:cs="Arial"/>
                <w:szCs w:val="24"/>
              </w:rPr>
              <w:t>jest potwierdzana na etapie weryfikacji wniosku o płatność następującymi dokumentami źródłowymi:</w:t>
            </w:r>
          </w:p>
          <w:p w14:paraId="678CAD4C" w14:textId="5E4B7004" w:rsidR="001A158D" w:rsidRDefault="001A158D" w:rsidP="004D40AC">
            <w:pPr>
              <w:pStyle w:val="Akapitzlist"/>
              <w:numPr>
                <w:ilvl w:val="0"/>
                <w:numId w:val="1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lastRenderedPageBreak/>
              <w:t>podpisana umowa wsparcia wskazująca na liczbę miejsc pracy w danym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PS i liczbę miejsc pracy, które tworzone są w oparciu o przyznane stawki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wraz z wymiarem etatowym tych miejsc</w:t>
            </w:r>
            <w:r>
              <w:rPr>
                <w:rFonts w:cs="Arial"/>
                <w:szCs w:val="24"/>
              </w:rPr>
              <w:t>;</w:t>
            </w:r>
          </w:p>
          <w:p w14:paraId="0F153461" w14:textId="2553E9BD" w:rsidR="001A158D" w:rsidRDefault="001A158D" w:rsidP="004D40AC">
            <w:pPr>
              <w:pStyle w:val="Akapitzlist"/>
              <w:numPr>
                <w:ilvl w:val="0"/>
                <w:numId w:val="1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t>potwierdzenie przelewu stawki jednostkowej do PS</w:t>
            </w:r>
            <w:r>
              <w:rPr>
                <w:rFonts w:cs="Arial"/>
                <w:szCs w:val="24"/>
              </w:rPr>
              <w:t>;</w:t>
            </w:r>
          </w:p>
          <w:p w14:paraId="2F82FA37" w14:textId="77777777" w:rsidR="001A158D" w:rsidRPr="004D40AC" w:rsidRDefault="001A158D" w:rsidP="004D40AC">
            <w:pPr>
              <w:pStyle w:val="Akapitzlist"/>
              <w:numPr>
                <w:ilvl w:val="0"/>
                <w:numId w:val="1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t>kopia umowy o pracę lub umowy spółdzielczej potwierdzająca utworzenie</w:t>
            </w:r>
          </w:p>
          <w:p w14:paraId="1F3AC058" w14:textId="5A33121F" w:rsidR="001A158D" w:rsidRDefault="001A158D" w:rsidP="004D40AC">
            <w:pPr>
              <w:pStyle w:val="Akapitzlist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t>miejsca pracy;</w:t>
            </w:r>
          </w:p>
          <w:p w14:paraId="744B05A7" w14:textId="35330D59" w:rsidR="001A158D" w:rsidRDefault="001A158D" w:rsidP="004D40AC">
            <w:pPr>
              <w:pStyle w:val="Akapitzlist"/>
              <w:numPr>
                <w:ilvl w:val="0"/>
                <w:numId w:val="1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t>w przypadku nowotworzonych PS oraz podmiotów ekonomii społecznej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przekształcających się w PS, dokumenty potwierdzające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założenie/rejestrację nowego PS;</w:t>
            </w:r>
          </w:p>
          <w:p w14:paraId="5B797C3A" w14:textId="1F916986" w:rsidR="001A158D" w:rsidRPr="004D40AC" w:rsidRDefault="001A158D" w:rsidP="005E4ACA">
            <w:pPr>
              <w:pStyle w:val="Akapitzlist"/>
              <w:numPr>
                <w:ilvl w:val="0"/>
                <w:numId w:val="1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t>orzeczenie o niepełnosprawności lub inny dokument potwierdzający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stopień niepełnosprawności – w przypadku utworzenia miejsca pracy dla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t>osób z niepełnosprawnościami sprzężonymi lub ze znacznym stopniem</w:t>
            </w:r>
            <w:r>
              <w:rPr>
                <w:rFonts w:cs="Arial"/>
                <w:szCs w:val="24"/>
              </w:rPr>
              <w:t xml:space="preserve"> </w:t>
            </w:r>
            <w:r w:rsidRPr="004D40AC">
              <w:rPr>
                <w:rFonts w:cs="Arial"/>
                <w:szCs w:val="24"/>
              </w:rPr>
              <w:lastRenderedPageBreak/>
              <w:t>niepełnosprawności w wymiarze co najmniej ¼ etatu;</w:t>
            </w:r>
          </w:p>
          <w:p w14:paraId="1AE128E2" w14:textId="1A8B59AF" w:rsidR="001A158D" w:rsidRPr="00B404D6" w:rsidRDefault="001A158D" w:rsidP="005E4AC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Dla rozliczenia stawki jednostkowej we wniosku o płatność nie są wymagane inne niż wymienione powyżej dokumenty źródłowe. Beneficjent, poza dokumentacją składaną na etapie weryfikacji wniosku o płatność, jest zobowiązany do gromadzenia dokumentacji związanej z</w:t>
            </w:r>
            <w:r>
              <w:rPr>
                <w:rFonts w:eastAsia="Calibri" w:cs="Arial"/>
                <w:szCs w:val="24"/>
              </w:rPr>
              <w:t xml:space="preserve"> utworzeniem miejsca pracy</w:t>
            </w:r>
            <w:r w:rsidRPr="00B404D6">
              <w:rPr>
                <w:rFonts w:eastAsia="Calibri" w:cs="Arial"/>
                <w:szCs w:val="24"/>
              </w:rPr>
              <w:t>, w tym potwierdzającej zgodność z prawem i wymogami określonymi w umowie o dofinansowanie. Beneficjent jest zobowiązany do gromadzenia, przechowywania i udostępniania podczas kontroli oraz wizyt monitoringowych 100% tych dokumentów.</w:t>
            </w:r>
          </w:p>
        </w:tc>
        <w:tc>
          <w:tcPr>
            <w:tcW w:w="798" w:type="pct"/>
          </w:tcPr>
          <w:p w14:paraId="39419FB9" w14:textId="543DD91B" w:rsidR="001A158D" w:rsidRPr="00B404D6" w:rsidRDefault="001A158D" w:rsidP="001A15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bookmarkEnd w:id="4"/>
    </w:tbl>
    <w:p w14:paraId="30D981D0" w14:textId="6C12688D" w:rsidR="00606432" w:rsidRDefault="00606432" w:rsidP="00606432"/>
    <w:p w14:paraId="1941EC0D" w14:textId="110967E5" w:rsidR="004D40AC" w:rsidRDefault="004D40AC" w:rsidP="00606432"/>
    <w:p w14:paraId="30E3865F" w14:textId="29161200" w:rsidR="004D40AC" w:rsidRPr="00606432" w:rsidRDefault="004D40AC" w:rsidP="004D40AC">
      <w:pPr>
        <w:pStyle w:val="Nagwek2"/>
      </w:pPr>
      <w:r>
        <w:t>Stawka jednostkowa na utrzymanie miejsc pracy w PS</w:t>
      </w:r>
    </w:p>
    <w:tbl>
      <w:tblPr>
        <w:tblStyle w:val="Tabelasiatki1jasna1"/>
        <w:tblW w:w="5000" w:type="pct"/>
        <w:tblLook w:val="04A0" w:firstRow="1" w:lastRow="0" w:firstColumn="1" w:lastColumn="0" w:noHBand="0" w:noVBand="1"/>
        <w:tblCaption w:val="Wskaźniki do rozliczania stawki jednostkowej"/>
        <w:tblDescription w:val="W tabeli przedstawiono wskaźniki do rozliczania stawki jednostkowej wdrażane przez Departament Europejskiego Funduszu Społecznego w ramach EFS+"/>
      </w:tblPr>
      <w:tblGrid>
        <w:gridCol w:w="1698"/>
        <w:gridCol w:w="1244"/>
        <w:gridCol w:w="3140"/>
        <w:gridCol w:w="5679"/>
        <w:gridCol w:w="2233"/>
      </w:tblGrid>
      <w:tr w:rsidR="001A158D" w:rsidRPr="004D40AC" w14:paraId="59272753" w14:textId="095292C5" w:rsidTr="001A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  <w:shd w:val="clear" w:color="auto" w:fill="D9D9D9" w:themeFill="background1" w:themeFillShade="D9"/>
            <w:vAlign w:val="center"/>
          </w:tcPr>
          <w:p w14:paraId="7F3F45F3" w14:textId="77777777" w:rsidR="001A158D" w:rsidRPr="004D40AC" w:rsidRDefault="001A158D" w:rsidP="004D40AC">
            <w:pPr>
              <w:spacing w:after="160" w:line="360" w:lineRule="auto"/>
              <w:jc w:val="center"/>
              <w:rPr>
                <w:rFonts w:eastAsia="Calibri" w:cs="Arial"/>
                <w:b w:val="0"/>
                <w:bCs w:val="0"/>
                <w:szCs w:val="24"/>
              </w:rPr>
            </w:pPr>
            <w:r w:rsidRPr="004D40AC">
              <w:rPr>
                <w:rFonts w:eastAsia="Calibri" w:cs="Arial"/>
                <w:b w:val="0"/>
                <w:bCs w:val="0"/>
                <w:szCs w:val="24"/>
              </w:rPr>
              <w:t>Nazwa wskaźnika</w:t>
            </w:r>
          </w:p>
        </w:tc>
        <w:tc>
          <w:tcPr>
            <w:tcW w:w="444" w:type="pct"/>
            <w:shd w:val="clear" w:color="auto" w:fill="D9D9D9" w:themeFill="background1" w:themeFillShade="D9"/>
            <w:vAlign w:val="center"/>
          </w:tcPr>
          <w:p w14:paraId="396B6B39" w14:textId="77777777" w:rsidR="001A158D" w:rsidRPr="004D40AC" w:rsidRDefault="001A158D" w:rsidP="004D40A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4D40AC">
              <w:rPr>
                <w:rFonts w:eastAsia="Calibri" w:cs="Arial"/>
                <w:b w:val="0"/>
                <w:bCs w:val="0"/>
                <w:szCs w:val="24"/>
              </w:rPr>
              <w:t>jednostka miary</w:t>
            </w:r>
          </w:p>
        </w:tc>
        <w:tc>
          <w:tcPr>
            <w:tcW w:w="1122" w:type="pct"/>
            <w:shd w:val="clear" w:color="auto" w:fill="D9D9D9" w:themeFill="background1" w:themeFillShade="D9"/>
            <w:vAlign w:val="center"/>
          </w:tcPr>
          <w:p w14:paraId="68FD427F" w14:textId="77777777" w:rsidR="001A158D" w:rsidRPr="004D40AC" w:rsidRDefault="001A158D" w:rsidP="004D40A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4D40AC">
              <w:rPr>
                <w:rFonts w:eastAsia="Calibri" w:cs="Arial"/>
                <w:b w:val="0"/>
                <w:bCs w:val="0"/>
                <w:szCs w:val="24"/>
              </w:rPr>
              <w:t>Definicja</w:t>
            </w:r>
          </w:p>
        </w:tc>
        <w:tc>
          <w:tcPr>
            <w:tcW w:w="2029" w:type="pct"/>
            <w:shd w:val="clear" w:color="auto" w:fill="D9D9D9" w:themeFill="background1" w:themeFillShade="D9"/>
            <w:vAlign w:val="center"/>
          </w:tcPr>
          <w:p w14:paraId="56ECE557" w14:textId="77777777" w:rsidR="001A158D" w:rsidRPr="004D40AC" w:rsidRDefault="001A158D" w:rsidP="004D40AC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4D40AC">
              <w:rPr>
                <w:rFonts w:eastAsia="Calibri" w:cs="Arial"/>
                <w:b w:val="0"/>
                <w:bCs w:val="0"/>
                <w:szCs w:val="24"/>
              </w:rPr>
              <w:t>Sposób monitorowania</w:t>
            </w:r>
          </w:p>
        </w:tc>
        <w:tc>
          <w:tcPr>
            <w:tcW w:w="798" w:type="pct"/>
            <w:shd w:val="clear" w:color="auto" w:fill="D9D9D9" w:themeFill="background1" w:themeFillShade="D9"/>
          </w:tcPr>
          <w:p w14:paraId="3FD534E2" w14:textId="3C1D7179" w:rsidR="001A158D" w:rsidRPr="001A158D" w:rsidRDefault="001A158D" w:rsidP="004D40AC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szCs w:val="24"/>
              </w:rPr>
            </w:pPr>
            <w:r w:rsidRPr="001A158D">
              <w:rPr>
                <w:rFonts w:eastAsia="Calibri" w:cs="Arial"/>
                <w:b w:val="0"/>
                <w:szCs w:val="24"/>
              </w:rPr>
              <w:t>Charakter wskaźnika</w:t>
            </w:r>
          </w:p>
        </w:tc>
      </w:tr>
      <w:tr w:rsidR="001A158D" w:rsidRPr="004D40AC" w14:paraId="778FBB40" w14:textId="0871EC7F" w:rsidTr="001A158D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</w:tcPr>
          <w:p w14:paraId="37FA00D4" w14:textId="364D510B" w:rsidR="001A158D" w:rsidRPr="007E573E" w:rsidRDefault="001A158D" w:rsidP="0061117C">
            <w:pPr>
              <w:spacing w:after="160" w:line="360" w:lineRule="auto"/>
              <w:jc w:val="center"/>
              <w:rPr>
                <w:rFonts w:eastAsia="Calibri" w:cs="Arial"/>
                <w:bCs w:val="0"/>
                <w:szCs w:val="24"/>
              </w:rPr>
            </w:pPr>
            <w:bookmarkStart w:id="7" w:name="_Hlk137643120"/>
            <w:r w:rsidRPr="004D40AC">
              <w:rPr>
                <w:rFonts w:eastAsia="Calibri" w:cs="Arial"/>
                <w:bCs w:val="0"/>
                <w:szCs w:val="24"/>
              </w:rPr>
              <w:lastRenderedPageBreak/>
              <w:t>Liczba miejsc pracy</w:t>
            </w:r>
            <w:r>
              <w:rPr>
                <w:rFonts w:eastAsia="Calibri" w:cs="Arial"/>
                <w:bCs w:val="0"/>
                <w:szCs w:val="24"/>
              </w:rPr>
              <w:t xml:space="preserve"> </w:t>
            </w:r>
            <w:r w:rsidRPr="004D40AC">
              <w:rPr>
                <w:rFonts w:eastAsia="Calibri" w:cs="Arial"/>
                <w:bCs w:val="0"/>
                <w:szCs w:val="24"/>
              </w:rPr>
              <w:t>utrzymanych przez 12 miesięcy na pełny etat</w:t>
            </w:r>
            <w:bookmarkEnd w:id="7"/>
          </w:p>
        </w:tc>
        <w:tc>
          <w:tcPr>
            <w:tcW w:w="444" w:type="pct"/>
          </w:tcPr>
          <w:p w14:paraId="0CFEA4ED" w14:textId="77777777" w:rsidR="001A158D" w:rsidRPr="004D40AC" w:rsidRDefault="001A158D" w:rsidP="004D40A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D40AC"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122" w:type="pct"/>
          </w:tcPr>
          <w:p w14:paraId="17E24162" w14:textId="21501156" w:rsidR="001A158D" w:rsidRPr="004D40AC" w:rsidRDefault="001A158D" w:rsidP="0061117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bookmarkStart w:id="8" w:name="_Hlk137643138"/>
            <w:r w:rsidRPr="00610E5D">
              <w:rPr>
                <w:rFonts w:eastAsia="Calibri" w:cs="Arial"/>
                <w:szCs w:val="24"/>
              </w:rPr>
              <w:t xml:space="preserve">Wskaźnik mierzy liczbę miejsc pracy, które zostały utworzone w PS ze środków EFS+ w wymiarze pełnego etatu, a następnie utrzymane przez 12 miesięcy. </w:t>
            </w:r>
            <w:bookmarkEnd w:id="8"/>
            <w:r w:rsidRPr="00610E5D">
              <w:rPr>
                <w:rFonts w:eastAsia="Calibri" w:cs="Arial"/>
                <w:szCs w:val="24"/>
              </w:rPr>
              <w:t>Jako utrzymanie miejsca pracy należy rozumieć okres co najmniej 12 miesięcy od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dnia jego utworzenia w związku z kwalifikowaniem stawki jednostkowej na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 xml:space="preserve">utworzenie miejsca pracy w PS. Miejsce pracy uznaje się za utrzymane pod warunkiem nieprzerwanego zatrudnienia na nim osób, o których mowa w art. 2 pkt 6 ustawy z dnia 5 sierpnia </w:t>
            </w:r>
            <w:r w:rsidRPr="00610E5D">
              <w:rPr>
                <w:rFonts w:eastAsia="Calibri" w:cs="Arial"/>
                <w:szCs w:val="24"/>
              </w:rPr>
              <w:lastRenderedPageBreak/>
              <w:t>2022 r. o ekonomii społecznej. Dopuszcza się przerwy w zatrudnieniu nie dłuższe niż łącznie 30 dni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kalendarzowe w okresie 12 miesięcy. Każdy kolejny dzień przerwy (ponad dopuszczalne 30 dni) odpowiednio wydłuża okres utrzymania miejsca pracy.</w:t>
            </w:r>
          </w:p>
        </w:tc>
        <w:tc>
          <w:tcPr>
            <w:tcW w:w="2029" w:type="pct"/>
          </w:tcPr>
          <w:p w14:paraId="5DF3052C" w14:textId="77777777" w:rsidR="001A158D" w:rsidRPr="004D40AC" w:rsidRDefault="001A158D" w:rsidP="004D40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4D40AC">
              <w:rPr>
                <w:rFonts w:cs="Arial"/>
                <w:szCs w:val="24"/>
              </w:rPr>
              <w:lastRenderedPageBreak/>
              <w:t>Kwalifikowalność każdego utworzonego miejsca pracy jest potwierdzana na etapie weryfikacji wniosku o płatność następującymi dokumentami źródłowymi:</w:t>
            </w:r>
          </w:p>
          <w:p w14:paraId="4F1A4825" w14:textId="44381981" w:rsidR="001A158D" w:rsidRDefault="001A158D" w:rsidP="00610E5D">
            <w:pPr>
              <w:numPr>
                <w:ilvl w:val="0"/>
                <w:numId w:val="11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kopia umowy o pracę lub umowa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 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utworzenia;</w:t>
            </w:r>
          </w:p>
          <w:p w14:paraId="37374A5F" w14:textId="2E949E8B" w:rsidR="001A158D" w:rsidRDefault="001A158D" w:rsidP="00610E5D">
            <w:pPr>
              <w:numPr>
                <w:ilvl w:val="0"/>
                <w:numId w:val="11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kopia umowy o pracę lub umowa 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</w:t>
            </w:r>
            <w:r>
              <w:rPr>
                <w:rFonts w:cs="Arial"/>
                <w:szCs w:val="24"/>
              </w:rPr>
              <w:t>;</w:t>
            </w:r>
          </w:p>
          <w:p w14:paraId="035E2B70" w14:textId="4FA6637F" w:rsidR="001A158D" w:rsidRDefault="001A158D" w:rsidP="00610E5D">
            <w:pPr>
              <w:numPr>
                <w:ilvl w:val="0"/>
                <w:numId w:val="11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potwierdzenie przelewu/ów w wysokości odpowiadającej stawce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jednostkowej do PS.</w:t>
            </w:r>
          </w:p>
          <w:p w14:paraId="3D43CFD6" w14:textId="77777777" w:rsidR="001A158D" w:rsidRPr="004D40AC" w:rsidRDefault="001A158D" w:rsidP="00610E5D">
            <w:pPr>
              <w:spacing w:line="360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  <w:p w14:paraId="3A0F49D1" w14:textId="0B598EDB" w:rsidR="001A158D" w:rsidRPr="004D40AC" w:rsidRDefault="001A158D" w:rsidP="004D40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4D40AC">
              <w:rPr>
                <w:rFonts w:eastAsia="Calibri" w:cs="Arial"/>
                <w:szCs w:val="24"/>
              </w:rPr>
              <w:t xml:space="preserve">Dla rozliczenia stawki jednostkowej we wniosku o płatność nie są wymagane inne niż wymienione powyżej dokumenty źródłowe. Beneficjent, poza dokumentacją składaną na etapie weryfikacji </w:t>
            </w:r>
            <w:r w:rsidRPr="004D40AC">
              <w:rPr>
                <w:rFonts w:eastAsia="Calibri" w:cs="Arial"/>
                <w:szCs w:val="24"/>
              </w:rPr>
              <w:lastRenderedPageBreak/>
              <w:t>wniosku o płatność, jest zobowiązany do gromadzenia dokumentacji związanej z ut</w:t>
            </w:r>
            <w:r>
              <w:rPr>
                <w:rFonts w:eastAsia="Calibri" w:cs="Arial"/>
                <w:szCs w:val="24"/>
              </w:rPr>
              <w:t>rzymaniem</w:t>
            </w:r>
            <w:r w:rsidRPr="004D40AC">
              <w:rPr>
                <w:rFonts w:eastAsia="Calibri" w:cs="Arial"/>
                <w:szCs w:val="24"/>
              </w:rPr>
              <w:t xml:space="preserve"> miejsca pracy, w tym potwierdzającej zgodność z prawem i wymogami określonymi w umowie o dofinansowanie. Beneficjent jest zobowiązany do gromadzenia, przechowywania i udostępniania podczas kontroli oraz wizyt monitoringowych 100% tych dokumentów.</w:t>
            </w:r>
          </w:p>
        </w:tc>
        <w:tc>
          <w:tcPr>
            <w:tcW w:w="798" w:type="pct"/>
          </w:tcPr>
          <w:p w14:paraId="158A76F1" w14:textId="06E45913" w:rsidR="001A158D" w:rsidRPr="004D40AC" w:rsidRDefault="001A158D" w:rsidP="001A15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1A158D" w:rsidRPr="004D40AC" w14:paraId="73764E17" w14:textId="440C67D7" w:rsidTr="001A158D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</w:tcPr>
          <w:p w14:paraId="3C29E0FE" w14:textId="37EA9CCB" w:rsidR="001A158D" w:rsidRPr="004D40AC" w:rsidRDefault="001A158D" w:rsidP="0061117C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9" w:name="_Hlk137643183"/>
            <w:r w:rsidRPr="00610E5D">
              <w:rPr>
                <w:rFonts w:eastAsia="Calibri" w:cs="Arial"/>
                <w:szCs w:val="24"/>
              </w:rPr>
              <w:t>Liczba miejsc pracy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utrzymanych przez 12 miesięcy w wymiarze co najmniej ¾ etatu</w:t>
            </w:r>
            <w:bookmarkEnd w:id="9"/>
          </w:p>
        </w:tc>
        <w:tc>
          <w:tcPr>
            <w:tcW w:w="444" w:type="pct"/>
          </w:tcPr>
          <w:p w14:paraId="2DA952F5" w14:textId="44AAD86B" w:rsidR="001A158D" w:rsidRPr="004D40AC" w:rsidRDefault="001A158D" w:rsidP="004D40A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122" w:type="pct"/>
          </w:tcPr>
          <w:p w14:paraId="53E03CF2" w14:textId="6E53C825" w:rsidR="001A158D" w:rsidRPr="00610E5D" w:rsidRDefault="001A158D" w:rsidP="0061117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bookmarkStart w:id="10" w:name="_Hlk137643200"/>
            <w:r w:rsidRPr="00610E5D">
              <w:rPr>
                <w:rFonts w:eastAsia="Calibri" w:cs="Arial"/>
                <w:szCs w:val="24"/>
              </w:rPr>
              <w:t>Wskaźnik mierzy liczbę miejsc pracy, które zostały utworzone w PS ze środków EFS+ w wymiarze co najmniej 3/4 etatu , a następnie utrzymane przez 12 miesięcy</w:t>
            </w:r>
            <w:bookmarkEnd w:id="10"/>
            <w:r w:rsidRPr="00610E5D">
              <w:rPr>
                <w:rFonts w:eastAsia="Calibri" w:cs="Arial"/>
                <w:szCs w:val="24"/>
              </w:rPr>
              <w:t>. Jako utrzymanie miejsca pracy należy rozumieć okres co najmniej 12 miesięcy od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lastRenderedPageBreak/>
              <w:t>dnia jego utworzenia w związku z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kwalifikowaniem stawki jednostkowej na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utworzenie miejsca pracy w PS. Miejsce pracy uznaje się za utrzymane pod warunkiem nieprzerwanego zatrudnienia na nim osób, o których mowa w art. 2 pkt 6 ustawy z dnia 5 sierpnia 2022 r. o ekonomii społecznej. Dopuszcza się przerwy w zatrudnieniu nie dłuższe niż łącznie 30 dni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 xml:space="preserve">kalendarzowe w okresie 12 miesięcy. Każdy kolejny dzień przerwy (ponad dopuszczalne 30 dni) odpowiednio wydłuża </w:t>
            </w:r>
            <w:r w:rsidRPr="00610E5D">
              <w:rPr>
                <w:rFonts w:eastAsia="Calibri" w:cs="Arial"/>
                <w:szCs w:val="24"/>
              </w:rPr>
              <w:lastRenderedPageBreak/>
              <w:t>okres utrzymania miejsca pracy.</w:t>
            </w:r>
          </w:p>
        </w:tc>
        <w:tc>
          <w:tcPr>
            <w:tcW w:w="2029" w:type="pct"/>
          </w:tcPr>
          <w:p w14:paraId="3EBEB5B8" w14:textId="77777777" w:rsidR="001A158D" w:rsidRDefault="001A158D" w:rsidP="004D40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lastRenderedPageBreak/>
              <w:t>Kwalifikowalność każdego utworzonego miejsca pracy jest potwierdzana na etapie weryfikacji wniosku o płatność następującymi dokumentami źródłowymi:</w:t>
            </w:r>
          </w:p>
          <w:p w14:paraId="1102EADA" w14:textId="77777777" w:rsidR="001A158D" w:rsidRDefault="001A158D" w:rsidP="00610E5D">
            <w:pPr>
              <w:numPr>
                <w:ilvl w:val="0"/>
                <w:numId w:val="13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kopia umowy o pracę lub umowa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 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utworzenia;</w:t>
            </w:r>
          </w:p>
          <w:p w14:paraId="37F85595" w14:textId="77777777" w:rsidR="001A158D" w:rsidRDefault="001A158D" w:rsidP="00610E5D">
            <w:pPr>
              <w:numPr>
                <w:ilvl w:val="0"/>
                <w:numId w:val="13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lastRenderedPageBreak/>
              <w:t>kopia umowy o pracę lub umowa 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</w:t>
            </w:r>
            <w:r>
              <w:rPr>
                <w:rFonts w:cs="Arial"/>
                <w:szCs w:val="24"/>
              </w:rPr>
              <w:t>;</w:t>
            </w:r>
          </w:p>
          <w:p w14:paraId="4CF80B4C" w14:textId="77777777" w:rsidR="001A158D" w:rsidRDefault="001A158D" w:rsidP="00610E5D">
            <w:pPr>
              <w:numPr>
                <w:ilvl w:val="0"/>
                <w:numId w:val="13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potwierdzenie przelewu/ów w wysokości odpowiadającej stawce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jednostkowej do PS.</w:t>
            </w:r>
          </w:p>
          <w:p w14:paraId="5C8EF5BD" w14:textId="3B900FBB" w:rsidR="001A158D" w:rsidRPr="004D40AC" w:rsidRDefault="001A158D" w:rsidP="004D40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Dla rozliczenia stawki jednostkowej we wniosku o płatność nie są wymagane inne niż wymienione powyżej dokumenty źródłowe. Beneficjent, poza dokumentacją składaną na etapie weryfikacji wniosku o płatność, jest zobowiązany do gromadzenia dokumentacji związanej z ut</w:t>
            </w:r>
            <w:r>
              <w:rPr>
                <w:rFonts w:cs="Arial"/>
                <w:szCs w:val="24"/>
              </w:rPr>
              <w:t>rzymaniem</w:t>
            </w:r>
            <w:r w:rsidRPr="00610E5D">
              <w:rPr>
                <w:rFonts w:cs="Arial"/>
                <w:szCs w:val="24"/>
              </w:rPr>
              <w:t xml:space="preserve"> miejsca pracy, w tym potwierdzającej zgodność z prawem i wymogami określonymi w umowie o dofinansowanie. Beneficjent jest zobowiązany do gromadzenia, przechowywania i udostępniania podczas kontroli oraz wizyt monitoringowych 100% tych dokumentów.</w:t>
            </w:r>
          </w:p>
        </w:tc>
        <w:tc>
          <w:tcPr>
            <w:tcW w:w="798" w:type="pct"/>
          </w:tcPr>
          <w:p w14:paraId="2AF88E8E" w14:textId="6BDED79B" w:rsidR="001A158D" w:rsidRPr="00610E5D" w:rsidRDefault="001A158D" w:rsidP="001A15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1A158D" w:rsidRPr="004D40AC" w14:paraId="199408B4" w14:textId="29285BFB" w:rsidTr="001A158D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pct"/>
          </w:tcPr>
          <w:p w14:paraId="77C2A089" w14:textId="3FDA0594" w:rsidR="001A158D" w:rsidRPr="00610E5D" w:rsidRDefault="001A158D" w:rsidP="0061117C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11" w:name="_Hlk137643258"/>
            <w:r w:rsidRPr="00610E5D">
              <w:rPr>
                <w:rFonts w:eastAsia="Calibri" w:cs="Arial"/>
                <w:szCs w:val="24"/>
              </w:rPr>
              <w:lastRenderedPageBreak/>
              <w:t>Liczba miejsc pracy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utrzymanych przez 12 miesięcy w wymiarze co najmniej ½ etatu</w:t>
            </w:r>
            <w:bookmarkEnd w:id="11"/>
          </w:p>
        </w:tc>
        <w:tc>
          <w:tcPr>
            <w:tcW w:w="444" w:type="pct"/>
          </w:tcPr>
          <w:p w14:paraId="0095A14F" w14:textId="707B9D2C" w:rsidR="001A158D" w:rsidRDefault="001A158D" w:rsidP="004D40A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sztuka</w:t>
            </w:r>
          </w:p>
        </w:tc>
        <w:tc>
          <w:tcPr>
            <w:tcW w:w="1122" w:type="pct"/>
          </w:tcPr>
          <w:p w14:paraId="10C32164" w14:textId="1F3216F3" w:rsidR="001A158D" w:rsidRDefault="001A158D" w:rsidP="0061117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bookmarkStart w:id="12" w:name="_Hlk137643270"/>
            <w:r w:rsidRPr="00610E5D">
              <w:rPr>
                <w:rFonts w:eastAsia="Calibri" w:cs="Arial"/>
                <w:szCs w:val="24"/>
              </w:rPr>
              <w:t xml:space="preserve">Wskaźnik mierzy liczbę miejsc pracy, które zostały utworzone w PS ze środków EFS+ w wymiarze co najmniej 1/2 etatu , a następnie utrzymane przez 12 miesięcy. </w:t>
            </w:r>
            <w:bookmarkEnd w:id="12"/>
            <w:r w:rsidRPr="00610E5D">
              <w:rPr>
                <w:rFonts w:eastAsia="Calibri" w:cs="Arial"/>
                <w:szCs w:val="24"/>
              </w:rPr>
              <w:t>Jako utrzymanie miejsca pracy należy rozumieć okres co najmniej 12 miesięcy od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dnia jego utworzenia w związku z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kwalifikowaniem stawki jednostkowej na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utworzenie miejsca pracy w PS.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 xml:space="preserve">Miejsce pracy uznaje się za utrzymane pod warunkiem nieprzerwanego zatrudnienia na nim osób, </w:t>
            </w:r>
            <w:r w:rsidRPr="00610E5D">
              <w:rPr>
                <w:rFonts w:eastAsia="Calibri" w:cs="Arial"/>
                <w:szCs w:val="24"/>
              </w:rPr>
              <w:lastRenderedPageBreak/>
              <w:t>o których mowa w art. 2 pkt 6 ustawy z dnia 5 sierpnia 2022 r. o ekonomii społecznej. Dopuszcza się przerwy w zatrudnieniu nie dłuższe niż łącznie 30 dni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kalendarzowe w okresie 12 miesięcy. Każdy kolejny dzień przerwy (ponad dopuszczalne 30 dni) odpowiednio wydłuża okres utrzymania miejsca pracy.</w:t>
            </w:r>
          </w:p>
          <w:p w14:paraId="61E2A007" w14:textId="0A4F9E43" w:rsidR="001A158D" w:rsidRPr="00610E5D" w:rsidRDefault="001A158D" w:rsidP="0061117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610E5D">
              <w:rPr>
                <w:rFonts w:eastAsia="Calibri" w:cs="Arial"/>
                <w:szCs w:val="24"/>
              </w:rPr>
              <w:t>Dla celu ustalenia wysokości stawki wsparcia wymiar ¼ etatu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osób z niepełnosprawnościami sprzężonymi lub ze znacznym stopniem</w:t>
            </w:r>
          </w:p>
          <w:p w14:paraId="0759F8CB" w14:textId="5FA72425" w:rsidR="001A158D" w:rsidRPr="00610E5D" w:rsidRDefault="001A158D" w:rsidP="0061117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610E5D">
              <w:rPr>
                <w:rFonts w:eastAsia="Calibri" w:cs="Arial"/>
                <w:szCs w:val="24"/>
              </w:rPr>
              <w:t xml:space="preserve">niepełnosprawności uznaje się za równoznaczny z </w:t>
            </w:r>
            <w:r w:rsidRPr="00610E5D">
              <w:rPr>
                <w:rFonts w:eastAsia="Calibri" w:cs="Arial"/>
                <w:szCs w:val="24"/>
              </w:rPr>
              <w:lastRenderedPageBreak/>
              <w:t>wymiarem ½ etatu innych</w:t>
            </w:r>
            <w:r>
              <w:rPr>
                <w:rFonts w:eastAsia="Calibri" w:cs="Arial"/>
                <w:szCs w:val="24"/>
              </w:rPr>
              <w:t xml:space="preserve"> </w:t>
            </w:r>
            <w:r w:rsidRPr="00610E5D">
              <w:rPr>
                <w:rFonts w:eastAsia="Calibri" w:cs="Arial"/>
                <w:szCs w:val="24"/>
              </w:rPr>
              <w:t>osób objętych wsparciem.</w:t>
            </w:r>
          </w:p>
        </w:tc>
        <w:tc>
          <w:tcPr>
            <w:tcW w:w="2029" w:type="pct"/>
          </w:tcPr>
          <w:p w14:paraId="6A346193" w14:textId="77777777" w:rsidR="001A158D" w:rsidRDefault="001A158D" w:rsidP="0061117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lastRenderedPageBreak/>
              <w:t>Kwalifikowalność każdego utworzonego miejsca pracy jest potwierdzana na etapie weryfikacji wniosku o płatność następującymi dokumentami źródłowymi:</w:t>
            </w:r>
          </w:p>
          <w:p w14:paraId="76903EE8" w14:textId="77777777" w:rsidR="001A158D" w:rsidRDefault="001A158D" w:rsidP="0061117C">
            <w:pPr>
              <w:numPr>
                <w:ilvl w:val="0"/>
                <w:numId w:val="15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kopia umowy o pracę lub umowa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 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utworzenia;</w:t>
            </w:r>
          </w:p>
          <w:p w14:paraId="16CA49D0" w14:textId="0196D2C8" w:rsidR="001A158D" w:rsidRDefault="001A158D" w:rsidP="0061117C">
            <w:pPr>
              <w:numPr>
                <w:ilvl w:val="0"/>
                <w:numId w:val="15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0E5D">
              <w:rPr>
                <w:rFonts w:cs="Arial"/>
                <w:szCs w:val="24"/>
              </w:rPr>
              <w:t>kopia umowy o pracę lub umowa spółdzielcza oraz świadectwa pracy (jeśli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dotyczy) wszystkich osób zatrudnionych na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nowoutworzonych miejscach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pracy w</w:t>
            </w:r>
            <w:r>
              <w:rPr>
                <w:rFonts w:cs="Arial"/>
                <w:szCs w:val="24"/>
              </w:rPr>
              <w:t xml:space="preserve"> </w:t>
            </w:r>
            <w:r w:rsidRPr="00610E5D">
              <w:rPr>
                <w:rFonts w:cs="Arial"/>
                <w:szCs w:val="24"/>
              </w:rPr>
              <w:t>okresie 12 miesięcy od ich utworzenia</w:t>
            </w:r>
            <w:r>
              <w:rPr>
                <w:rFonts w:cs="Arial"/>
                <w:szCs w:val="24"/>
              </w:rPr>
              <w:t>;</w:t>
            </w:r>
          </w:p>
          <w:p w14:paraId="42C08FA1" w14:textId="0EEBDB2C" w:rsidR="001A158D" w:rsidRPr="0061117C" w:rsidRDefault="001A158D" w:rsidP="004D40AC">
            <w:pPr>
              <w:numPr>
                <w:ilvl w:val="0"/>
                <w:numId w:val="15"/>
              </w:num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117C">
              <w:rPr>
                <w:rFonts w:cs="Arial"/>
                <w:szCs w:val="24"/>
              </w:rPr>
              <w:t>potwierdzenie przelewu/ów w wysokości odpowiadającej stawce jednostkowej do PS.</w:t>
            </w:r>
          </w:p>
          <w:p w14:paraId="21AA33DA" w14:textId="11CA7DD5" w:rsidR="001A158D" w:rsidRPr="00610E5D" w:rsidRDefault="001A158D" w:rsidP="004D40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61117C">
              <w:rPr>
                <w:rFonts w:cs="Arial"/>
                <w:szCs w:val="24"/>
              </w:rPr>
              <w:t xml:space="preserve">Dla rozliczenia stawki jednostkowej we wniosku o płatność nie są wymagane inne niż wymienione powyżej dokumenty źródłowe. Beneficjent, poza </w:t>
            </w:r>
            <w:r w:rsidRPr="0061117C">
              <w:rPr>
                <w:rFonts w:cs="Arial"/>
                <w:szCs w:val="24"/>
              </w:rPr>
              <w:lastRenderedPageBreak/>
              <w:t>dokumentacją składaną na etapie weryfikacji wniosku o płatność, jest zobowiązany do gromadzenia dokumentacji związanej z utrzymaniem miejsca pracy, w tym potwierdzającej zgodność z prawem i wymogami określonymi w umowie o dofinansowanie. Beneficjent jest zobowiązany do gromadzenia, przechowywania i udostępniania podczas kontroli oraz wizyt monitoringowych 100% tych dokumentów.</w:t>
            </w:r>
          </w:p>
        </w:tc>
        <w:tc>
          <w:tcPr>
            <w:tcW w:w="798" w:type="pct"/>
          </w:tcPr>
          <w:p w14:paraId="0C5D61FC" w14:textId="3AC02992" w:rsidR="001A158D" w:rsidRPr="00610E5D" w:rsidRDefault="001A158D" w:rsidP="001A15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1DD4C0E3" w14:textId="77777777" w:rsidR="000526A3" w:rsidRPr="007F7842" w:rsidRDefault="00E4639D" w:rsidP="00606432">
      <w:pPr>
        <w:pStyle w:val="Nagwek1"/>
      </w:pPr>
      <w:r w:rsidRPr="00606432">
        <w:lastRenderedPageBreak/>
        <w:br w:type="page"/>
      </w:r>
      <w:r w:rsidR="000526A3" w:rsidRPr="007F7842">
        <w:lastRenderedPageBreak/>
        <w:t>Wskaźniki produktu monitoringowe</w:t>
      </w:r>
    </w:p>
    <w:p w14:paraId="2DA69C46" w14:textId="77777777" w:rsidR="00606432" w:rsidRPr="00606432" w:rsidRDefault="00606432" w:rsidP="00606432">
      <w:pPr>
        <w:pStyle w:val="Akapitzlist"/>
        <w:keepNext/>
        <w:keepLines/>
        <w:numPr>
          <w:ilvl w:val="0"/>
          <w:numId w:val="5"/>
        </w:numPr>
        <w:spacing w:before="40" w:after="0"/>
        <w:contextualSpacing w:val="0"/>
        <w:outlineLvl w:val="2"/>
        <w:rPr>
          <w:rFonts w:eastAsiaTheme="majorEastAsia" w:cs="Arial"/>
          <w:b/>
          <w:vanish/>
          <w:color w:val="2F5496" w:themeColor="accent1" w:themeShade="BF"/>
          <w:sz w:val="20"/>
          <w:szCs w:val="20"/>
        </w:rPr>
      </w:pPr>
      <w:bookmarkStart w:id="13" w:name="_Toc1130774097"/>
      <w:bookmarkStart w:id="14" w:name="_Toc160474747"/>
      <w:bookmarkStart w:id="15" w:name="_Toc1047832607"/>
      <w:bookmarkStart w:id="16" w:name="_Toc1184757723"/>
      <w:bookmarkStart w:id="17" w:name="_Toc531604962"/>
      <w:bookmarkStart w:id="18" w:name="_Toc506610869"/>
      <w:bookmarkStart w:id="19" w:name="_Toc1911743628"/>
      <w:bookmarkStart w:id="20" w:name="_Toc725242045"/>
      <w:bookmarkStart w:id="21" w:name="_Toc844931052"/>
      <w:bookmarkStart w:id="22" w:name="_Toc116595432"/>
      <w:bookmarkStart w:id="23" w:name="_Toc94780246"/>
    </w:p>
    <w:p w14:paraId="2719387F" w14:textId="77777777" w:rsidR="00606432" w:rsidRPr="00606432" w:rsidRDefault="00606432" w:rsidP="00606432">
      <w:pPr>
        <w:pStyle w:val="Akapitzlist"/>
        <w:keepNext/>
        <w:keepLines/>
        <w:numPr>
          <w:ilvl w:val="0"/>
          <w:numId w:val="5"/>
        </w:numPr>
        <w:spacing w:before="40" w:after="0"/>
        <w:contextualSpacing w:val="0"/>
        <w:outlineLvl w:val="2"/>
        <w:rPr>
          <w:rFonts w:eastAsiaTheme="majorEastAsia" w:cs="Arial"/>
          <w:b/>
          <w:vanish/>
          <w:color w:val="2F5496" w:themeColor="accent1" w:themeShade="BF"/>
          <w:sz w:val="20"/>
          <w:szCs w:val="20"/>
        </w:rPr>
      </w:pPr>
    </w:p>
    <w:p w14:paraId="6C4F0EF5" w14:textId="6BC60776" w:rsidR="000526A3" w:rsidRPr="0058674C" w:rsidRDefault="000526A3" w:rsidP="00606432">
      <w:pPr>
        <w:keepNext/>
        <w:keepLines/>
        <w:numPr>
          <w:ilvl w:val="1"/>
          <w:numId w:val="5"/>
        </w:numPr>
        <w:spacing w:before="40" w:after="0"/>
        <w:ind w:left="1571"/>
        <w:outlineLvl w:val="2"/>
        <w:rPr>
          <w:rFonts w:eastAsiaTheme="majorEastAsia" w:cs="Arial"/>
          <w:b/>
          <w:color w:val="2F5496" w:themeColor="accent1" w:themeShade="BF"/>
          <w:szCs w:val="24"/>
        </w:rPr>
      </w:pPr>
      <w:r w:rsidRPr="0058674C">
        <w:rPr>
          <w:rFonts w:eastAsiaTheme="majorEastAsia" w:cs="Arial"/>
          <w:b/>
          <w:color w:val="2F5496" w:themeColor="accent1" w:themeShade="BF"/>
          <w:szCs w:val="24"/>
        </w:rPr>
        <w:t>Wskaźniki monitoringowe mierzone we wszystkich celach szczegółowych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Style w:val="Tabelasiatki1jasna"/>
        <w:tblW w:w="14596" w:type="dxa"/>
        <w:jc w:val="center"/>
        <w:tblLook w:val="04A0" w:firstRow="1" w:lastRow="0" w:firstColumn="1" w:lastColumn="0" w:noHBand="0" w:noVBand="1"/>
      </w:tblPr>
      <w:tblGrid>
        <w:gridCol w:w="1404"/>
        <w:gridCol w:w="2778"/>
        <w:gridCol w:w="1337"/>
        <w:gridCol w:w="1293"/>
        <w:gridCol w:w="2964"/>
        <w:gridCol w:w="1601"/>
        <w:gridCol w:w="1655"/>
        <w:gridCol w:w="1564"/>
      </w:tblGrid>
      <w:tr w:rsidR="001A158D" w:rsidRPr="0058674C" w14:paraId="73BD09A5" w14:textId="5A9F30FA" w:rsidTr="001A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shd w:val="clear" w:color="auto" w:fill="D9D9D9" w:themeFill="background1" w:themeFillShade="D9"/>
            <w:vAlign w:val="center"/>
          </w:tcPr>
          <w:p w14:paraId="2FFDCA96" w14:textId="77777777" w:rsidR="001A158D" w:rsidRPr="0058674C" w:rsidRDefault="001A158D" w:rsidP="0058674C">
            <w:pPr>
              <w:spacing w:after="160" w:line="360" w:lineRule="auto"/>
              <w:jc w:val="center"/>
              <w:rPr>
                <w:rFonts w:cs="Arial"/>
                <w:szCs w:val="24"/>
              </w:rPr>
            </w:pPr>
            <w:bookmarkStart w:id="24" w:name="_Hlk130813203"/>
            <w:bookmarkStart w:id="25" w:name="_Hlk130555740"/>
            <w:r w:rsidRPr="0058674C">
              <w:rPr>
                <w:rFonts w:cs="Arial"/>
                <w:szCs w:val="24"/>
              </w:rPr>
              <w:t>Kod wskaźnika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14:paraId="3651A074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Nazwa wskaźnika</w:t>
            </w:r>
          </w:p>
        </w:tc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74855250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jednostka miary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39B3AE8A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</w:t>
            </w:r>
          </w:p>
        </w:tc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3D3BB821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Definicja</w:t>
            </w:r>
          </w:p>
        </w:tc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37139538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Sposób pomiaru</w:t>
            </w:r>
          </w:p>
        </w:tc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055046E9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Narzędzia Pomiaru</w:t>
            </w:r>
            <w:r w:rsidRPr="0058674C">
              <w:rPr>
                <w:rFonts w:cs="Arial"/>
                <w:szCs w:val="24"/>
                <w:vertAlign w:val="superscript"/>
              </w:rPr>
              <w:footnoteReference w:id="2"/>
            </w:r>
          </w:p>
        </w:tc>
        <w:tc>
          <w:tcPr>
            <w:tcW w:w="1508" w:type="dxa"/>
            <w:shd w:val="clear" w:color="auto" w:fill="D9D9D9" w:themeFill="background1" w:themeFillShade="D9"/>
          </w:tcPr>
          <w:p w14:paraId="2826C41C" w14:textId="4A4AC306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t>Charakter wskaźnika</w:t>
            </w:r>
          </w:p>
        </w:tc>
      </w:tr>
      <w:bookmarkEnd w:id="24"/>
      <w:tr w:rsidR="001A158D" w:rsidRPr="0058674C" w14:paraId="5D5FC0DE" w14:textId="3474704E" w:rsidTr="001A158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</w:tcPr>
          <w:p w14:paraId="3627F734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WLWK-PL0CO01</w:t>
            </w:r>
          </w:p>
        </w:tc>
        <w:tc>
          <w:tcPr>
            <w:tcW w:w="2712" w:type="dxa"/>
          </w:tcPr>
          <w:p w14:paraId="36434DE6" w14:textId="18E940A0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projektów, w których sfinansowano koszty racjonalnych usprawnień dla osób z niepełnosprawnościami</w:t>
            </w:r>
            <w:r w:rsidR="00E100D5">
              <w:rPr>
                <w:rFonts w:cs="Arial"/>
                <w:szCs w:val="24"/>
              </w:rPr>
              <w:t>.</w:t>
            </w:r>
          </w:p>
        </w:tc>
        <w:tc>
          <w:tcPr>
            <w:tcW w:w="1337" w:type="dxa"/>
          </w:tcPr>
          <w:p w14:paraId="4F10396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sztuki</w:t>
            </w:r>
          </w:p>
        </w:tc>
        <w:tc>
          <w:tcPr>
            <w:tcW w:w="1301" w:type="dxa"/>
          </w:tcPr>
          <w:p w14:paraId="3C7653B9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003" w:type="dxa"/>
          </w:tcPr>
          <w:p w14:paraId="2276A1FF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</w:t>
            </w:r>
            <w:r w:rsidRPr="0058674C">
              <w:rPr>
                <w:rFonts w:cs="Arial"/>
                <w:szCs w:val="24"/>
              </w:rPr>
              <w:lastRenderedPageBreak/>
              <w:t>zasadzie równości z innymi osobami.</w:t>
            </w:r>
          </w:p>
          <w:p w14:paraId="3C31798C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rozliczenia wydatku związanego z racjonalnymi usprawnieniami w ramach danego projektu.</w:t>
            </w:r>
          </w:p>
          <w:p w14:paraId="5110B564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drukarki </w:t>
            </w:r>
            <w:r w:rsidRPr="0058674C">
              <w:rPr>
                <w:rFonts w:cs="Arial"/>
                <w:szCs w:val="24"/>
              </w:rPr>
              <w:lastRenderedPageBreak/>
              <w:t>materiałów w alfabecie Braille'a), osoby asystujące, odpowiednie dostosowanie wyżywienia.</w:t>
            </w:r>
          </w:p>
          <w:p w14:paraId="090BACC0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FEEF90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Na poziomie projektu wskaźnik może przyjmować maksymalną </w:t>
            </w:r>
            <w:r w:rsidRPr="0058674C">
              <w:rPr>
                <w:rFonts w:cs="Arial"/>
                <w:szCs w:val="24"/>
              </w:rPr>
              <w:lastRenderedPageBreak/>
              <w:t>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2DD51D2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659" w:type="dxa"/>
          </w:tcPr>
          <w:p w14:paraId="63CC01D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71" w:type="dxa"/>
          </w:tcPr>
          <w:p w14:paraId="246F5013" w14:textId="689BC5ED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508" w:type="dxa"/>
          </w:tcPr>
          <w:p w14:paraId="72052A83" w14:textId="25D8C758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obligatoryjny</w:t>
            </w:r>
          </w:p>
        </w:tc>
      </w:tr>
      <w:tr w:rsidR="001A158D" w:rsidRPr="0058674C" w14:paraId="281301E2" w14:textId="0386EBFA" w:rsidTr="001A158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</w:tcPr>
          <w:p w14:paraId="3D76E7EE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WLWK-PL0CO02</w:t>
            </w:r>
          </w:p>
        </w:tc>
        <w:tc>
          <w:tcPr>
            <w:tcW w:w="2712" w:type="dxa"/>
          </w:tcPr>
          <w:p w14:paraId="15AC62C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Liczba obiektów dostosowanych do </w:t>
            </w:r>
            <w:r w:rsidRPr="0058674C">
              <w:rPr>
                <w:rFonts w:cs="Arial"/>
                <w:szCs w:val="24"/>
              </w:rPr>
              <w:lastRenderedPageBreak/>
              <w:t>potrzeb osób z niepełnosprawnościami</w:t>
            </w:r>
          </w:p>
        </w:tc>
        <w:tc>
          <w:tcPr>
            <w:tcW w:w="1337" w:type="dxa"/>
          </w:tcPr>
          <w:p w14:paraId="1156A43F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sztuki</w:t>
            </w:r>
          </w:p>
        </w:tc>
        <w:tc>
          <w:tcPr>
            <w:tcW w:w="1301" w:type="dxa"/>
          </w:tcPr>
          <w:p w14:paraId="43E7B597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Wartość docelowa nie </w:t>
            </w:r>
            <w:r w:rsidRPr="0058674C">
              <w:rPr>
                <w:rFonts w:cs="Arial"/>
                <w:szCs w:val="24"/>
              </w:rPr>
              <w:lastRenderedPageBreak/>
              <w:t>została określona - wskaźnik mierzony na etapie realizacji projektu.</w:t>
            </w:r>
          </w:p>
        </w:tc>
        <w:tc>
          <w:tcPr>
            <w:tcW w:w="3003" w:type="dxa"/>
          </w:tcPr>
          <w:p w14:paraId="2B2E3E3E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Wskaźnik odnosi się do liczby obiektów w ramach realizowanego projektu, </w:t>
            </w:r>
            <w:r w:rsidRPr="0058674C">
              <w:rPr>
                <w:rFonts w:cs="Arial"/>
                <w:szCs w:val="24"/>
              </w:rPr>
              <w:lastRenderedPageBreak/>
              <w:t>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58674C">
              <w:rPr>
                <w:rFonts w:cs="Arial"/>
                <w:szCs w:val="24"/>
              </w:rPr>
              <w:br/>
            </w:r>
          </w:p>
          <w:p w14:paraId="2816A8F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Jako obiekty należy rozumieć konstrukcje połączone z gruntem w </w:t>
            </w:r>
            <w:r w:rsidRPr="0058674C">
              <w:rPr>
                <w:rFonts w:cs="Arial"/>
                <w:szCs w:val="24"/>
              </w:rPr>
              <w:lastRenderedPageBreak/>
              <w:t>sposób trwały, wykonane z materiałów budowlanych i elementów składowych, będące wynikiem prac budowlanych (wg. def. PKOB).</w:t>
            </w:r>
          </w:p>
          <w:p w14:paraId="085BE5EB" w14:textId="3B04F36F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Należy podać liczbę obiektów, a nie sprzętów, urządzeń itp., w które obiekty zaopatrzono. Jeśli instytucja, zakład itp. składa się z kilku obiektów, należy zliczyć wszystkie, które dostosowano do potrzeb osób z niepełnosprawnościami.</w:t>
            </w:r>
          </w:p>
          <w:p w14:paraId="48901CF8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Wskaźnik mierzony w momencie rozliczenia wydatku związanego z </w:t>
            </w:r>
            <w:r w:rsidRPr="0058674C">
              <w:rPr>
                <w:rFonts w:cs="Arial"/>
                <w:szCs w:val="24"/>
              </w:rPr>
              <w:lastRenderedPageBreak/>
              <w:t>wyposażeniem obiektów w rozwiązania służące osobom z niepełnosprawnościami w ramach danego projektu.</w:t>
            </w:r>
          </w:p>
        </w:tc>
        <w:tc>
          <w:tcPr>
            <w:tcW w:w="1659" w:type="dxa"/>
          </w:tcPr>
          <w:p w14:paraId="5BB44390" w14:textId="47FBB71A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Pomiar wskaźnika odbywać się </w:t>
            </w:r>
            <w:r w:rsidRPr="0058674C">
              <w:rPr>
                <w:rFonts w:cs="Arial"/>
                <w:szCs w:val="24"/>
              </w:rPr>
              <w:lastRenderedPageBreak/>
              <w:t>będzie na etapie realizacji projektu.</w:t>
            </w:r>
          </w:p>
        </w:tc>
        <w:tc>
          <w:tcPr>
            <w:tcW w:w="1671" w:type="dxa"/>
          </w:tcPr>
          <w:p w14:paraId="2D90D39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Wskaźnik mierzony w momencie </w:t>
            </w:r>
            <w:r w:rsidRPr="0058674C">
              <w:rPr>
                <w:rFonts w:cs="Arial"/>
                <w:szCs w:val="24"/>
              </w:rPr>
              <w:lastRenderedPageBreak/>
              <w:t>rozliczenia wydatku na podstawie dokumentów dostępnych na etapie realizacji.</w:t>
            </w:r>
          </w:p>
        </w:tc>
        <w:tc>
          <w:tcPr>
            <w:tcW w:w="1508" w:type="dxa"/>
          </w:tcPr>
          <w:p w14:paraId="6A177E34" w14:textId="039D2E8A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  <w:r w:rsidR="001A158D">
              <w:rPr>
                <w:rFonts w:cs="Arial"/>
                <w:szCs w:val="24"/>
              </w:rPr>
              <w:t xml:space="preserve"> </w:t>
            </w:r>
          </w:p>
        </w:tc>
      </w:tr>
      <w:bookmarkEnd w:id="25"/>
    </w:tbl>
    <w:p w14:paraId="7C3BF864" w14:textId="6EC5465A" w:rsidR="000526A3" w:rsidRDefault="000526A3" w:rsidP="000526A3">
      <w:pPr>
        <w:spacing w:after="160"/>
        <w:rPr>
          <w:rFonts w:cs="Arial"/>
          <w:b/>
          <w:bCs/>
          <w:sz w:val="20"/>
          <w:szCs w:val="20"/>
        </w:rPr>
      </w:pPr>
    </w:p>
    <w:p w14:paraId="2128D46C" w14:textId="3669F21A" w:rsidR="0058674C" w:rsidRDefault="0058674C" w:rsidP="000526A3">
      <w:pPr>
        <w:spacing w:after="160"/>
        <w:rPr>
          <w:rFonts w:cs="Arial"/>
          <w:b/>
          <w:bCs/>
          <w:sz w:val="20"/>
          <w:szCs w:val="20"/>
        </w:rPr>
      </w:pPr>
    </w:p>
    <w:p w14:paraId="19799222" w14:textId="77777777" w:rsidR="0058674C" w:rsidRPr="007F7842" w:rsidRDefault="0058674C" w:rsidP="000526A3">
      <w:pPr>
        <w:spacing w:after="160"/>
        <w:rPr>
          <w:rFonts w:cs="Arial"/>
          <w:b/>
          <w:bCs/>
          <w:sz w:val="20"/>
          <w:szCs w:val="20"/>
        </w:rPr>
      </w:pPr>
    </w:p>
    <w:p w14:paraId="23B5047F" w14:textId="77777777" w:rsidR="000526A3" w:rsidRPr="0058674C" w:rsidRDefault="000526A3" w:rsidP="000526A3">
      <w:pPr>
        <w:keepNext/>
        <w:keepLines/>
        <w:numPr>
          <w:ilvl w:val="1"/>
          <w:numId w:val="5"/>
        </w:numPr>
        <w:spacing w:before="40" w:after="0"/>
        <w:ind w:firstLine="131"/>
        <w:outlineLvl w:val="2"/>
        <w:rPr>
          <w:rFonts w:eastAsiaTheme="majorEastAsia" w:cs="Arial"/>
          <w:b/>
          <w:color w:val="1F3763" w:themeColor="accent1" w:themeShade="7F"/>
          <w:szCs w:val="24"/>
        </w:rPr>
      </w:pPr>
      <w:r w:rsidRPr="0058674C">
        <w:rPr>
          <w:rFonts w:eastAsiaTheme="majorEastAsia" w:cs="Arial"/>
          <w:b/>
          <w:color w:val="1F3763" w:themeColor="accent1" w:themeShade="7F"/>
          <w:szCs w:val="24"/>
        </w:rPr>
        <w:t>Wskaźniki monitoringowe dotyczące uczestników</w:t>
      </w:r>
    </w:p>
    <w:tbl>
      <w:tblPr>
        <w:tblStyle w:val="Tabelasiatki1jasna"/>
        <w:tblW w:w="1428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83"/>
        <w:gridCol w:w="1912"/>
        <w:gridCol w:w="906"/>
        <w:gridCol w:w="1282"/>
        <w:gridCol w:w="3795"/>
        <w:gridCol w:w="1785"/>
        <w:gridCol w:w="1660"/>
        <w:gridCol w:w="1660"/>
      </w:tblGrid>
      <w:tr w:rsidR="001A158D" w:rsidRPr="0058674C" w14:paraId="3B87A28D" w14:textId="77DDC09F" w:rsidTr="001A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shd w:val="clear" w:color="auto" w:fill="D9D9D9" w:themeFill="background1" w:themeFillShade="D9"/>
            <w:vAlign w:val="center"/>
          </w:tcPr>
          <w:p w14:paraId="727A52D3" w14:textId="77777777" w:rsidR="001A158D" w:rsidRPr="0058674C" w:rsidRDefault="001A158D" w:rsidP="0058674C">
            <w:pPr>
              <w:spacing w:after="160" w:line="360" w:lineRule="auto"/>
              <w:jc w:val="center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Kod wskaźnika</w:t>
            </w:r>
          </w:p>
        </w:tc>
        <w:tc>
          <w:tcPr>
            <w:tcW w:w="1912" w:type="dxa"/>
            <w:shd w:val="clear" w:color="auto" w:fill="D9D9D9" w:themeFill="background1" w:themeFillShade="D9"/>
            <w:vAlign w:val="center"/>
          </w:tcPr>
          <w:p w14:paraId="59C86EEC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Nazwa wskaźnika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14:paraId="795440C0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jednostka miary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304510F8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</w:t>
            </w:r>
          </w:p>
        </w:tc>
        <w:tc>
          <w:tcPr>
            <w:tcW w:w="3795" w:type="dxa"/>
            <w:shd w:val="clear" w:color="auto" w:fill="D9D9D9" w:themeFill="background1" w:themeFillShade="D9"/>
            <w:vAlign w:val="center"/>
          </w:tcPr>
          <w:p w14:paraId="64A8C073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Definicja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38EBEB1F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Sposób pomiaru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4DA7DAF4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Narzędzia Pomiaru</w:t>
            </w:r>
            <w:r w:rsidRPr="0058674C">
              <w:rPr>
                <w:rFonts w:cs="Arial"/>
                <w:szCs w:val="24"/>
                <w:vertAlign w:val="superscript"/>
              </w:rPr>
              <w:footnoteReference w:id="3"/>
            </w:r>
          </w:p>
        </w:tc>
        <w:tc>
          <w:tcPr>
            <w:tcW w:w="1660" w:type="dxa"/>
            <w:shd w:val="clear" w:color="auto" w:fill="D9D9D9" w:themeFill="background1" w:themeFillShade="D9"/>
          </w:tcPr>
          <w:p w14:paraId="11339CF5" w14:textId="7E7CD2A5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t>Charakter wskaźnika</w:t>
            </w:r>
          </w:p>
        </w:tc>
      </w:tr>
      <w:tr w:rsidR="001A158D" w:rsidRPr="0058674C" w14:paraId="67AD7F49" w14:textId="7A6919A5" w:rsidTr="001A1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</w:tcPr>
          <w:p w14:paraId="5D73C1E1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WLWK-EECO12</w:t>
            </w:r>
          </w:p>
        </w:tc>
        <w:tc>
          <w:tcPr>
            <w:tcW w:w="1912" w:type="dxa"/>
          </w:tcPr>
          <w:p w14:paraId="3CE1B998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osób z niepełnosprawnościami objętych wsparciem w programie</w:t>
            </w:r>
          </w:p>
        </w:tc>
        <w:tc>
          <w:tcPr>
            <w:tcW w:w="906" w:type="dxa"/>
          </w:tcPr>
          <w:p w14:paraId="3A99C26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</w:t>
            </w:r>
          </w:p>
        </w:tc>
        <w:tc>
          <w:tcPr>
            <w:tcW w:w="1282" w:type="dxa"/>
          </w:tcPr>
          <w:p w14:paraId="37C4B10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Wartość docelowa nie została określona - wskaźnik mierzony </w:t>
            </w:r>
            <w:r w:rsidRPr="0058674C">
              <w:rPr>
                <w:rFonts w:cs="Arial"/>
                <w:szCs w:val="24"/>
              </w:rPr>
              <w:lastRenderedPageBreak/>
              <w:t>na etapie realizacji projektu.</w:t>
            </w:r>
          </w:p>
        </w:tc>
        <w:tc>
          <w:tcPr>
            <w:tcW w:w="3795" w:type="dxa"/>
          </w:tcPr>
          <w:p w14:paraId="0FC7524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Za osoby z niepełnosprawnościami uznaje się osoby niepełnosprawne w świetle przepisów ustawy z dnia 27 sierpnia 1997 r. o rehabilitacji zawodowej i społecznej oraz zatrudnianiu osób niepełnosprawnych, a także </w:t>
            </w:r>
            <w:r w:rsidRPr="0058674C">
              <w:rPr>
                <w:rFonts w:cs="Arial"/>
                <w:szCs w:val="24"/>
              </w:rPr>
              <w:lastRenderedPageBreak/>
              <w:t>osoby z zaburzeniami psychicznymi, o których mowa w ustawie z dnia 19 sierpnia 1994 r. o ochronie zdrowia psychicznego tj. osoby z odpowiednim orzeczeniem lub innym dokumentem poświadczającym stan zdrowia.</w:t>
            </w:r>
          </w:p>
          <w:p w14:paraId="6CAD0CC4" w14:textId="77777777" w:rsidR="001A158D" w:rsidRPr="0058674C" w:rsidRDefault="001A158D" w:rsidP="0058674C">
            <w:pPr>
              <w:spacing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45CFAF44" w14:textId="007E8780" w:rsidR="001A158D" w:rsidRPr="0058674C" w:rsidRDefault="001A158D" w:rsidP="0058674C">
            <w:pPr>
              <w:spacing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</w:t>
            </w:r>
            <w:r w:rsidRPr="0058674C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</w:t>
            </w:r>
            <w:r w:rsidRPr="0058674C">
              <w:rPr>
                <w:rFonts w:eastAsia="Times New Roman" w:cs="Arial"/>
                <w:szCs w:val="24"/>
                <w:lang w:eastAsia="pl-PL"/>
              </w:rPr>
              <w:lastRenderedPageBreak/>
              <w:t>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B83AB7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t xml:space="preserve">Załączniku 3 do Wytycznych dotyczących monitorowania postępu rzeczowego realizacji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lastRenderedPageBreak/>
              <w:t xml:space="preserve">programów na lata 2021-2027. </w:t>
            </w:r>
            <w:hyperlink r:id="rId8" w:history="1">
              <w:r w:rsidRPr="0058674C">
                <w:rPr>
                  <w:rFonts w:eastAsia="Times New Roman" w:cs="Arial"/>
                  <w:color w:val="0563C1" w:themeColor="hyperlink"/>
                  <w:szCs w:val="24"/>
                  <w:u w:val="single"/>
                  <w:lang w:eastAsia="pl-PL"/>
                </w:rPr>
                <w:t>Wiarygodne szacunki</w:t>
              </w:r>
            </w:hyperlink>
            <w:r w:rsidRPr="0058674C">
              <w:rPr>
                <w:rFonts w:eastAsia="Times New Roman" w:cs="Arial"/>
                <w:szCs w:val="24"/>
                <w:lang w:eastAsia="pl-PL"/>
              </w:rPr>
              <w:t>.</w:t>
            </w:r>
          </w:p>
        </w:tc>
        <w:tc>
          <w:tcPr>
            <w:tcW w:w="1785" w:type="dxa"/>
          </w:tcPr>
          <w:p w14:paraId="1556571E" w14:textId="1120F0A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60" w:type="dxa"/>
          </w:tcPr>
          <w:p w14:paraId="2C58CDA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objęcia wsparciem  w projekcie osób z niepełnospra</w:t>
            </w:r>
            <w:r w:rsidRPr="0058674C">
              <w:rPr>
                <w:rFonts w:cs="Arial"/>
                <w:szCs w:val="24"/>
              </w:rPr>
              <w:lastRenderedPageBreak/>
              <w:t>wnościami na podstawie dokumentów dostępnych na etapie realizacji.</w:t>
            </w:r>
          </w:p>
          <w:p w14:paraId="65D72D07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  <w:p w14:paraId="0AE754D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660" w:type="dxa"/>
          </w:tcPr>
          <w:p w14:paraId="2D09C0D5" w14:textId="42218316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1A158D" w:rsidRPr="0058674C" w14:paraId="1EF52247" w14:textId="62C25898" w:rsidTr="001A1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</w:tcPr>
          <w:p w14:paraId="05F8F78D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WLWK-EECO13</w:t>
            </w:r>
          </w:p>
        </w:tc>
        <w:tc>
          <w:tcPr>
            <w:tcW w:w="1912" w:type="dxa"/>
          </w:tcPr>
          <w:p w14:paraId="3B3DA28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osób z krajów trzecich objętych wsparciem w programie</w:t>
            </w:r>
          </w:p>
        </w:tc>
        <w:tc>
          <w:tcPr>
            <w:tcW w:w="906" w:type="dxa"/>
          </w:tcPr>
          <w:p w14:paraId="4690173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</w:t>
            </w:r>
          </w:p>
        </w:tc>
        <w:tc>
          <w:tcPr>
            <w:tcW w:w="1282" w:type="dxa"/>
          </w:tcPr>
          <w:p w14:paraId="20D859F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795" w:type="dxa"/>
          </w:tcPr>
          <w:p w14:paraId="270084FE" w14:textId="37BCDE28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Osoby, które są obywatelami krajów spoza UE. Do wskaźnika wlicza się też bezpaństwowców zgodnie z Konwencją o statusie bezpaństwowców z 1954 r. i osoby bez ustalonego obywatelstwa.</w:t>
            </w:r>
          </w:p>
          <w:p w14:paraId="59FACE74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05CF0B3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 przypadku, gdy obywatelstwo państw trzecich jest kryterium umożliwiającym udział w danej interwencji (np. grupa docelowa wskazana została we wniosku o </w:t>
            </w:r>
            <w:r w:rsidRPr="0058674C">
              <w:rPr>
                <w:rFonts w:cs="Arial"/>
                <w:szCs w:val="24"/>
              </w:rPr>
              <w:lastRenderedPageBreak/>
              <w:t xml:space="preserve">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</w:t>
            </w:r>
            <w:r w:rsidRPr="0058674C">
              <w:rPr>
                <w:rFonts w:cs="Arial"/>
                <w:szCs w:val="24"/>
              </w:rPr>
              <w:lastRenderedPageBreak/>
              <w:t>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72EEE77E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t xml:space="preserve">Załączniku 3 do Wytycznych dotyczących monitorowania postępu rzeczowego realizacji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lastRenderedPageBreak/>
              <w:t xml:space="preserve">programów na lata 2021-2027. </w:t>
            </w:r>
            <w:hyperlink r:id="rId9" w:history="1">
              <w:r w:rsidRPr="0058674C">
                <w:rPr>
                  <w:rFonts w:eastAsia="Times New Roman" w:cs="Arial"/>
                  <w:color w:val="0563C1" w:themeColor="hyperlink"/>
                  <w:szCs w:val="24"/>
                  <w:u w:val="single"/>
                  <w:lang w:eastAsia="pl-PL"/>
                </w:rPr>
                <w:t>Wiarygodne szacunki</w:t>
              </w:r>
            </w:hyperlink>
            <w:r w:rsidRPr="0058674C">
              <w:rPr>
                <w:rFonts w:eastAsia="Times New Roman" w:cs="Arial"/>
                <w:szCs w:val="24"/>
                <w:lang w:eastAsia="pl-PL"/>
              </w:rPr>
              <w:t>.</w:t>
            </w:r>
          </w:p>
        </w:tc>
        <w:tc>
          <w:tcPr>
            <w:tcW w:w="1785" w:type="dxa"/>
          </w:tcPr>
          <w:p w14:paraId="5233BFCA" w14:textId="63A37F4E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60" w:type="dxa"/>
          </w:tcPr>
          <w:p w14:paraId="26517B55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660" w:type="dxa"/>
          </w:tcPr>
          <w:p w14:paraId="54CD9F80" w14:textId="3B139A1F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obligatoryjny</w:t>
            </w:r>
            <w:r w:rsidR="001A158D">
              <w:rPr>
                <w:rFonts w:cs="Arial"/>
                <w:szCs w:val="24"/>
              </w:rPr>
              <w:t xml:space="preserve"> </w:t>
            </w:r>
          </w:p>
        </w:tc>
      </w:tr>
      <w:tr w:rsidR="001A158D" w:rsidRPr="0058674C" w14:paraId="467CBC6F" w14:textId="14C4E269" w:rsidTr="001A1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</w:tcPr>
          <w:p w14:paraId="3D30D2B0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WLWK-EECO14</w:t>
            </w:r>
          </w:p>
        </w:tc>
        <w:tc>
          <w:tcPr>
            <w:tcW w:w="1912" w:type="dxa"/>
          </w:tcPr>
          <w:p w14:paraId="150F7C10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osób obcego pochodzenia objętych wsparciem w programie</w:t>
            </w:r>
          </w:p>
        </w:tc>
        <w:tc>
          <w:tcPr>
            <w:tcW w:w="906" w:type="dxa"/>
          </w:tcPr>
          <w:p w14:paraId="0E17284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</w:t>
            </w:r>
          </w:p>
        </w:tc>
        <w:tc>
          <w:tcPr>
            <w:tcW w:w="1282" w:type="dxa"/>
          </w:tcPr>
          <w:p w14:paraId="2971546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795" w:type="dxa"/>
          </w:tcPr>
          <w:p w14:paraId="7BBF0199" w14:textId="1257C288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 obcego pochodzenia to cudzoziemcy - każda osoba, która nie posiada polskiego obywatelstwa, bez względu na fakt posiadania lub nie obywatelstwa (obywatelstw) innych krajów.</w:t>
            </w:r>
          </w:p>
          <w:p w14:paraId="69AD4E27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58674C">
              <w:rPr>
                <w:rFonts w:cs="Arial"/>
                <w:i/>
                <w:szCs w:val="24"/>
              </w:rPr>
              <w:t>liczba osób należących do mniejszości, w tym społeczności marginalizowanych takich jak Romowie, objętych wsparciem w programie</w:t>
            </w:r>
            <w:r w:rsidRPr="0058674C">
              <w:rPr>
                <w:rFonts w:cs="Arial"/>
                <w:szCs w:val="24"/>
              </w:rPr>
              <w:t>.</w:t>
            </w:r>
          </w:p>
          <w:p w14:paraId="389C2CDF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Przynależność do grupy osób obcego pochodzenia określana </w:t>
            </w:r>
            <w:r w:rsidRPr="0058674C">
              <w:rPr>
                <w:rFonts w:cs="Arial"/>
                <w:szCs w:val="24"/>
              </w:rPr>
              <w:lastRenderedPageBreak/>
              <w:t>jest w momencie rozpoczęcia udziału w projekcie, tj. w chwili rozpoczęcia udziału w pierwszej formie wsparcia w projekcie.</w:t>
            </w:r>
          </w:p>
          <w:p w14:paraId="5A7246C5" w14:textId="4BCEA429" w:rsidR="001A158D" w:rsidRPr="0058674C" w:rsidRDefault="001A158D" w:rsidP="0058674C">
            <w:pPr>
              <w:spacing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8674C">
              <w:rPr>
                <w:rFonts w:cs="Arial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</w:t>
            </w:r>
            <w:r w:rsidRPr="0058674C">
              <w:rPr>
                <w:rFonts w:cs="Arial"/>
                <w:szCs w:val="24"/>
              </w:rPr>
              <w:lastRenderedPageBreak/>
              <w:t xml:space="preserve">przypadku, gdy powiązane z nim dane osobowe nie są zbierane od uczestników. Beneficjent stosuje wtedy szacunki. Najlepiej, by szacunki dotyczące uczestników obcego pochodzenia </w:t>
            </w:r>
            <w:r w:rsidRPr="0058674C">
              <w:rPr>
                <w:rFonts w:eastAsia="Times New Roman" w:cs="Arial"/>
                <w:szCs w:val="24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</w:t>
            </w:r>
            <w:r w:rsidRPr="0058674C">
              <w:rPr>
                <w:rFonts w:eastAsia="Times New Roman" w:cs="Arial"/>
                <w:szCs w:val="24"/>
                <w:lang w:eastAsia="pl-PL"/>
              </w:rPr>
              <w:lastRenderedPageBreak/>
              <w:t>zbieranie danych osobowych dot. tego wskaźnika od uczestników.</w:t>
            </w:r>
          </w:p>
          <w:p w14:paraId="6D11D2A6" w14:textId="77777777" w:rsidR="001A158D" w:rsidRPr="0058674C" w:rsidRDefault="001A158D" w:rsidP="0058674C">
            <w:pPr>
              <w:spacing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Informacje dodatkowe: Wskaźnik będzie obejmował zawsze osoby </w:t>
            </w:r>
            <w:r w:rsidRPr="0058674C">
              <w:rPr>
                <w:rFonts w:eastAsia="Calibri" w:cs="Arial"/>
                <w:szCs w:val="24"/>
              </w:rPr>
              <w:t xml:space="preserve">z krajów trzecich, zliczane we wskaźniku </w:t>
            </w:r>
            <w:r w:rsidRPr="0058674C">
              <w:rPr>
                <w:rFonts w:eastAsia="Calibri" w:cs="Arial"/>
                <w:i/>
                <w:szCs w:val="24"/>
              </w:rPr>
              <w:t>liczba osób z krajów trzecich objętych wsparciem w programie</w:t>
            </w:r>
            <w:r w:rsidRPr="0058674C">
              <w:rPr>
                <w:rFonts w:eastAsia="Calibri" w:cs="Arial"/>
                <w:szCs w:val="24"/>
              </w:rPr>
              <w:t>.</w:t>
            </w:r>
          </w:p>
          <w:p w14:paraId="5FCB176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0" w:history="1">
              <w:r w:rsidRPr="0058674C">
                <w:rPr>
                  <w:rFonts w:eastAsia="Times New Roman" w:cs="Arial"/>
                  <w:color w:val="0563C1" w:themeColor="hyperlink"/>
                  <w:szCs w:val="24"/>
                  <w:u w:val="single"/>
                  <w:lang w:eastAsia="pl-PL"/>
                </w:rPr>
                <w:t>Wiarygodne szacunki</w:t>
              </w:r>
            </w:hyperlink>
            <w:r w:rsidRPr="0058674C">
              <w:rPr>
                <w:rFonts w:eastAsia="Times New Roman" w:cs="Arial"/>
                <w:szCs w:val="24"/>
                <w:lang w:eastAsia="pl-PL"/>
              </w:rPr>
              <w:t>.</w:t>
            </w:r>
          </w:p>
        </w:tc>
        <w:tc>
          <w:tcPr>
            <w:tcW w:w="1785" w:type="dxa"/>
          </w:tcPr>
          <w:p w14:paraId="0D4D8FE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60" w:type="dxa"/>
          </w:tcPr>
          <w:p w14:paraId="73956CD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660" w:type="dxa"/>
          </w:tcPr>
          <w:p w14:paraId="602E868C" w14:textId="4B52F8FF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obligatoryjny</w:t>
            </w:r>
            <w:r w:rsidR="001A158D">
              <w:rPr>
                <w:rFonts w:cs="Arial"/>
                <w:szCs w:val="24"/>
              </w:rPr>
              <w:t xml:space="preserve"> </w:t>
            </w:r>
          </w:p>
        </w:tc>
      </w:tr>
      <w:tr w:rsidR="001A158D" w:rsidRPr="0058674C" w14:paraId="5377BC66" w14:textId="6D6E4B64" w:rsidTr="001A1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</w:tcPr>
          <w:p w14:paraId="3A55C9D0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WLWK-EECO15</w:t>
            </w:r>
          </w:p>
        </w:tc>
        <w:tc>
          <w:tcPr>
            <w:tcW w:w="1912" w:type="dxa"/>
          </w:tcPr>
          <w:p w14:paraId="082C0217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Liczba osób należących do mniejszości, w </w:t>
            </w:r>
            <w:r w:rsidRPr="0058674C">
              <w:rPr>
                <w:rFonts w:cs="Arial"/>
                <w:szCs w:val="24"/>
              </w:rPr>
              <w:lastRenderedPageBreak/>
              <w:t>tym społeczności marginalizowanych takich jak Romowie, objętych wsparciem w programie</w:t>
            </w:r>
          </w:p>
        </w:tc>
        <w:tc>
          <w:tcPr>
            <w:tcW w:w="906" w:type="dxa"/>
          </w:tcPr>
          <w:p w14:paraId="1B58D173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osoby</w:t>
            </w:r>
          </w:p>
        </w:tc>
        <w:tc>
          <w:tcPr>
            <w:tcW w:w="1282" w:type="dxa"/>
          </w:tcPr>
          <w:p w14:paraId="3967D8E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Wartość docelowa nie </w:t>
            </w:r>
            <w:r w:rsidRPr="0058674C">
              <w:rPr>
                <w:rFonts w:cs="Arial"/>
                <w:szCs w:val="24"/>
              </w:rPr>
              <w:lastRenderedPageBreak/>
              <w:t>została określona - wskaźnik mierzony na etapie realizacji projektu.</w:t>
            </w:r>
          </w:p>
        </w:tc>
        <w:tc>
          <w:tcPr>
            <w:tcW w:w="3795" w:type="dxa"/>
          </w:tcPr>
          <w:p w14:paraId="5FF8211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Wskaźnik obejmuje osoby należące do mniejszości </w:t>
            </w:r>
            <w:r w:rsidRPr="0058674C">
              <w:rPr>
                <w:rFonts w:cs="Arial"/>
                <w:szCs w:val="24"/>
              </w:rPr>
              <w:lastRenderedPageBreak/>
              <w:t>narodowych i etnicznych biorące udział w projektach EFS+.</w:t>
            </w:r>
          </w:p>
          <w:p w14:paraId="4D1ADBD4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58674C">
              <w:rPr>
                <w:rFonts w:cs="Arial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1A7037BF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Przynależność do grupy osób należących do mniejszości określana jest w momencie rozpoczęcia udziału w projekcie, tj. w chwili rozpoczęcia udziału w </w:t>
            </w:r>
            <w:r w:rsidRPr="0058674C">
              <w:rPr>
                <w:rFonts w:cs="Arial"/>
                <w:szCs w:val="24"/>
              </w:rPr>
              <w:lastRenderedPageBreak/>
              <w:t>pierwszej formie wsparcia w projekcie.</w:t>
            </w:r>
          </w:p>
          <w:p w14:paraId="5E176B28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</w:t>
            </w:r>
            <w:r w:rsidRPr="0058674C">
              <w:rPr>
                <w:rFonts w:cs="Arial"/>
                <w:szCs w:val="24"/>
              </w:rPr>
              <w:lastRenderedPageBreak/>
              <w:t>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376D664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Beneficjent jest zobowiązany do stosowania zasad dotyczących możliwości wykorzystania wiarygodnych szacunków ujętych w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58674C">
                <w:rPr>
                  <w:rFonts w:eastAsia="Times New Roman" w:cs="Arial"/>
                  <w:color w:val="0563C1" w:themeColor="hyperlink"/>
                  <w:szCs w:val="24"/>
                  <w:u w:val="single"/>
                  <w:lang w:eastAsia="pl-PL"/>
                </w:rPr>
                <w:t>Wiarygodne szacunki</w:t>
              </w:r>
            </w:hyperlink>
            <w:r w:rsidRPr="0058674C">
              <w:rPr>
                <w:rFonts w:eastAsia="Times New Roman" w:cs="Arial"/>
                <w:szCs w:val="24"/>
                <w:lang w:eastAsia="pl-PL"/>
              </w:rPr>
              <w:t>.</w:t>
            </w:r>
          </w:p>
        </w:tc>
        <w:tc>
          <w:tcPr>
            <w:tcW w:w="1785" w:type="dxa"/>
          </w:tcPr>
          <w:p w14:paraId="410B93A5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Pomiar wskaźnika odbywać się </w:t>
            </w:r>
            <w:r w:rsidRPr="0058674C">
              <w:rPr>
                <w:rFonts w:cs="Arial"/>
                <w:szCs w:val="24"/>
              </w:rPr>
              <w:lastRenderedPageBreak/>
              <w:t>będzie na etapie realizacji projektu.</w:t>
            </w:r>
          </w:p>
        </w:tc>
        <w:tc>
          <w:tcPr>
            <w:tcW w:w="1660" w:type="dxa"/>
          </w:tcPr>
          <w:p w14:paraId="742BE83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Wskaźnik mierzony w momencie </w:t>
            </w:r>
            <w:r w:rsidRPr="0058674C">
              <w:rPr>
                <w:rFonts w:cs="Arial"/>
                <w:szCs w:val="24"/>
              </w:rPr>
              <w:lastRenderedPageBreak/>
              <w:t>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660" w:type="dxa"/>
          </w:tcPr>
          <w:p w14:paraId="3B4F2461" w14:textId="7CD8B28B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1A158D" w:rsidRPr="0058674C" w14:paraId="4322E1A1" w14:textId="37C3AA62" w:rsidTr="001A1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</w:tcPr>
          <w:p w14:paraId="3383872C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WLWK-EECO16</w:t>
            </w:r>
          </w:p>
        </w:tc>
        <w:tc>
          <w:tcPr>
            <w:tcW w:w="1912" w:type="dxa"/>
          </w:tcPr>
          <w:p w14:paraId="57E56EF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906" w:type="dxa"/>
          </w:tcPr>
          <w:p w14:paraId="17DEB44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</w:t>
            </w:r>
          </w:p>
        </w:tc>
        <w:tc>
          <w:tcPr>
            <w:tcW w:w="1282" w:type="dxa"/>
          </w:tcPr>
          <w:p w14:paraId="55B5CFC5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795" w:type="dxa"/>
          </w:tcPr>
          <w:p w14:paraId="3AF08E3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We wskaźniku wykazywane są osoby w kryzysie bezdomności lub dotknięte wykluczeniem z dostępu do mieszkań.</w:t>
            </w:r>
            <w:r w:rsidRPr="0058674C">
              <w:rPr>
                <w:rFonts w:cs="Arial"/>
                <w:szCs w:val="24"/>
              </w:rPr>
              <w:br w:type="page"/>
            </w:r>
          </w:p>
          <w:p w14:paraId="398C78B2" w14:textId="517CA10B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</w:t>
            </w:r>
            <w:r w:rsidRPr="0058674C">
              <w:rPr>
                <w:rFonts w:cs="Arial"/>
                <w:szCs w:val="24"/>
              </w:rPr>
              <w:lastRenderedPageBreak/>
              <w:t>mieszkaniowego oraz ustawą z dnia 12 marca 2004 r.  o pomocy społecznej:</w:t>
            </w:r>
            <w:r w:rsidRPr="0058674C">
              <w:rPr>
                <w:rFonts w:cs="Arial"/>
                <w:szCs w:val="24"/>
              </w:rPr>
              <w:br w:type="page"/>
            </w:r>
          </w:p>
          <w:p w14:paraId="5CFF1EA7" w14:textId="77777777" w:rsidR="001A158D" w:rsidRPr="0058674C" w:rsidRDefault="001A158D" w:rsidP="0058674C">
            <w:pPr>
              <w:numPr>
                <w:ilvl w:val="0"/>
                <w:numId w:val="2"/>
              </w:num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Bez dachu nad głową, w tym osoby żyjące w przestrzeni publicznej lub zakwaterowane interwencyjnie;</w:t>
            </w:r>
          </w:p>
          <w:p w14:paraId="4247CC47" w14:textId="353B0F45" w:rsidR="001A158D" w:rsidRPr="0058674C" w:rsidRDefault="001A158D" w:rsidP="0058674C">
            <w:pPr>
              <w:numPr>
                <w:ilvl w:val="0"/>
                <w:numId w:val="2"/>
              </w:num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</w:t>
            </w:r>
            <w:r w:rsidRPr="0058674C">
              <w:rPr>
                <w:rFonts w:cs="Arial"/>
                <w:szCs w:val="24"/>
              </w:rPr>
              <w:lastRenderedPageBreak/>
              <w:t>powodu bezdomności - specjalistyczne zakwaterowanie wspierane);</w:t>
            </w:r>
          </w:p>
          <w:p w14:paraId="577490F0" w14:textId="77777777" w:rsidR="001A158D" w:rsidRPr="0058674C" w:rsidRDefault="001A158D" w:rsidP="0058674C">
            <w:pPr>
              <w:numPr>
                <w:ilvl w:val="0"/>
                <w:numId w:val="2"/>
              </w:num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</w:t>
            </w:r>
            <w:r w:rsidRPr="0058674C">
              <w:rPr>
                <w:rFonts w:cs="Arial"/>
                <w:szCs w:val="24"/>
              </w:rPr>
              <w:lastRenderedPageBreak/>
              <w:t>eksmisji, osoby zagrożone przemocą;</w:t>
            </w:r>
          </w:p>
          <w:p w14:paraId="2DE93C87" w14:textId="77777777" w:rsidR="001A158D" w:rsidRPr="0058674C" w:rsidRDefault="001A158D" w:rsidP="0058674C">
            <w:pPr>
              <w:numPr>
                <w:ilvl w:val="0"/>
                <w:numId w:val="2"/>
              </w:num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58674C">
              <w:rPr>
                <w:rFonts w:cs="Arial"/>
                <w:szCs w:val="24"/>
              </w:rPr>
              <w:t>substandardowe</w:t>
            </w:r>
            <w:proofErr w:type="spellEnd"/>
            <w:r w:rsidRPr="0058674C">
              <w:rPr>
                <w:rFonts w:cs="Arial"/>
                <w:szCs w:val="24"/>
              </w:rPr>
              <w:t xml:space="preserve"> - lokale nienadające się do zamieszkania wg standardu krajowego, w warunkach skrajnego przeludnienia;</w:t>
            </w:r>
          </w:p>
          <w:p w14:paraId="67C3CBC0" w14:textId="77777777" w:rsidR="001A158D" w:rsidRPr="0058674C" w:rsidRDefault="001A158D" w:rsidP="0058674C">
            <w:pPr>
              <w:numPr>
                <w:ilvl w:val="0"/>
                <w:numId w:val="2"/>
              </w:num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Osoby niezamieszkujące w lokalu mieszkalnym w rozumieniu przepisów o ochronie praw lokatorów i mieszkaniowym zasobie gminy i niezameldowane na pobyt stały, w </w:t>
            </w:r>
            <w:r w:rsidRPr="0058674C">
              <w:rPr>
                <w:rFonts w:cs="Arial"/>
                <w:szCs w:val="24"/>
              </w:rPr>
              <w:lastRenderedPageBreak/>
              <w:t>rozumieniu przepisów o ewidencji ludności, a także osoby niezamieszkujące w lokalu mieszkalnym i zameldowaną na pobyt stały w lokalu, w którym nie ma możliwości zamieszkania.</w:t>
            </w:r>
          </w:p>
          <w:p w14:paraId="5D6C743E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4B45327" w14:textId="35C58F9A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 przypadku, gdy bezdomność / wykluczenie z dostępu do mieszkań jest kryterium umożliwiającym udział w danej interwencji (np. grupa docelowa wskazana została we wniosku o </w:t>
            </w:r>
            <w:r w:rsidRPr="0058674C">
              <w:rPr>
                <w:rFonts w:cs="Arial"/>
                <w:szCs w:val="24"/>
              </w:rPr>
              <w:lastRenderedPageBreak/>
              <w:t xml:space="preserve">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</w:t>
            </w:r>
            <w:r w:rsidRPr="0058674C">
              <w:rPr>
                <w:rFonts w:cs="Arial"/>
                <w:szCs w:val="24"/>
              </w:rPr>
              <w:lastRenderedPageBreak/>
              <w:t>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34E6D6D6" w14:textId="7722CFFF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</w:t>
            </w:r>
            <w:r w:rsidRPr="0058674C">
              <w:rPr>
                <w:rFonts w:cs="Arial"/>
                <w:szCs w:val="24"/>
              </w:rPr>
              <w:lastRenderedPageBreak/>
              <w:t>rozpoczęcia udziału w pierwszej formie wsparcia w projekcie.</w:t>
            </w:r>
          </w:p>
          <w:p w14:paraId="16CC9727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eastAsia="Times New Roman" w:cs="Arial"/>
                <w:szCs w:val="24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58674C">
              <w:rPr>
                <w:rFonts w:eastAsia="Times New Roman" w:cs="Arial"/>
                <w:i/>
                <w:szCs w:val="24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58674C">
                <w:rPr>
                  <w:rFonts w:eastAsia="Times New Roman" w:cs="Arial"/>
                  <w:color w:val="0563C1" w:themeColor="hyperlink"/>
                  <w:szCs w:val="24"/>
                  <w:u w:val="single"/>
                  <w:lang w:eastAsia="pl-PL"/>
                </w:rPr>
                <w:t>Wiarygodne szacunki</w:t>
              </w:r>
            </w:hyperlink>
            <w:r w:rsidRPr="0058674C">
              <w:rPr>
                <w:rFonts w:eastAsia="Times New Roman" w:cs="Arial"/>
                <w:szCs w:val="24"/>
                <w:lang w:eastAsia="pl-PL"/>
              </w:rPr>
              <w:t>.</w:t>
            </w:r>
          </w:p>
        </w:tc>
        <w:tc>
          <w:tcPr>
            <w:tcW w:w="1785" w:type="dxa"/>
          </w:tcPr>
          <w:p w14:paraId="41CF6A9D" w14:textId="0D926DAA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660" w:type="dxa"/>
          </w:tcPr>
          <w:p w14:paraId="4D39F2C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objęcia wsparciem  w projekcie osób w kryzysie bezdomności lub dotkniętych wykluczenie</w:t>
            </w:r>
            <w:r w:rsidRPr="0058674C">
              <w:rPr>
                <w:rFonts w:cs="Arial"/>
                <w:szCs w:val="24"/>
              </w:rPr>
              <w:lastRenderedPageBreak/>
              <w:t>m z dostępu do mieszkań na podstawie dokumentów dostępnych na etapie realizacji.</w:t>
            </w:r>
          </w:p>
        </w:tc>
        <w:tc>
          <w:tcPr>
            <w:tcW w:w="1660" w:type="dxa"/>
          </w:tcPr>
          <w:p w14:paraId="686C4C1D" w14:textId="49F63C1A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2C36BF92" w14:textId="77777777" w:rsidR="000526A3" w:rsidRPr="007F7842" w:rsidRDefault="000526A3" w:rsidP="000526A3">
      <w:pPr>
        <w:spacing w:after="160"/>
        <w:rPr>
          <w:rFonts w:cs="Arial"/>
          <w:b/>
          <w:sz w:val="20"/>
          <w:szCs w:val="20"/>
        </w:rPr>
      </w:pPr>
    </w:p>
    <w:p w14:paraId="4B6014F6" w14:textId="77777777" w:rsidR="000526A3" w:rsidRPr="007F7842" w:rsidRDefault="000526A3" w:rsidP="000526A3">
      <w:pPr>
        <w:spacing w:after="160"/>
        <w:rPr>
          <w:rFonts w:cs="Arial"/>
          <w:b/>
          <w:sz w:val="20"/>
          <w:szCs w:val="20"/>
        </w:rPr>
      </w:pPr>
    </w:p>
    <w:p w14:paraId="401101CD" w14:textId="77777777" w:rsidR="000526A3" w:rsidRPr="0058674C" w:rsidRDefault="000526A3" w:rsidP="000526A3">
      <w:pPr>
        <w:keepNext/>
        <w:keepLines/>
        <w:numPr>
          <w:ilvl w:val="1"/>
          <w:numId w:val="5"/>
        </w:numPr>
        <w:spacing w:before="40" w:after="0"/>
        <w:ind w:firstLine="273"/>
        <w:outlineLvl w:val="2"/>
        <w:rPr>
          <w:rFonts w:eastAsiaTheme="majorEastAsia" w:cs="Arial"/>
          <w:b/>
          <w:color w:val="1F3763" w:themeColor="accent1" w:themeShade="7F"/>
          <w:szCs w:val="24"/>
        </w:rPr>
      </w:pPr>
      <w:r w:rsidRPr="0058674C">
        <w:rPr>
          <w:rFonts w:eastAsiaTheme="majorEastAsia" w:cs="Arial"/>
          <w:b/>
          <w:color w:val="1F3763" w:themeColor="accent1" w:themeShade="7F"/>
          <w:szCs w:val="24"/>
        </w:rPr>
        <w:t>Wskaźniki monitoringowe dotyczące podmiotów</w:t>
      </w:r>
    </w:p>
    <w:tbl>
      <w:tblPr>
        <w:tblStyle w:val="Tabelasiatki1jasna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316"/>
        <w:gridCol w:w="1964"/>
        <w:gridCol w:w="1057"/>
        <w:gridCol w:w="1315"/>
        <w:gridCol w:w="3647"/>
        <w:gridCol w:w="1834"/>
        <w:gridCol w:w="1484"/>
        <w:gridCol w:w="1701"/>
      </w:tblGrid>
      <w:tr w:rsidR="001A158D" w:rsidRPr="0058674C" w14:paraId="2D0976F7" w14:textId="604494D8" w:rsidTr="002A1E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shd w:val="clear" w:color="auto" w:fill="D9D9D9" w:themeFill="background1" w:themeFillShade="D9"/>
            <w:vAlign w:val="center"/>
          </w:tcPr>
          <w:p w14:paraId="677EE68B" w14:textId="77777777" w:rsidR="001A158D" w:rsidRPr="0058674C" w:rsidRDefault="001A158D" w:rsidP="0058674C">
            <w:pPr>
              <w:spacing w:after="160" w:line="360" w:lineRule="auto"/>
              <w:jc w:val="center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Kod wskaźnika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0A5F50DE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Nazwa wskaźnika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05AE1D7C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jednostka miary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03ADC071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</w:t>
            </w:r>
          </w:p>
        </w:tc>
        <w:tc>
          <w:tcPr>
            <w:tcW w:w="3647" w:type="dxa"/>
            <w:shd w:val="clear" w:color="auto" w:fill="D9D9D9" w:themeFill="background1" w:themeFillShade="D9"/>
            <w:vAlign w:val="center"/>
          </w:tcPr>
          <w:p w14:paraId="3BBC70D7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Definicja</w:t>
            </w:r>
          </w:p>
        </w:tc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4741AE03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Sposób pomiaru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14:paraId="3DBD94FD" w14:textId="77777777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Narzędzia Pomiaru</w:t>
            </w:r>
            <w:r w:rsidRPr="0058674C">
              <w:rPr>
                <w:rFonts w:cs="Arial"/>
                <w:szCs w:val="24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0F14E2" w14:textId="7D858B22" w:rsidR="001A158D" w:rsidRPr="0058674C" w:rsidRDefault="001A158D" w:rsidP="0058674C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A158D">
              <w:rPr>
                <w:rFonts w:cs="Arial"/>
                <w:szCs w:val="24"/>
              </w:rPr>
              <w:t>Charakter wskaźnika</w:t>
            </w:r>
          </w:p>
        </w:tc>
      </w:tr>
      <w:tr w:rsidR="001A158D" w:rsidRPr="0058674C" w14:paraId="3A5C52E0" w14:textId="3879A3A7" w:rsidTr="002A1E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5F25BF64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WLWK-EECO18</w:t>
            </w:r>
          </w:p>
        </w:tc>
        <w:tc>
          <w:tcPr>
            <w:tcW w:w="1964" w:type="dxa"/>
          </w:tcPr>
          <w:p w14:paraId="462C3B1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Liczba objętych wsparciem </w:t>
            </w:r>
            <w:r w:rsidRPr="0058674C">
              <w:rPr>
                <w:rFonts w:cs="Arial"/>
                <w:szCs w:val="24"/>
              </w:rPr>
              <w:lastRenderedPageBreak/>
              <w:t>podmiotów administracji publicznej lub służb publicznych na szczeblu krajowym, regionalnym lub lokalnym</w:t>
            </w:r>
          </w:p>
        </w:tc>
        <w:tc>
          <w:tcPr>
            <w:tcW w:w="1057" w:type="dxa"/>
          </w:tcPr>
          <w:p w14:paraId="29E4B4EF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podmioty</w:t>
            </w:r>
          </w:p>
        </w:tc>
        <w:tc>
          <w:tcPr>
            <w:tcW w:w="1315" w:type="dxa"/>
          </w:tcPr>
          <w:p w14:paraId="45FDEFCB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Wartość docelowa </w:t>
            </w:r>
            <w:r w:rsidRPr="0058674C">
              <w:rPr>
                <w:rFonts w:cs="Arial"/>
                <w:szCs w:val="24"/>
              </w:rPr>
              <w:lastRenderedPageBreak/>
              <w:t>nie została określona - wskaźnik mierzony na etapie realizacji projektu.</w:t>
            </w:r>
          </w:p>
        </w:tc>
        <w:tc>
          <w:tcPr>
            <w:tcW w:w="3647" w:type="dxa"/>
          </w:tcPr>
          <w:p w14:paraId="39E516B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Za służby publiczne uznaje się publiczne lub prywatne </w:t>
            </w:r>
            <w:r w:rsidRPr="0058674C">
              <w:rPr>
                <w:rFonts w:cs="Arial"/>
                <w:szCs w:val="24"/>
              </w:rPr>
              <w:lastRenderedPageBreak/>
              <w:t>podmioty, które świadczą usługi publiczne (w przypadku usług publicznych zlecanych przez państwo podmiotom prywatnym lub świadczonych w ramach partnerstwa publiczno-prywatnego).</w:t>
            </w:r>
          </w:p>
          <w:p w14:paraId="24A52766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</w:t>
            </w:r>
            <w:r w:rsidRPr="0058674C">
              <w:rPr>
                <w:rFonts w:cs="Arial"/>
                <w:szCs w:val="24"/>
              </w:rPr>
              <w:lastRenderedPageBreak/>
              <w:t>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6EE5416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6C0A1175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Do wskaźnika wliczane są tylko te podmioty, dla których można </w:t>
            </w:r>
            <w:r w:rsidRPr="0058674C">
              <w:rPr>
                <w:rFonts w:cs="Arial"/>
                <w:szCs w:val="24"/>
              </w:rPr>
              <w:lastRenderedPageBreak/>
              <w:t>wyróżnić wydatki (nie dotyczy pomocy technicznej).</w:t>
            </w:r>
          </w:p>
          <w:p w14:paraId="594CB302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834" w:type="dxa"/>
          </w:tcPr>
          <w:p w14:paraId="6E7C3727" w14:textId="1D66A6A2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Pomiar wskaźnika </w:t>
            </w:r>
            <w:r w:rsidRPr="0058674C">
              <w:rPr>
                <w:rFonts w:cs="Arial"/>
                <w:szCs w:val="24"/>
              </w:rPr>
              <w:lastRenderedPageBreak/>
              <w:t>odbywać się będzie na etapie realizacji projektu.</w:t>
            </w:r>
          </w:p>
        </w:tc>
        <w:tc>
          <w:tcPr>
            <w:tcW w:w="1484" w:type="dxa"/>
          </w:tcPr>
          <w:p w14:paraId="2E5CD4CC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 xml:space="preserve">Wskaźnik mierzony w </w:t>
            </w:r>
            <w:r w:rsidRPr="0058674C">
              <w:rPr>
                <w:rFonts w:cs="Arial"/>
                <w:szCs w:val="24"/>
              </w:rPr>
              <w:lastRenderedPageBreak/>
              <w:t>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701" w:type="dxa"/>
          </w:tcPr>
          <w:p w14:paraId="2D88053A" w14:textId="6C2F85EF" w:rsidR="001A158D" w:rsidRPr="0058674C" w:rsidRDefault="002A1E7A" w:rsidP="002A1E7A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1A158D" w:rsidRPr="0058674C" w14:paraId="4873FFE7" w14:textId="5F9CCFAA" w:rsidTr="002A1E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02E44122" w14:textId="77777777" w:rsidR="001A158D" w:rsidRPr="0058674C" w:rsidRDefault="001A158D" w:rsidP="0058674C">
            <w:pPr>
              <w:spacing w:after="160" w:line="360" w:lineRule="auto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WLWK-EECO19</w:t>
            </w:r>
          </w:p>
        </w:tc>
        <w:tc>
          <w:tcPr>
            <w:tcW w:w="1964" w:type="dxa"/>
          </w:tcPr>
          <w:p w14:paraId="09A35C18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057" w:type="dxa"/>
          </w:tcPr>
          <w:p w14:paraId="5B10B4A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przedsiębiorstwa</w:t>
            </w:r>
          </w:p>
        </w:tc>
        <w:tc>
          <w:tcPr>
            <w:tcW w:w="1315" w:type="dxa"/>
          </w:tcPr>
          <w:p w14:paraId="2AF024E9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647" w:type="dxa"/>
          </w:tcPr>
          <w:p w14:paraId="59C4C18E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6C42464A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Na kategorię mikroprzedsiębiorstw oraz małych i średnich przedsiębiorstw (MMŚP) składają się przedsiębiorstwa, które zatrudniają mniej niż 250 pracowników, których roczny obrót nie przekracza 50 </w:t>
            </w:r>
            <w:r w:rsidRPr="0058674C">
              <w:rPr>
                <w:rFonts w:cs="Arial"/>
                <w:szCs w:val="24"/>
              </w:rPr>
              <w:lastRenderedPageBreak/>
              <w:t>milionów EUR lub roczna suma bilansowa nie przekracza 43 milionów EUR.</w:t>
            </w:r>
          </w:p>
          <w:p w14:paraId="458F7FB1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2D22780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Dodatkowe informacje:</w:t>
            </w:r>
          </w:p>
          <w:p w14:paraId="1E6460E4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 kategorii mikroprzedsiębiorstwa należy uwzględnić również osoby prowadzące działalność na własny rachunek.</w:t>
            </w:r>
          </w:p>
          <w:p w14:paraId="0BE5E053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 xml:space="preserve">Tylko MMŚP, które korzystają bezpośrednio ze wsparcia powinny być uwzględniane do wskaźnika, tj. w przypadku, kiedy wsparcie jest kierowane </w:t>
            </w:r>
            <w:r w:rsidRPr="0058674C">
              <w:rPr>
                <w:rFonts w:cs="Arial"/>
                <w:szCs w:val="24"/>
              </w:rPr>
              <w:lastRenderedPageBreak/>
              <w:t>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0CDB8D4C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834" w:type="dxa"/>
          </w:tcPr>
          <w:p w14:paraId="5DC8587A" w14:textId="06135BE3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84" w:type="dxa"/>
          </w:tcPr>
          <w:p w14:paraId="69F71F2D" w14:textId="77777777" w:rsidR="001A158D" w:rsidRPr="0058674C" w:rsidRDefault="001A158D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8674C">
              <w:rPr>
                <w:rFonts w:cs="Arial"/>
                <w:szCs w:val="24"/>
              </w:rPr>
              <w:t>Wskaźnik mierzony w momencie objęcia wsparciem  w projekcie mikro-, małych i średnich przedsiębiorstw (w tym spółdzielni i przedsiębiorstw społecznyc</w:t>
            </w:r>
            <w:r w:rsidRPr="0058674C">
              <w:rPr>
                <w:rFonts w:cs="Arial"/>
                <w:szCs w:val="24"/>
              </w:rPr>
              <w:lastRenderedPageBreak/>
              <w:t>h) na podstawie dokumentów dostępnych na etapie realizacji.</w:t>
            </w:r>
          </w:p>
        </w:tc>
        <w:tc>
          <w:tcPr>
            <w:tcW w:w="1701" w:type="dxa"/>
          </w:tcPr>
          <w:p w14:paraId="1DD787CC" w14:textId="46BB4CDE" w:rsidR="001A158D" w:rsidRPr="0058674C" w:rsidRDefault="002A1E7A" w:rsidP="0058674C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252D12BE" w14:textId="77777777" w:rsidR="000526A3" w:rsidRPr="007F7842" w:rsidRDefault="000526A3" w:rsidP="000526A3">
      <w:pPr>
        <w:spacing w:after="160"/>
        <w:rPr>
          <w:rFonts w:cs="Arial"/>
          <w:b/>
          <w:sz w:val="20"/>
          <w:szCs w:val="20"/>
        </w:rPr>
      </w:pPr>
    </w:p>
    <w:p w14:paraId="4D34C3FC" w14:textId="77777777" w:rsidR="00E4639D" w:rsidRPr="007F7842" w:rsidRDefault="00E4639D" w:rsidP="00E4639D">
      <w:pPr>
        <w:spacing w:after="160"/>
        <w:rPr>
          <w:rFonts w:cs="Arial"/>
          <w:b/>
          <w:sz w:val="20"/>
          <w:szCs w:val="20"/>
        </w:rPr>
      </w:pPr>
    </w:p>
    <w:sectPr w:rsidR="00E4639D" w:rsidRPr="007F7842" w:rsidSect="00657B93">
      <w:headerReference w:type="default" r:id="rId13"/>
      <w:footerReference w:type="default" r:id="rId14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2A06E" w14:textId="77777777" w:rsidR="000D502F" w:rsidRDefault="000D502F" w:rsidP="006C5E5E">
      <w:pPr>
        <w:spacing w:after="0" w:line="240" w:lineRule="auto"/>
      </w:pPr>
      <w:r>
        <w:separator/>
      </w:r>
    </w:p>
  </w:endnote>
  <w:endnote w:type="continuationSeparator" w:id="0">
    <w:p w14:paraId="2410E5CA" w14:textId="77777777" w:rsidR="000D502F" w:rsidRDefault="000D502F" w:rsidP="006C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AFCAB" w14:textId="77777777" w:rsidR="00762C04" w:rsidRDefault="00762C04">
    <w:pPr>
      <w:pStyle w:val="Stopka"/>
    </w:pPr>
  </w:p>
  <w:p w14:paraId="2A7BE7EA" w14:textId="77777777" w:rsidR="00762C04" w:rsidRDefault="00762C04" w:rsidP="006C5E5E">
    <w:pPr>
      <w:pStyle w:val="Stopka"/>
      <w:jc w:val="right"/>
    </w:pPr>
    <w:r>
      <w:rPr>
        <w:noProof/>
        <w:lang w:eastAsia="pl-PL"/>
      </w:rPr>
      <w:drawing>
        <wp:inline distT="0" distB="0" distL="0" distR="0" wp14:anchorId="5679E818" wp14:editId="1DC9CB92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C9F7F" w14:textId="77777777" w:rsidR="000D502F" w:rsidRDefault="000D502F" w:rsidP="006C5E5E">
      <w:pPr>
        <w:spacing w:after="0" w:line="240" w:lineRule="auto"/>
      </w:pPr>
      <w:r>
        <w:separator/>
      </w:r>
    </w:p>
  </w:footnote>
  <w:footnote w:type="continuationSeparator" w:id="0">
    <w:p w14:paraId="1524F790" w14:textId="77777777" w:rsidR="000D502F" w:rsidRDefault="000D502F" w:rsidP="006C5E5E">
      <w:pPr>
        <w:spacing w:after="0" w:line="240" w:lineRule="auto"/>
      </w:pPr>
      <w:r>
        <w:continuationSeparator/>
      </w:r>
    </w:p>
  </w:footnote>
  <w:footnote w:id="1">
    <w:p w14:paraId="4F741E86" w14:textId="59FA4799" w:rsidR="000222EC" w:rsidRDefault="000222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ui-provider"/>
        </w:rPr>
        <w:t>Wskaźnik obligato</w:t>
      </w:r>
      <w:r w:rsidR="002A1E7A">
        <w:rPr>
          <w:rStyle w:val="ui-provider"/>
        </w:rPr>
        <w:t xml:space="preserve">ryjny to wskaźnik, który musisz wybrać </w:t>
      </w:r>
      <w:r>
        <w:rPr>
          <w:rStyle w:val="ui-provider"/>
        </w:rPr>
        <w:t>we wniosku o dofinansowanie.</w:t>
      </w:r>
    </w:p>
  </w:footnote>
  <w:footnote w:id="2">
    <w:p w14:paraId="61935443" w14:textId="77777777" w:rsidR="001A158D" w:rsidRDefault="001A158D" w:rsidP="000526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3">
    <w:p w14:paraId="6C147F54" w14:textId="77777777" w:rsidR="001A158D" w:rsidRDefault="001A158D" w:rsidP="000526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4">
    <w:p w14:paraId="6965B66B" w14:textId="77777777" w:rsidR="001A158D" w:rsidRDefault="001A158D" w:rsidP="000526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4423D" w14:textId="77777777" w:rsidR="00762C04" w:rsidRPr="0042680B" w:rsidRDefault="00762C04" w:rsidP="006C5E5E">
    <w:pPr>
      <w:pStyle w:val="Nagwek"/>
      <w:jc w:val="right"/>
      <w:rPr>
        <w:rFonts w:asciiTheme="minorHAnsi" w:hAnsiTheme="minorHAnsi"/>
        <w:sz w:val="22"/>
      </w:rPr>
    </w:pPr>
    <w:r w:rsidRPr="0042680B">
      <w:rPr>
        <w:sz w:val="22"/>
      </w:rPr>
      <w:t xml:space="preserve">Załącznik nr 2 do Regulaminu wyboru projektów nr </w:t>
    </w:r>
    <w:r w:rsidRPr="0042680B">
      <w:rPr>
        <w:rFonts w:cs="Arial"/>
        <w:bCs/>
        <w:sz w:val="22"/>
      </w:rPr>
      <w:t>FESL 07.01-IZ.01-048/23</w:t>
    </w:r>
  </w:p>
  <w:p w14:paraId="6FEE0B54" w14:textId="77777777" w:rsidR="00762C04" w:rsidRPr="0042680B" w:rsidRDefault="00762C04">
    <w:pPr>
      <w:pStyle w:val="Nagwek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4E5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5E7A04"/>
    <w:multiLevelType w:val="multilevel"/>
    <w:tmpl w:val="9F88AD0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B1551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423D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772E0"/>
    <w:multiLevelType w:val="multilevel"/>
    <w:tmpl w:val="F04ADD66"/>
    <w:lvl w:ilvl="0">
      <w:start w:val="1"/>
      <w:numFmt w:val="decimal"/>
      <w:pStyle w:val="Nagwek1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2279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1D6263C4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20C0"/>
    <w:multiLevelType w:val="hybridMultilevel"/>
    <w:tmpl w:val="2826B9D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6317E3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43A3C"/>
    <w:multiLevelType w:val="hybridMultilevel"/>
    <w:tmpl w:val="F1C835F2"/>
    <w:lvl w:ilvl="0" w:tplc="F6305A4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54F32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1B6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E534E"/>
    <w:multiLevelType w:val="hybridMultilevel"/>
    <w:tmpl w:val="6194CB7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7821B14"/>
    <w:multiLevelType w:val="hybridMultilevel"/>
    <w:tmpl w:val="FA460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13"/>
  </w:num>
  <w:num w:numId="9">
    <w:abstractNumId w:val="6"/>
  </w:num>
  <w:num w:numId="10">
    <w:abstractNumId w:val="2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E5E"/>
    <w:rsid w:val="000222EC"/>
    <w:rsid w:val="000526A3"/>
    <w:rsid w:val="000904A4"/>
    <w:rsid w:val="000D502F"/>
    <w:rsid w:val="000E38E0"/>
    <w:rsid w:val="00140498"/>
    <w:rsid w:val="00150752"/>
    <w:rsid w:val="001A158D"/>
    <w:rsid w:val="001A6CAD"/>
    <w:rsid w:val="001B1E40"/>
    <w:rsid w:val="001B335B"/>
    <w:rsid w:val="001D2FC3"/>
    <w:rsid w:val="00292910"/>
    <w:rsid w:val="002A1E7A"/>
    <w:rsid w:val="002F7121"/>
    <w:rsid w:val="00354964"/>
    <w:rsid w:val="003656CC"/>
    <w:rsid w:val="00385275"/>
    <w:rsid w:val="003D103A"/>
    <w:rsid w:val="00406EB1"/>
    <w:rsid w:val="0042680B"/>
    <w:rsid w:val="0045207B"/>
    <w:rsid w:val="00477815"/>
    <w:rsid w:val="004C1FEE"/>
    <w:rsid w:val="004C5E66"/>
    <w:rsid w:val="004D40AC"/>
    <w:rsid w:val="00517317"/>
    <w:rsid w:val="00582052"/>
    <w:rsid w:val="005830B5"/>
    <w:rsid w:val="0058674C"/>
    <w:rsid w:val="005B5301"/>
    <w:rsid w:val="00606432"/>
    <w:rsid w:val="00610E5D"/>
    <w:rsid w:val="0061117C"/>
    <w:rsid w:val="00616719"/>
    <w:rsid w:val="00657B93"/>
    <w:rsid w:val="006B3314"/>
    <w:rsid w:val="006C5E5E"/>
    <w:rsid w:val="006D6954"/>
    <w:rsid w:val="00740DDA"/>
    <w:rsid w:val="00762046"/>
    <w:rsid w:val="00762C04"/>
    <w:rsid w:val="007A79F2"/>
    <w:rsid w:val="007E573E"/>
    <w:rsid w:val="007F7842"/>
    <w:rsid w:val="0080151D"/>
    <w:rsid w:val="00844275"/>
    <w:rsid w:val="008609B9"/>
    <w:rsid w:val="00886231"/>
    <w:rsid w:val="0095682C"/>
    <w:rsid w:val="00966A5D"/>
    <w:rsid w:val="00A1127D"/>
    <w:rsid w:val="00AE050F"/>
    <w:rsid w:val="00B061AF"/>
    <w:rsid w:val="00BB2D3C"/>
    <w:rsid w:val="00C66786"/>
    <w:rsid w:val="00C931BD"/>
    <w:rsid w:val="00D42DD2"/>
    <w:rsid w:val="00D965A9"/>
    <w:rsid w:val="00DB1EDF"/>
    <w:rsid w:val="00DB431F"/>
    <w:rsid w:val="00DC245D"/>
    <w:rsid w:val="00DD1A3C"/>
    <w:rsid w:val="00DD5D3C"/>
    <w:rsid w:val="00E100D5"/>
    <w:rsid w:val="00E217E0"/>
    <w:rsid w:val="00E4639D"/>
    <w:rsid w:val="00E81CA9"/>
    <w:rsid w:val="00E8485E"/>
    <w:rsid w:val="00ED26F4"/>
    <w:rsid w:val="00ED290D"/>
    <w:rsid w:val="00F816A7"/>
    <w:rsid w:val="00FE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BB8F"/>
  <w15:chartTrackingRefBased/>
  <w15:docId w15:val="{277F92FE-C704-4C34-BF01-D2914566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17C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E5E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5E5E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5E5E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E5E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E5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E5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E5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E5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E5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C5E5E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C5E5E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E5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E5E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E5E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E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6C5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6C5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6C5E5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C5E5E"/>
    <w:rPr>
      <w:vertAlign w:val="superscript"/>
    </w:rPr>
  </w:style>
  <w:style w:type="table" w:styleId="Tabela-Siatka">
    <w:name w:val="Table Grid"/>
    <w:basedOn w:val="Standardowy"/>
    <w:uiPriority w:val="39"/>
    <w:rsid w:val="006C5E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6C5E5E"/>
  </w:style>
  <w:style w:type="character" w:customStyle="1" w:styleId="ui-provider">
    <w:name w:val="ui-provider"/>
    <w:basedOn w:val="Domylnaczcionkaakapitu"/>
    <w:rsid w:val="006C5E5E"/>
  </w:style>
  <w:style w:type="character" w:customStyle="1" w:styleId="markedcontent">
    <w:name w:val="markedcontent"/>
    <w:basedOn w:val="Domylnaczcionkaakapitu"/>
    <w:rsid w:val="006C5E5E"/>
  </w:style>
  <w:style w:type="paragraph" w:styleId="Tekstdymka">
    <w:name w:val="Balloon Text"/>
    <w:basedOn w:val="Normalny"/>
    <w:link w:val="TekstdymkaZnak"/>
    <w:uiPriority w:val="99"/>
    <w:semiHidden/>
    <w:unhideWhenUsed/>
    <w:rsid w:val="006C5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E5E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E5E"/>
    <w:rPr>
      <w:rFonts w:ascii="Arial" w:hAnsi="Arial"/>
      <w:sz w:val="24"/>
    </w:rPr>
  </w:style>
  <w:style w:type="table" w:customStyle="1" w:styleId="Tabela-Siatka2">
    <w:name w:val="Tabela - Siatka2"/>
    <w:basedOn w:val="Standardowy"/>
    <w:next w:val="Tabela-Siatka"/>
    <w:uiPriority w:val="39"/>
    <w:rsid w:val="00E4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D965A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D965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65A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8485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B3314"/>
    <w:pPr>
      <w:spacing w:after="120" w:line="240" w:lineRule="auto"/>
    </w:pPr>
    <w:rPr>
      <w:rFonts w:eastAsia="Calibri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3314"/>
    <w:rPr>
      <w:rFonts w:ascii="Arial" w:eastAsia="Calibri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9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9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9F2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9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9F2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606432"/>
    <w:pPr>
      <w:spacing w:after="0" w:line="240" w:lineRule="auto"/>
    </w:pPr>
    <w:rPr>
      <w:rFonts w:ascii="Arial" w:hAnsi="Arial"/>
      <w:sz w:val="24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4D40A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1534/Zal_3_Metodyka_stosowania_wiarygodnych_szacunkow_pdf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1534/Zal_3_Metodyka_stosowania_wiarygodnych_szacunkow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1534/Zal_3_Metodyka_stosowania_wiarygodnych_szacunkow_pdf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0A6C2-3DEC-486C-B5D2-4B06FE43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51</Pages>
  <Words>4921</Words>
  <Characters>29528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Januchta Michał</cp:lastModifiedBy>
  <cp:revision>5</cp:revision>
  <dcterms:created xsi:type="dcterms:W3CDTF">2023-06-16T13:27:00Z</dcterms:created>
  <dcterms:modified xsi:type="dcterms:W3CDTF">2023-06-19T07:49:00Z</dcterms:modified>
</cp:coreProperties>
</file>