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468E0F78" w:rsidR="005E0825" w:rsidRPr="0023742D" w:rsidRDefault="00EE3D69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(zwykła - EFS+) 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14F1A578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 zwanego dalej rozporządzeniem ogólnym;</w:t>
      </w:r>
    </w:p>
    <w:p w14:paraId="1451FBA7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30.06.2021)</w:t>
      </w:r>
      <w:r w:rsidR="00166F4F" w:rsidRPr="0023742D">
        <w:rPr>
          <w:rFonts w:ascii="Tahoma" w:hAnsi="Tahoma" w:cs="Tahoma"/>
          <w:sz w:val="24"/>
        </w:rPr>
        <w:t>,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1407/2013 z dnia 18 grudnia 2013 r. w sprawie stosowania art. 107 i 108 Traktatu o funkcjonowaniu Unii Europejskiej do pomocy de minimis (Dz. Urz. UE L. 352 z 24.12.2013);</w:t>
      </w:r>
    </w:p>
    <w:p w14:paraId="502FCC33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3324564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Pr="0023742D">
        <w:rPr>
          <w:rFonts w:ascii="Tahoma" w:hAnsi="Tahoma" w:cs="Tahoma"/>
          <w:sz w:val="24"/>
        </w:rPr>
        <w:br/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1F5FC527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Rozporządzenie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="0012669D" w:rsidRPr="0023742D">
        <w:rPr>
          <w:rFonts w:ascii="Tahoma" w:hAnsi="Tahoma" w:cs="Tahoma"/>
          <w:sz w:val="24"/>
        </w:rPr>
        <w:t>minimis oraz pomocy publicznej w ramach programów finansowanych z Europejskiego Funduszu Społecznego Plus (EFS+) na lata 2021-2027 (t.j. Dz.U. 2022 poz. 2782</w:t>
      </w:r>
      <w:r w:rsidR="002E0221">
        <w:rPr>
          <w:rFonts w:ascii="Tahoma" w:hAnsi="Tahoma" w:cs="Tahoma"/>
          <w:sz w:val="24"/>
        </w:rPr>
        <w:t xml:space="preserve"> z późn.zm.</w:t>
      </w:r>
      <w:r w:rsidR="0012669D" w:rsidRPr="0023742D">
        <w:rPr>
          <w:rFonts w:ascii="Tahoma" w:hAnsi="Tahoma" w:cs="Tahoma"/>
          <w:sz w:val="24"/>
        </w:rPr>
        <w:t>);</w:t>
      </w:r>
    </w:p>
    <w:p w14:paraId="71804181" w14:textId="400FA471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Ustawy z dnia 28 kwietnia 2022 r. o zasadach realizacji zadań  finansowanych w perspektywie finansowej 2021-2027(t.j. Dz. U. z 2022 r., poz. 1079) -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78DF9795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lastRenderedPageBreak/>
        <w:t>Ustawy z dnia 27 sierpnia 2009 r. o finansach publicznych (t.j. Dz. U. 202</w:t>
      </w:r>
      <w:r w:rsidR="004D6A23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r., poz. </w:t>
      </w:r>
      <w:r w:rsidR="00DC4BB7">
        <w:rPr>
          <w:rFonts w:ascii="Tahoma" w:hAnsi="Tahoma" w:cs="Tahoma"/>
          <w:sz w:val="24"/>
        </w:rPr>
        <w:t>1270</w:t>
      </w:r>
      <w:r w:rsidR="002E0221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 – zwana dalej UFP;</w:t>
      </w:r>
    </w:p>
    <w:p w14:paraId="0DEB95A2" w14:textId="42215684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(t.j. Dz. U. z 2022 r. poz. 1710</w:t>
      </w:r>
      <w:r w:rsidR="00DC4BB7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 – zwana dalej PZP;</w:t>
      </w:r>
    </w:p>
    <w:p w14:paraId="21D830AF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23 kwietnia 1964 r. - Kodeks cywilny (t.j. Dz. U. z 2022 r. poz. 1360);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(t.j.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14:paraId="40BEE8AB" w14:textId="6C432CE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(t.j. Dz.U. z 2022 r. poz. 931</w:t>
      </w:r>
      <w:r w:rsidR="00DC4BB7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);</w:t>
      </w:r>
    </w:p>
    <w:p w14:paraId="76F0AE2D" w14:textId="09793F3F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(t.j. Dz. U. z 202</w:t>
      </w:r>
      <w:r w:rsidR="00DC4BB7">
        <w:rPr>
          <w:rStyle w:val="Uwydatnienie"/>
          <w:rFonts w:ascii="Tahoma" w:hAnsi="Tahoma" w:cs="Tahoma"/>
          <w:i w:val="0"/>
          <w:sz w:val="24"/>
        </w:rPr>
        <w:t>3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r. poz. 7</w:t>
      </w:r>
      <w:r w:rsidR="00DC4BB7">
        <w:rPr>
          <w:rStyle w:val="Uwydatnienie"/>
          <w:rFonts w:ascii="Tahoma" w:hAnsi="Tahoma" w:cs="Tahoma"/>
          <w:i w:val="0"/>
          <w:sz w:val="24"/>
        </w:rPr>
        <w:t>02</w:t>
      </w:r>
      <w:r w:rsidRPr="0023742D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677C0084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9662CE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(t.j. Dz.U. 2019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0" w:name="_Ref477163625"/>
    </w:p>
    <w:bookmarkEnd w:id="0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7777777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(t.j. Dz. U. z 20</w:t>
      </w:r>
      <w:r w:rsidR="00B4248A" w:rsidRPr="0023742D">
        <w:rPr>
          <w:rFonts w:ascii="Tahoma" w:hAnsi="Tahoma" w:cs="Tahoma"/>
        </w:rPr>
        <w:t>20</w:t>
      </w:r>
      <w:r w:rsidR="39BF17A1" w:rsidRPr="0023742D">
        <w:rPr>
          <w:rFonts w:ascii="Tahoma" w:hAnsi="Tahoma" w:cs="Tahoma"/>
        </w:rPr>
        <w:t xml:space="preserve"> r. poz. </w:t>
      </w:r>
      <w:r w:rsidR="00B4248A" w:rsidRPr="0023742D">
        <w:rPr>
          <w:rFonts w:ascii="Tahoma" w:hAnsi="Tahoma" w:cs="Tahoma"/>
        </w:rPr>
        <w:t>1920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3522A85F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„ePUAP”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4DF783F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„płatności ze środków europejskich” oznacza to współfinansowanie pochodzące ze środków europejskich w części dotyczącej Europejskiego Funduszu </w:t>
      </w:r>
      <w:r w:rsidRPr="0023742D">
        <w:rPr>
          <w:rFonts w:ascii="Tahoma" w:hAnsi="Tahoma" w:cs="Tahoma"/>
        </w:rPr>
        <w:lastRenderedPageBreak/>
        <w:t>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624424F6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(tekst. jedn.: Dz.U. z 2021 poz. 1797);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1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1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 xml:space="preserve">riorytetów Programu Fundusze Europejskie dla Śląskiego 2021-2027 (wraz z wykazem dokumentów </w:t>
      </w:r>
      <w:r w:rsidR="69CB81E7" w:rsidRPr="0023742D">
        <w:rPr>
          <w:rFonts w:ascii="Tahoma" w:hAnsi="Tahoma" w:cs="Tahoma"/>
        </w:rPr>
        <w:lastRenderedPageBreak/>
        <w:t>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2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2"/>
    </w:p>
    <w:p w14:paraId="2C587DC8" w14:textId="08C6A96E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5B9A9A6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3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3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4" w:name="_Hlk129852024"/>
    </w:p>
    <w:bookmarkEnd w:id="4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lastRenderedPageBreak/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="00F91BF4" w:rsidRPr="0023742D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5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5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6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7" w:name="_Ref477167446"/>
      <w:bookmarkEnd w:id="6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7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Wydatki w ramach cross-financingu,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</w:t>
      </w:r>
      <w:r w:rsidR="0042057E" w:rsidRPr="0042057E">
        <w:rPr>
          <w:rFonts w:ascii="Tahoma" w:hAnsi="Tahoma" w:cs="Tahoma"/>
        </w:rPr>
        <w:lastRenderedPageBreak/>
        <w:t xml:space="preserve">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8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02E701EB" w14:textId="1A76B186" w:rsidR="08CB7972" w:rsidRPr="0023742D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>VAT, jeżeli zaistnieją przesłanki 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, a także partner/rzy (jeśli dotyczy) nie ma/nie mają prawnej możliwości odzyskania podatku VAT od wszystkich kosztów wskazanych w budżecie projektu zgodnie z przepisami ustawy z dnia </w:t>
      </w:r>
      <w:r w:rsidRPr="0023742D">
        <w:rPr>
          <w:rFonts w:ascii="Tahoma" w:hAnsi="Tahoma" w:cs="Tahoma"/>
        </w:rPr>
        <w:lastRenderedPageBreak/>
        <w:t xml:space="preserve">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partner/rzy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>rzy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532578D6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 xml:space="preserve">rzy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(tekst jednolity: Dz.U. 20</w:t>
      </w:r>
      <w:r w:rsidR="00664877" w:rsidRPr="0023742D">
        <w:rPr>
          <w:rFonts w:ascii="Tahoma" w:hAnsi="Tahoma" w:cs="Tahoma"/>
        </w:rPr>
        <w:t>2</w:t>
      </w:r>
      <w:r w:rsidR="00DC4BB7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r. poz. </w:t>
      </w:r>
      <w:r w:rsidR="00DC4BB7">
        <w:rPr>
          <w:rFonts w:ascii="Tahoma" w:hAnsi="Tahoma" w:cs="Tahoma"/>
        </w:rPr>
        <w:t>659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artner/rzy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4ABF9D7A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nie podlega, a także partner/rzy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020915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2023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129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100A69AC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jest świadomy odpowiedzialności karnej za złożenie fałszywych oświadczeń, wynikającej z art. 233 ust.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(t.j. Dz.U. z 2022 r., nr 1138 z późn. zm.). </w:t>
      </w:r>
    </w:p>
    <w:p w14:paraId="59B04ACC" w14:textId="77777777" w:rsidR="00746042" w:rsidRPr="00746042" w:rsidRDefault="00746042" w:rsidP="00746042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9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0" w:name="_Ref477165375"/>
      <w:bookmarkEnd w:id="9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1" w:name="_Ref477165364"/>
      <w:r w:rsidR="00156A36" w:rsidRPr="0023742D">
        <w:rPr>
          <w:rFonts w:ascii="Tahoma" w:hAnsi="Tahoma" w:cs="Tahoma"/>
        </w:rPr>
        <w:t>beneficjent 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lastRenderedPageBreak/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1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0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2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2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lastRenderedPageBreak/>
        <w:t>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3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4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4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Harmonogram płatności /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5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5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r w:rsidRPr="0023742D">
        <w:rPr>
          <w:rFonts w:ascii="Tahoma" w:eastAsia="Calibri" w:hAnsi="Tahoma" w:cs="Tahoma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6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</w:t>
      </w:r>
      <w:r w:rsidRPr="0023742D">
        <w:rPr>
          <w:rFonts w:ascii="Tahoma" w:hAnsi="Tahoma" w:cs="Tahoma"/>
        </w:rPr>
        <w:lastRenderedPageBreak/>
        <w:t xml:space="preserve">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7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7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336D9882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8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8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19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0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0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6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1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1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2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2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3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4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5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5"/>
    <w:p w14:paraId="479FFACF" w14:textId="32513C79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263D8C4A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o płatność i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wykazaniu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że złożony wniosek o płatność potwierdza wydatkowanie co najmniej 70% łącznej kwoty dotychczas otrzymanych </w:t>
      </w:r>
      <w:r w:rsidR="00CB70CE">
        <w:rPr>
          <w:rFonts w:ascii="Tahoma" w:hAnsi="Tahoma" w:cs="Tahoma"/>
          <w:kern w:val="3"/>
          <w:sz w:val="24"/>
          <w:szCs w:val="24"/>
          <w:lang w:eastAsia="pl-PL"/>
        </w:rPr>
        <w:t>zalicz</w:t>
      </w:r>
      <w:r w:rsidR="00A60AAE">
        <w:rPr>
          <w:rFonts w:ascii="Tahoma" w:hAnsi="Tahoma" w:cs="Tahoma"/>
          <w:kern w:val="3"/>
          <w:sz w:val="24"/>
          <w:szCs w:val="24"/>
          <w:lang w:eastAsia="pl-PL"/>
        </w:rPr>
        <w:t>ek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6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6"/>
    </w:p>
    <w:p w14:paraId="1BDB1C6A" w14:textId="2B6E11BF" w:rsidR="00B05095" w:rsidRPr="0023742D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7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8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29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29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0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0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1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1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3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2" w:name="_Ref477166043"/>
      <w:r w:rsidRPr="0023742D">
        <w:rPr>
          <w:rFonts w:ascii="Tahoma" w:hAnsi="Tahoma" w:cs="Tahoma"/>
          <w:b/>
          <w:iCs/>
        </w:rPr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szczególności gdy na podstawie </w:t>
      </w:r>
      <w:r w:rsidRPr="0023742D">
        <w:rPr>
          <w:rFonts w:ascii="Tahoma" w:hAnsi="Tahoma" w:cs="Tahoma"/>
        </w:rPr>
        <w:lastRenderedPageBreak/>
        <w:t>wniosków o płatność lub czynności kontrolnych uprawnionych organów zostanie stwierdzone, że dofinansowanie jest:</w:t>
      </w:r>
      <w:bookmarkEnd w:id="32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3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4" w:name="_Ref477166180"/>
      <w:bookmarkEnd w:id="33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4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>wyrazi zgodę na pomniejszenie kwoty wydatków 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5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5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6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6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7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</w:t>
      </w: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przesuwane są środki jak i do zadania, na które przesuwane są środki w stosunku do zatwierdzonego wniosku, z zastrzeżeniem ust. 6. </w:t>
      </w:r>
    </w:p>
    <w:p w14:paraId="6D013503" w14:textId="4F9609F6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w 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cross-financingu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38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38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="7C391F09" w:rsidRPr="0023742D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="7C391F09" w:rsidRPr="0023742D">
        <w:rPr>
          <w:rFonts w:ascii="Tahoma" w:hAnsi="Tahoma" w:cs="Tahoma"/>
          <w:b/>
          <w:bCs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39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cross-financingu,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39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lastRenderedPageBreak/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0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0"/>
    </w:p>
    <w:p w14:paraId="3DDBE9A1" w14:textId="6B0E3F89" w:rsidR="00823E79" w:rsidRPr="006C58FD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lastRenderedPageBreak/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eastAsia="Tahoma" w:hAnsi="Tahoma" w:cs="Tahoma"/>
        </w:rPr>
        <w:t>ie</w:t>
      </w:r>
      <w:r w:rsidR="44CCC63A" w:rsidRPr="0023742D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1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1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minimis</w:t>
      </w:r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>Pomoc publiczna/Pomoc de minimis</w:t>
      </w:r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2" w:name="_Ref477166618"/>
      <w:r w:rsidRPr="009B3A17">
        <w:rPr>
          <w:rFonts w:ascii="Tahoma" w:hAnsi="Tahoma" w:cs="Tahoma"/>
        </w:rPr>
        <w:t>Pomoc publiczna/pomoc de minimis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2"/>
      <w:r w:rsidRPr="009B3A17">
        <w:rPr>
          <w:rFonts w:ascii="Tahoma" w:hAnsi="Tahoma" w:cs="Tahoma"/>
        </w:rPr>
        <w:t xml:space="preserve"> </w:t>
      </w:r>
      <w:bookmarkStart w:id="43" w:name="_Ref477166654"/>
    </w:p>
    <w:p w14:paraId="3F095D2A" w14:textId="3D25803C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(Dz.U. z 2022 r. poz. 2782</w:t>
      </w:r>
      <w:r w:rsidR="00DA7DBB">
        <w:rPr>
          <w:rFonts w:ascii="Tahoma" w:hAnsi="Tahoma" w:cs="Tahoma"/>
          <w:kern w:val="0"/>
        </w:rPr>
        <w:t xml:space="preserve"> z późn. zm.</w:t>
      </w:r>
      <w:r w:rsidRPr="009B3A17">
        <w:rPr>
          <w:rFonts w:ascii="Tahoma" w:hAnsi="Tahoma" w:cs="Tahoma"/>
          <w:kern w:val="0"/>
        </w:rPr>
        <w:t>) o numerze referencyjnym</w:t>
      </w:r>
      <w:r w:rsidR="002E0221">
        <w:rPr>
          <w:rFonts w:ascii="Tahoma" w:hAnsi="Tahoma" w:cs="Tahoma"/>
          <w:kern w:val="0"/>
        </w:rPr>
        <w:t xml:space="preserve"> SA.106051</w:t>
      </w:r>
      <w:r w:rsidR="002E0221">
        <w:rPr>
          <w:rStyle w:val="Odwoanieprzypisudolnego"/>
          <w:rFonts w:ascii="Tahoma" w:hAnsi="Tahoma"/>
          <w:kern w:val="0"/>
        </w:rPr>
        <w:footnoteReference w:id="46"/>
      </w:r>
      <w:r w:rsidR="002E0221">
        <w:rPr>
          <w:rFonts w:ascii="Tahoma" w:hAnsi="Tahoma" w:cs="Tahoma"/>
          <w:kern w:val="0"/>
        </w:rPr>
        <w:t>.</w:t>
      </w:r>
    </w:p>
    <w:p w14:paraId="1529B3E0" w14:textId="0CEF4585" w:rsidR="00E06DDB" w:rsidRPr="0023742D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minimis, w wysokości i zakresie określonym w aktualnym wniosku</w:t>
      </w:r>
      <w:r w:rsidR="00281D47" w:rsidRPr="0023742D">
        <w:rPr>
          <w:rStyle w:val="Odwoanieprzypisudolnego"/>
          <w:rFonts w:ascii="Tahoma" w:hAnsi="Tahoma" w:cs="Tahoma"/>
        </w:rPr>
        <w:footnoteReference w:id="47"/>
      </w:r>
      <w:r w:rsidRPr="0023742D">
        <w:rPr>
          <w:rFonts w:ascii="Tahoma" w:hAnsi="Tahoma" w:cs="Tahoma"/>
        </w:rPr>
        <w:t xml:space="preserve">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minimis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minimis, zgodnie z art. 5 ust. 3 ustawy o postępowaniu w sprawach dotyczących pomocy publicznej, z zastrzeżeniem art. 5 ust. 3a wspomnianej ustawy.</w:t>
      </w:r>
    </w:p>
    <w:bookmarkEnd w:id="43"/>
    <w:p w14:paraId="30349422" w14:textId="77777777" w:rsidR="00E06DDB" w:rsidRPr="0023742D" w:rsidRDefault="00E06DDB" w:rsidP="0023742D">
      <w:pPr>
        <w:pStyle w:val="Akapitzlist"/>
        <w:numPr>
          <w:ilvl w:val="0"/>
          <w:numId w:val="70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dopuszczalnego pułapu pomocy de minimis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23742D" w:rsidRDefault="00E06DDB" w:rsidP="0023742D">
      <w:pPr>
        <w:pStyle w:val="Akapitzlist"/>
        <w:numPr>
          <w:ilvl w:val="0"/>
          <w:numId w:val="70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</w:t>
      </w:r>
      <w:r w:rsidR="002E0221">
        <w:rPr>
          <w:rFonts w:ascii="Tahoma" w:hAnsi="Tahoma" w:cs="Tahoma"/>
        </w:rPr>
        <w:t xml:space="preserve"> / partner/</w:t>
      </w:r>
      <w:proofErr w:type="spellStart"/>
      <w:r w:rsidR="002E0221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</w:t>
      </w:r>
      <w:r w:rsidR="002E0221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>jako podmiot udzielający pomocy de minimis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minimis.</w:t>
      </w:r>
    </w:p>
    <w:p w14:paraId="03F2A0B7" w14:textId="05A95D51" w:rsidR="00E06DDB" w:rsidRPr="0023742D" w:rsidRDefault="00E06DDB" w:rsidP="0023742D">
      <w:pPr>
        <w:pStyle w:val="Akapitzlist"/>
        <w:numPr>
          <w:ilvl w:val="0"/>
          <w:numId w:val="70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</w:t>
      </w:r>
      <w:r w:rsidR="002E0221">
        <w:rPr>
          <w:rFonts w:ascii="Tahoma" w:hAnsi="Tahoma" w:cs="Tahoma"/>
        </w:rPr>
        <w:t xml:space="preserve">/ partnera/ów projektu </w:t>
      </w:r>
      <w:r w:rsidRPr="0023742D">
        <w:rPr>
          <w:rFonts w:ascii="Tahoma" w:hAnsi="Tahoma" w:cs="Tahoma"/>
        </w:rPr>
        <w:t>jako podmiot udzielający pomocy do wypełniania wszelkich obowiązków, jakie nakładają na niego przepisy prawa wspólnotowego i krajowego w zakresie pomocy de minimis, w szczególności:</w:t>
      </w:r>
    </w:p>
    <w:p w14:paraId="0E0C3E76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o których mowa w art. 37 ust. 1 ustawy o postępowaniu w sprawach dotyczących pomocy publicznej – w przypadku udzielania pomocy de minimis,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14:paraId="1F5A9F55" w14:textId="0BDCC21B" w:rsidR="00E06DDB" w:rsidRPr="0023742D" w:rsidRDefault="00E06DDB" w:rsidP="0023742D">
      <w:pPr>
        <w:pStyle w:val="Akapitzlist"/>
        <w:numPr>
          <w:ilvl w:val="0"/>
          <w:numId w:val="70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2E022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projektu, wydatki objęte pomocą uznaje się za niekwalifikowalne i konieczne jest dokonanie ich zwrotu wraz z odsetkami 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lastRenderedPageBreak/>
        <w:t>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23742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4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45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45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46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46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lastRenderedPageBreak/>
        <w:t>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4785D214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3 oraz 5 system informatyczny LSI2021 oblicza sumę kontrolną pliku, która pozwala sprawdzać integralność przesłanych przez platformę </w:t>
      </w:r>
      <w:proofErr w:type="spellStart"/>
      <w:r w:rsidRPr="0023742D">
        <w:rPr>
          <w:rFonts w:ascii="Tahoma" w:hAnsi="Tahoma" w:cs="Tahoma"/>
        </w:rPr>
        <w:t>ePAUP</w:t>
      </w:r>
      <w:proofErr w:type="spellEnd"/>
      <w:r w:rsidRPr="0023742D">
        <w:rPr>
          <w:rFonts w:ascii="Tahoma" w:hAnsi="Tahoma" w:cs="Tahoma"/>
        </w:rPr>
        <w:t xml:space="preserve">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</w:t>
      </w:r>
      <w:r w:rsidRPr="0023742D">
        <w:rPr>
          <w:rFonts w:ascii="Tahoma" w:hAnsi="Tahoma" w:cs="Tahoma"/>
        </w:rPr>
        <w:lastRenderedPageBreak/>
        <w:t xml:space="preserve">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lastRenderedPageBreak/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33D78881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osoby, o których mowa w ust. 1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>, wykorzystują kwalifikowany podpis elektroniczny do podpisywania wniosków o płatność w CST2021.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4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6FE3A874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3941B948" w14:textId="510F0812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partner/rzy i/lub podmiot/y realizujące projekt i/lub IZ FESL przestrzegają zasad wskazanych w RODO, ustawie o ochronie danych osobowych oraz ustawie wdrożeniowej.</w:t>
      </w:r>
    </w:p>
    <w:p w14:paraId="296DDE51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76F69720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2F30EEFA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lastRenderedPageBreak/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B142D86" w14:textId="043A789E" w:rsidR="00C706B8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47" w:name="_Hlk126652762"/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23742D">
        <w:rPr>
          <w:rFonts w:ascii="Tahoma" w:eastAsia="Calibri" w:hAnsi="Tahoma" w:cs="Tahoma"/>
          <w:sz w:val="24"/>
          <w:szCs w:val="24"/>
        </w:rPr>
        <w:br/>
      </w:r>
      <w:r w:rsidRPr="0023742D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47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5A1F1AF1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4E711C0E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dokumentowania działań informacyjnych i promocyjnych prowadzonych w ramach projektu.</w:t>
      </w:r>
    </w:p>
    <w:p w14:paraId="014014FE" w14:textId="7646A2EE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lastRenderedPageBreak/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4E44BC96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48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48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9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76596890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1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3B617FE4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9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49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0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0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1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2" w:name="_Ref477164620"/>
      <w:bookmarkEnd w:id="51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2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3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3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11711DEE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</w:t>
      </w:r>
      <w:r w:rsidRPr="0023742D">
        <w:rPr>
          <w:rFonts w:ascii="Tahoma" w:hAnsi="Tahoma" w:cs="Tahoma"/>
        </w:rPr>
        <w:lastRenderedPageBreak/>
        <w:t xml:space="preserve">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4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4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3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5F9338A9" w14:textId="77777777" w:rsidR="0082341B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770870FD" w14:textId="5B122AE6" w:rsidR="00F67192" w:rsidRPr="0023742D" w:rsidRDefault="0082341B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55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55"/>
    <w:p w14:paraId="62302D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2DD0E83" w16cex:dateUtc="2023-04-04T13:52:07.829Z"/>
  <w16cex:commentExtensible w16cex:durableId="31E5A3AD" w16cex:dateUtc="2023-04-05T05:21:58.749Z"/>
  <w16cex:commentExtensible w16cex:durableId="2A62E5EC" w16cex:dateUtc="2023-04-05T05:23:00.103Z"/>
  <w16cex:commentExtensible w16cex:durableId="4F72EF02" w16cex:dateUtc="2023-04-05T05:25:55.024Z"/>
  <w16cex:commentExtensible w16cex:durableId="3D281C7F" w16cex:dateUtc="2023-04-05T05:26:12.717Z"/>
  <w16cex:commentExtensible w16cex:durableId="6724DC29" w16cex:dateUtc="2023-04-05T05:28:29.488Z"/>
  <w16cex:commentExtensible w16cex:durableId="5F189693" w16cex:dateUtc="2023-04-05T05:30:09.533Z"/>
  <w16cex:commentExtensible w16cex:durableId="24BE57A6" w16cex:dateUtc="2023-04-05T05:30:21.321Z"/>
  <w16cex:commentExtensible w16cex:durableId="0034FC73" w16cex:dateUtc="2023-04-05T05:31:01.611Z"/>
  <w16cex:commentExtensible w16cex:durableId="4CA0F2DE" w16cex:dateUtc="2023-04-05T05:31:30.92Z"/>
  <w16cex:commentExtensible w16cex:durableId="301C9F88" w16cex:dateUtc="2023-04-05T05:31:51.39Z"/>
  <w16cex:commentExtensible w16cex:durableId="1D80C77E" w16cex:dateUtc="2023-04-05T05:32:48.605Z"/>
  <w16cex:commentExtensible w16cex:durableId="5EC21599" w16cex:dateUtc="2023-04-05T05:38:24.879Z"/>
  <w16cex:commentExtensible w16cex:durableId="7B9E5AC8" w16cex:dateUtc="2023-04-05T05:39:54.613Z"/>
  <w16cex:commentExtensible w16cex:durableId="4099AC98" w16cex:dateUtc="2023-04-05T05:42:02.189Z"/>
  <w16cex:commentExtensible w16cex:durableId="01FE96F2" w16cex:dateUtc="2023-04-05T05:44:20.711Z"/>
  <w16cex:commentExtensible w16cex:durableId="7FFAF2F5" w16cex:dateUtc="2023-04-05T05:44:41.75Z"/>
  <w16cex:commentExtensible w16cex:durableId="6918A17F" w16cex:dateUtc="2023-04-05T05:44:54.418Z"/>
  <w16cex:commentExtensible w16cex:durableId="617FF03E" w16cex:dateUtc="2023-04-05T05:48:23.171Z"/>
  <w16cex:commentExtensible w16cex:durableId="6135B950" w16cex:dateUtc="2023-04-05T05:51:09.947Z"/>
  <w16cex:commentExtensible w16cex:durableId="1797D28A" w16cex:dateUtc="2023-04-05T05:51:19.969Z"/>
  <w16cex:commentExtensible w16cex:durableId="4D2E4BE0" w16cex:dateUtc="2023-04-05T05:53:41.146Z"/>
  <w16cex:commentExtensible w16cex:durableId="3EC96575" w16cex:dateUtc="2023-04-05T06:49:38.054Z"/>
  <w16cex:commentExtensible w16cex:durableId="3FF86536" w16cex:dateUtc="2023-04-05T06:51:24.814Z"/>
  <w16cex:commentExtensible w16cex:durableId="1C67BABC" w16cex:dateUtc="2023-04-05T06:53:53.03Z"/>
  <w16cex:commentExtensible w16cex:durableId="418A2067" w16cex:dateUtc="2023-04-05T10:14:59.396Z"/>
  <w16cex:commentExtensible w16cex:durableId="1D1C199D" w16cex:dateUtc="2023-04-05T07:32:41.351Z"/>
  <w16cex:commentExtensible w16cex:durableId="61412F9B" w16cex:dateUtc="2023-04-05T07:42:27.869Z"/>
  <w16cex:commentExtensible w16cex:durableId="3ABE7391" w16cex:dateUtc="2023-04-05T07:56:04.607Z"/>
  <w16cex:commentExtensible w16cex:durableId="3A022880" w16cex:dateUtc="2023-04-05T08:33:13.705Z"/>
  <w16cex:commentExtensible w16cex:durableId="700A1264" w16cex:dateUtc="2023-04-05T09:23:03.332Z"/>
  <w16cex:commentExtensible w16cex:durableId="089B1125" w16cex:dateUtc="2023-04-05T08:43:02.233Z"/>
  <w16cex:commentExtensible w16cex:durableId="44D79A3E" w16cex:dateUtc="2023-04-05T08:13:22.835Z"/>
  <w16cex:commentExtensible w16cex:durableId="21FAE334" w16cex:dateUtc="2023-04-05T10:11:54.611Z"/>
  <w16cex:commentExtensible w16cex:durableId="38FC1AC0" w16cex:dateUtc="2023-04-05T09:54:31.034Z"/>
  <w16cex:commentExtensible w16cex:durableId="376D9C70" w16cex:dateUtc="2023-04-05T08:28:49.627Z"/>
  <w16cex:commentExtensible w16cex:durableId="08195BF4" w16cex:dateUtc="2023-04-05T08:32:18.352Z"/>
  <w16cex:commentExtensible w16cex:durableId="39692F65" w16cex:dateUtc="2023-04-05T08:32:56.596Z"/>
  <w16cex:commentExtensible w16cex:durableId="3D37D7A3" w16cex:dateUtc="2023-04-05T10:15:37.409Z"/>
  <w16cex:commentExtensible w16cex:durableId="4DE70E7C" w16cex:dateUtc="2023-04-05T10:17:11.47Z"/>
  <w16cex:commentExtensible w16cex:durableId="3E3DFB3A" w16cex:dateUtc="2023-04-05T10:17:40.203Z"/>
  <w16cex:commentExtensible w16cex:durableId="2693DC23" w16cex:dateUtc="2023-04-05T10:18:00.042Z"/>
  <w16cex:commentExtensible w16cex:durableId="756BD613" w16cex:dateUtc="2023-04-05T10:18:23.105Z"/>
  <w16cex:commentExtensible w16cex:durableId="3A81D9C4" w16cex:dateUtc="2023-04-05T10:18:48.188Z"/>
  <w16cex:commentExtensible w16cex:durableId="7D79F926" w16cex:dateUtc="2023-04-05T10:27:28.895Z"/>
  <w16cex:commentExtensible w16cex:durableId="63D455A1" w16cex:dateUtc="2023-04-05T10:30:35.189Z"/>
  <w16cex:commentExtensible w16cex:durableId="281760AA" w16cex:dateUtc="2023-04-05T10:31:14.875Z"/>
  <w16cex:commentExtensible w16cex:durableId="19AA4B30" w16cex:dateUtc="2023-04-05T10:35:02.194Z"/>
  <w16cex:commentExtensible w16cex:durableId="57493471" w16cex:dateUtc="2023-04-05T10:35:49.548Z"/>
  <w16cex:commentExtensible w16cex:durableId="34CB300B" w16cex:dateUtc="2023-04-05T10:36:20.998Z"/>
  <w16cex:commentExtensible w16cex:durableId="217E16F4" w16cex:dateUtc="2023-04-05T10:38:30.367Z"/>
  <w16cex:commentExtensible w16cex:durableId="2F15AC68" w16cex:dateUtc="2023-04-05T10:43:09.227Z"/>
  <w16cex:commentExtensible w16cex:durableId="72CBEAEF" w16cex:dateUtc="2023-04-05T10:44:13.341Z"/>
  <w16cex:commentExtensible w16cex:durableId="0A66E59A" w16cex:dateUtc="2023-04-05T10:46:14.963Z"/>
  <w16cex:commentExtensible w16cex:durableId="1B18986E" w16cex:dateUtc="2023-04-05T10:46:17.64Z"/>
  <w16cex:commentExtensible w16cex:durableId="4C6C8B63" w16cex:dateUtc="2023-04-05T11:21:30.162Z"/>
  <w16cex:commentExtensible w16cex:durableId="0CA58AB1" w16cex:dateUtc="2023-04-05T11:27:21.932Z"/>
  <w16cex:commentExtensible w16cex:durableId="20DBB2FB" w16cex:dateUtc="2023-04-06T04:32:31.96Z"/>
  <w16cex:commentExtensible w16cex:durableId="3C3C515A" w16cex:dateUtc="2023-04-06T04:46:55.634Z"/>
  <w16cex:commentExtensible w16cex:durableId="576A990C" w16cex:dateUtc="2023-04-06T04:53:32.746Z"/>
  <w16cex:commentExtensible w16cex:durableId="22AE2FE3" w16cex:dateUtc="2023-04-06T04:54:06.392Z"/>
  <w16cex:commentExtensible w16cex:durableId="021F58F8" w16cex:dateUtc="2023-04-06T05:09:37.232Z"/>
  <w16cex:commentExtensible w16cex:durableId="46F905D0" w16cex:dateUtc="2023-04-06T05:21:15.04Z"/>
  <w16cex:commentExtensible w16cex:durableId="093E6381" w16cex:dateUtc="2023-04-06T05:23:36.065Z"/>
  <w16cex:commentExtensible w16cex:durableId="0F912A82" w16cex:dateUtc="2023-04-06T05:46:26.973Z"/>
  <w16cex:commentExtensible w16cex:durableId="318AF53C" w16cex:dateUtc="2023-04-06T05:53:37.817Z"/>
  <w16cex:commentExtensible w16cex:durableId="40BA8598" w16cex:dateUtc="2023-04-06T05:58:10.713Z"/>
  <w16cex:commentExtensible w16cex:durableId="47561780" w16cex:dateUtc="2023-04-06T07:23:49.084Z"/>
  <w16cex:commentExtensible w16cex:durableId="25941F74" w16cex:dateUtc="2023-04-06T07:22:46.571Z"/>
  <w16cex:commentExtensible w16cex:durableId="467DE70E" w16cex:dateUtc="2023-04-06T07:27:51.613Z"/>
  <w16cex:commentExtensible w16cex:durableId="4AC75D3C" w16cex:dateUtc="2023-04-06T07:28:27.125Z"/>
  <w16cex:commentExtensible w16cex:durableId="76862D53" w16cex:dateUtc="2023-04-06T07:29:26.286Z"/>
  <w16cex:commentExtensible w16cex:durableId="27126FA0" w16cex:dateUtc="2023-04-06T07:30:41.978Z"/>
  <w16cex:commentExtensible w16cex:durableId="03980DDC" w16cex:dateUtc="2023-04-06T07:47:05.307Z"/>
  <w16cex:commentExtensible w16cex:durableId="7E50D3F2" w16cex:dateUtc="2023-04-06T07:50:10.442Z"/>
  <w16cex:commentExtensible w16cex:durableId="7CAB1FB5" w16cex:dateUtc="2023-04-06T08:07:59.175Z"/>
  <w16cex:commentExtensible w16cex:durableId="6DDDDA8A" w16cex:dateUtc="2023-04-06T10:10:17.188Z"/>
  <w16cex:commentExtensible w16cex:durableId="0E636158" w16cex:dateUtc="2023-04-06T10:52:27.871Z"/>
  <w16cex:commentExtensible w16cex:durableId="158A8DD2" w16cex:dateUtc="2023-04-06T10:53:01.047Z"/>
  <w16cex:commentExtensible w16cex:durableId="588AE43B" w16cex:dateUtc="2023-04-06T10:55:10.892Z">
    <w16cex:extLst>
      <w16:ext w16:uri="{CE6994B0-6A32-4C9F-8C6B-6E91EDA988CE}">
        <cr:reactions xmlns:cr="http://schemas.microsoft.com/office/comments/2020/reactions">
          <cr:reaction reactionType="1">
            <cr:reactionInfo dateUtc="2023-04-06T13:33:08.116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43001547" w16cex:dateUtc="2023-04-06T10:55:54.234Z"/>
  <w16cex:commentExtensible w16cex:durableId="621A1F5D" w16cex:dateUtc="2023-04-06T10:56:23.841Z"/>
  <w16cex:commentExtensible w16cex:durableId="27C3BEF1" w16cex:dateUtc="2023-04-06T10:56:55.771Z"/>
  <w16cex:commentExtensible w16cex:durableId="7A36C588" w16cex:dateUtc="2023-04-06T10:57:25.384Z"/>
  <w16cex:commentExtensible w16cex:durableId="6DD5DE1B" w16cex:dateUtc="2023-04-06T10:57:46.293Z"/>
  <w16cex:commentExtensible w16cex:durableId="5270237B" w16cex:dateUtc="2023-04-06T10:59:39.574Z"/>
  <w16cex:commentExtensible w16cex:durableId="4D09C172" w16cex:dateUtc="2023-04-06T11:01:33.903Z"/>
  <w16cex:commentExtensible w16cex:durableId="642C341E" w16cex:dateUtc="2023-04-06T11:02:42.088Z"/>
  <w16cex:commentExtensible w16cex:durableId="2B8AE9A8" w16cex:dateUtc="2023-04-06T11:03:14.763Z"/>
  <w16cex:commentExtensible w16cex:durableId="0A422E62" w16cex:dateUtc="2023-04-06T11:03:43.356Z"/>
  <w16cex:commentExtensible w16cex:durableId="6A27AE7D" w16cex:dateUtc="2023-04-06T11:04:14.817Z"/>
  <w16cex:commentExtensible w16cex:durableId="44CD2AF7" w16cex:dateUtc="2023-04-06T11:04:18.246Z"/>
  <w16cex:commentExtensible w16cex:durableId="55837C47" w16cex:dateUtc="2023-04-06T11:04:39.614Z"/>
  <w16cex:commentExtensible w16cex:durableId="603E6DFD" w16cex:dateUtc="2023-04-06T11:05:11.784Z"/>
  <w16cex:commentExtensible w16cex:durableId="1932878F" w16cex:dateUtc="2023-04-06T11:06:11.356Z">
    <w16cex:extLst>
      <w16:ext w16:uri="{CE6994B0-6A32-4C9F-8C6B-6E91EDA988CE}">
        <cr:reactions xmlns:cr="http://schemas.microsoft.com/office/comments/2020/reactions">
          <cr:reaction reactionType="1">
            <cr:reactionInfo dateUtc="2023-04-06T19:02:34.567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27731DA1" w16cex:dateUtc="2023-04-06T11:07:04.638Z"/>
  <w16cex:commentExtensible w16cex:durableId="3E896831" w16cex:dateUtc="2023-04-06T11:08:46.276Z"/>
  <w16cex:commentExtensible w16cex:durableId="72CCAECD" w16cex:dateUtc="2023-04-06T11:09:00.216Z"/>
  <w16cex:commentExtensible w16cex:durableId="3D4C8CC4" w16cex:dateUtc="2023-04-06T11:09:23.228Z"/>
  <w16cex:commentExtensible w16cex:durableId="0AB45386" w16cex:dateUtc="2023-04-06T11:09:56.769Z"/>
  <w16cex:commentExtensible w16cex:durableId="19F8F9E9" w16cex:dateUtc="2023-04-06T11:23:57.175Z"/>
  <w16cex:commentExtensible w16cex:durableId="21F97E16" w16cex:dateUtc="2023-04-06T12:04:21.589Z"/>
  <w16cex:commentExtensible w16cex:durableId="27AC89F0" w16cex:dateUtc="2023-04-06T13:21:27.125Z"/>
  <w16cex:commentExtensible w16cex:durableId="3500AFEE" w16cex:dateUtc="2023-04-06T13:23:33.815Z"/>
  <w16cex:commentExtensible w16cex:durableId="6644D8F0" w16cex:dateUtc="2023-04-06T13:32:08.948Z"/>
  <w16cex:commentExtensible w16cex:durableId="4DDA1386" w16cex:dateUtc="2023-04-06T13:50:03.287Z"/>
  <w16cex:commentExtensible w16cex:durableId="74481EFB" w16cex:dateUtc="2023-04-06T14:00:15.623Z"/>
  <w16cex:commentExtensible w16cex:durableId="01F5001B" w16cex:dateUtc="2023-04-06T14:04:38.586Z"/>
  <w16cex:commentExtensible w16cex:durableId="6BDB0DD3" w16cex:dateUtc="2023-04-06T14:07:10.751Z"/>
  <w16cex:commentExtensible w16cex:durableId="2862C642" w16cex:dateUtc="2023-04-06T14:16:50.403Z"/>
  <w16cex:commentExtensible w16cex:durableId="6754E22A" w16cex:dateUtc="2023-04-06T14:23:32.477Z"/>
  <w16cex:commentExtensible w16cex:durableId="15B5680A" w16cex:dateUtc="2023-04-06T14:30:33.225Z"/>
  <w16cex:commentExtensible w16cex:durableId="2DF0BC43" w16cex:dateUtc="2023-04-06T14:31:47.516Z"/>
  <w16cex:commentExtensible w16cex:durableId="5EBB90A4" w16cex:dateUtc="2023-04-06T14:33:52.966Z"/>
  <w16cex:commentExtensible w16cex:durableId="723DDAC1" w16cex:dateUtc="2023-04-06T14:35:15.011Z"/>
  <w16cex:commentExtensible w16cex:durableId="3830DD08" w16cex:dateUtc="2023-04-06T14:39:27.521Z"/>
  <w16cex:commentExtensible w16cex:durableId="0C2FCF79" w16cex:dateUtc="2023-04-06T18:46:36.696Z"/>
  <w16cex:commentExtensible w16cex:durableId="64F5A2D1" w16cex:dateUtc="2023-04-06T18:52:02.029Z"/>
  <w16cex:commentExtensible w16cex:durableId="2F240D89" w16cex:dateUtc="2023-04-06T18:53:29.918Z"/>
  <w16cex:commentExtensible w16cex:durableId="39599FE7" w16cex:dateUtc="2023-04-06T18:54:44.563Z"/>
  <w16cex:commentExtensible w16cex:durableId="0069FFFF" w16cex:dateUtc="2023-04-07T04:52:47.16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91A25" w14:textId="77777777" w:rsidR="00C7030D" w:rsidRDefault="00C7030D">
      <w:pPr>
        <w:spacing w:after="0" w:line="240" w:lineRule="auto"/>
      </w:pPr>
      <w:r>
        <w:separator/>
      </w:r>
    </w:p>
  </w:endnote>
  <w:endnote w:type="continuationSeparator" w:id="0">
    <w:p w14:paraId="6BD3E476" w14:textId="77777777" w:rsidR="00C7030D" w:rsidRDefault="00C70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4913A" w14:textId="77777777" w:rsidR="007532B3" w:rsidRDefault="007532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9C78A" w14:textId="5EB26FCC" w:rsidR="00E20476" w:rsidRDefault="00E2047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532B3">
      <w:rPr>
        <w:noProof/>
      </w:rPr>
      <w:t>21</w:t>
    </w:r>
    <w:r>
      <w:fldChar w:fldCharType="end"/>
    </w:r>
  </w:p>
  <w:p w14:paraId="4208D0E0" w14:textId="77777777" w:rsidR="00E20476" w:rsidRDefault="00E204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258D68FD" w14:textId="77777777" w:rsidTr="00B80E0E">
      <w:tc>
        <w:tcPr>
          <w:tcW w:w="3061" w:type="dxa"/>
        </w:tcPr>
        <w:p w14:paraId="10732CA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E20476" w:rsidRDefault="00E20476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62520" w14:textId="77777777" w:rsidR="00C7030D" w:rsidRDefault="00C7030D">
      <w:pPr>
        <w:spacing w:after="0" w:line="240" w:lineRule="auto"/>
      </w:pPr>
      <w:r>
        <w:separator/>
      </w:r>
    </w:p>
  </w:footnote>
  <w:footnote w:type="continuationSeparator" w:id="0">
    <w:p w14:paraId="1BB37FCA" w14:textId="77777777" w:rsidR="00C7030D" w:rsidRDefault="00C7030D">
      <w:pPr>
        <w:spacing w:after="0" w:line="240" w:lineRule="auto"/>
      </w:pPr>
      <w:r>
        <w:continuationSeparator/>
      </w:r>
    </w:p>
  </w:footnote>
  <w:footnote w:id="1">
    <w:p w14:paraId="709064EF" w14:textId="016CA1B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 w:rsidR="009B4B03"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CBB9C0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3">
    <w:p w14:paraId="406234B2" w14:textId="2BD8077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 w:rsidR="004F34AA"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E20476" w:rsidRPr="0046063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E20476" w:rsidRDefault="00E20476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E20476" w:rsidRDefault="00E20476">
      <w:pPr>
        <w:pStyle w:val="Tekstprzypisudolnego"/>
      </w:pPr>
    </w:p>
  </w:footnote>
  <w:footnote w:id="15">
    <w:p w14:paraId="425DCA3F" w14:textId="435B6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E20476" w:rsidRPr="001C214A" w:rsidRDefault="00E20476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6F18191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27EA08BD" w14:textId="23A21C10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 w:rsidR="00C01212"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 w:rsidR="00C01212"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52F1D735" w14:textId="6709E5B9" w:rsidR="00E20476" w:rsidRPr="00A51BA4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6E26">
        <w:rPr>
          <w:rFonts w:ascii="Tahoma" w:hAnsi="Tahoma" w:cs="Tahoma"/>
          <w:sz w:val="16"/>
          <w:szCs w:val="16"/>
        </w:rPr>
        <w:t xml:space="preserve">limit 70% dofinansowania rozpatrywany jest kumulatywnie.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9C6E26">
        <w:rPr>
          <w:rFonts w:ascii="Tahoma" w:hAnsi="Tahoma" w:cs="Tahoma"/>
          <w:sz w:val="16"/>
          <w:szCs w:val="16"/>
        </w:rPr>
        <w:t xml:space="preserve">dokonuje porównania rozliczonych dotychczas w ramach projektu wydatków, biorąc pod uwagę wydatki w zatwierdzonych uprzednio wnioskach o płatność, pomniejszonych o stwierdzone </w:t>
      </w:r>
      <w:r w:rsidRPr="00A51BA4">
        <w:rPr>
          <w:rFonts w:ascii="Tahoma" w:hAnsi="Tahoma" w:cs="Tahoma"/>
          <w:sz w:val="16"/>
          <w:szCs w:val="16"/>
        </w:rPr>
        <w:t>wydatki niekwalifikowalne/nieprawidłowości.</w:t>
      </w:r>
    </w:p>
  </w:footnote>
  <w:footnote w:id="29">
    <w:p w14:paraId="6D03F368" w14:textId="44E16CBE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E20476" w:rsidRPr="00CE6EE0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E20476" w:rsidRPr="009534D8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E20476" w:rsidRDefault="00E20476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E20476" w:rsidRDefault="00E20476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E20476" w:rsidRDefault="00E20476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E20476" w:rsidRDefault="00E20476">
      <w:pPr>
        <w:pStyle w:val="Tekstprzypisudolnego"/>
      </w:pPr>
    </w:p>
  </w:footnote>
  <w:footnote w:id="39">
    <w:p w14:paraId="02295DAE" w14:textId="24F13FCF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E20476" w:rsidRPr="005217C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 w:rsidR="00692B3E"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2">
    <w:p w14:paraId="5435D36A" w14:textId="3FE960E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14:paraId="58FD074B" w14:textId="20362B75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projektów, w których będzie udzielana pomoc publiczna i/lub pomoc de minimis przez IZ FESL i/lub beneficjenta / partnera, zgodnie z wnioskiem.</w:t>
      </w:r>
    </w:p>
  </w:footnote>
  <w:footnote w:id="45">
    <w:p w14:paraId="6B9B3388" w14:textId="5F18180B" w:rsidR="00E20476" w:rsidRPr="002E0221" w:rsidRDefault="00E20476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też pomocy udzielanej w ramach projektu przez beneficjenta/partnera, zgodnie z wnioskiem.</w:t>
      </w:r>
    </w:p>
  </w:footnote>
  <w:footnote w:id="46">
    <w:p w14:paraId="3DB6A57D" w14:textId="2F874675" w:rsidR="002E0221" w:rsidRPr="002E0221" w:rsidRDefault="002E0221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14:paraId="75A3B31B" w14:textId="073D7B93" w:rsidR="00E20476" w:rsidRDefault="00E20476">
      <w:pPr>
        <w:pStyle w:val="Tekstprzypisudolnego"/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W przypadku zmiany prowadzącej do zwiększenia wartości przyznanej beneficjentowi pomocy de minimis w projekcie, beneficjent jest zobowiązany do przedstawienia IZ FESL informacji o aktualnej (na dzień udzielenia zwiększonej pomocy przez IZ FESL), wysokości dotychczas udzielonej mu pomocy de minimis.</w:t>
      </w:r>
    </w:p>
  </w:footnote>
  <w:footnote w:id="48">
    <w:p w14:paraId="3A5ADF26" w14:textId="06D0A0B1" w:rsidR="00E20476" w:rsidRPr="00032721" w:rsidRDefault="00E20476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6221D1FF" w14:textId="57DC5C5B" w:rsidR="00E20476" w:rsidRPr="00032721" w:rsidRDefault="00E20476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0F0032C4" w14:textId="77777777" w:rsidR="00E20476" w:rsidRPr="00032721" w:rsidRDefault="00E20476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E20476" w:rsidRDefault="00E20476">
      <w:pPr>
        <w:pStyle w:val="Tekstprzypisudolnego"/>
      </w:pPr>
    </w:p>
  </w:footnote>
  <w:footnote w:id="51">
    <w:p w14:paraId="2C6FDFF1" w14:textId="3632A92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bCs/>
          <w:sz w:val="16"/>
          <w:szCs w:val="16"/>
        </w:rPr>
        <w:t xml:space="preserve">Rozporządzenie Rady Ministrów z dnia 12 kwietnia 2012 r. w sprawie Krajowych Ram Interoperacyjności, minimalnych wymagań dla rejestrów publicznych i wymiany informacji w postaci elektronicznej oraz minimalnych wymagań dla systemów teleinformatycznych (t.j. </w:t>
      </w:r>
      <w:r w:rsidRPr="0017751F">
        <w:rPr>
          <w:rFonts w:ascii="Tahoma" w:hAnsi="Tahoma" w:cs="Tahoma"/>
          <w:bCs/>
          <w:sz w:val="16"/>
          <w:szCs w:val="16"/>
        </w:rPr>
        <w:t>Dz.U. 2017 r. poz. 2247).</w:t>
      </w:r>
    </w:p>
  </w:footnote>
  <w:footnote w:id="52">
    <w:p w14:paraId="6BA027E9" w14:textId="2ECAB9B5" w:rsidR="00E20476" w:rsidRPr="00853E9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53">
    <w:p w14:paraId="1F63A309" w14:textId="0FAB39D8" w:rsidR="00E20476" w:rsidRPr="00526FC6" w:rsidRDefault="00E2047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14:paraId="1CA2E828" w14:textId="3D0DA192" w:rsidR="00E20476" w:rsidRPr="006D29EB" w:rsidRDefault="00E20476">
      <w:pPr>
        <w:pStyle w:val="Tekstprzypisudolnego"/>
        <w:rPr>
          <w:rFonts w:ascii="Tahoma" w:hAnsi="Tahoma" w:cs="Tahoma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Projekt, który wnosi znaczący wkład w osiąganie celów programu i który podlega szczególnym środkom dotyczącym monitorowania i komunikacji.</w:t>
      </w:r>
    </w:p>
  </w:footnote>
  <w:footnote w:id="55">
    <w:p w14:paraId="1B5AF81C" w14:textId="795FB14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 w:rsidR="002E0221">
        <w:rPr>
          <w:rFonts w:ascii="Tahoma" w:hAnsi="Tahoma" w:cs="Tahoma"/>
          <w:sz w:val="16"/>
          <w:szCs w:val="16"/>
        </w:rPr>
        <w:t>3</w:t>
      </w:r>
    </w:p>
  </w:footnote>
  <w:footnote w:id="56">
    <w:p w14:paraId="2299CD42" w14:textId="4213494A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14:paraId="6A1A5FFE" w14:textId="5BB3F330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</w:t>
      </w:r>
    </w:p>
  </w:footnote>
  <w:footnote w:id="58">
    <w:p w14:paraId="5A7004EB" w14:textId="34739D2A" w:rsidR="00E20476" w:rsidRDefault="00E20476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Prawach autorskich i prawach pokrewnych (Dz.U. z 2022 r. poz. 2509)</w:t>
      </w:r>
    </w:p>
  </w:footnote>
  <w:footnote w:id="59">
    <w:p w14:paraId="3000241C" w14:textId="3E8346DD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14:paraId="5493B226" w14:textId="31BC4CC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14:paraId="2B83D6F2" w14:textId="52A6A53D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14:paraId="5D7E1D1E" w14:textId="5D713712" w:rsidR="00E20476" w:rsidRDefault="00E20476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14:paraId="36BBBB35" w14:textId="74B90388" w:rsidR="00E20476" w:rsidRPr="00526FC6" w:rsidRDefault="00E20476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BB904" w14:textId="77777777" w:rsidR="007532B3" w:rsidRDefault="007532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54545CB0" w14:textId="77777777" w:rsidTr="00B80E0E">
      <w:tc>
        <w:tcPr>
          <w:tcW w:w="3061" w:type="dxa"/>
        </w:tcPr>
        <w:p w14:paraId="638098C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E20476" w:rsidRDefault="00E20476" w:rsidP="00B80E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4340C" w14:textId="384FCFC6" w:rsidR="00496C16" w:rsidRPr="007532B3" w:rsidRDefault="00496C16" w:rsidP="00496C16">
    <w:pPr>
      <w:tabs>
        <w:tab w:val="center" w:pos="4536"/>
        <w:tab w:val="right" w:pos="9072"/>
      </w:tabs>
      <w:rPr>
        <w:rFonts w:ascii="Tahoma" w:hAnsi="Tahoma" w:cs="Tahoma"/>
        <w:noProof/>
        <w:sz w:val="18"/>
        <w:szCs w:val="18"/>
        <w:lang w:eastAsia="ja-JP"/>
      </w:rPr>
    </w:pPr>
    <w:r w:rsidRPr="007532B3">
      <w:rPr>
        <w:rFonts w:ascii="Tahoma" w:hAnsi="Tahoma" w:cs="Tahoma"/>
        <w:noProof/>
        <w:sz w:val="18"/>
        <w:szCs w:val="18"/>
      </w:rPr>
      <w:t>Załącznik nr 6 do Uchwały nr 1789/442/VI/2023 Zarządu Województwa Śląskiego</w:t>
    </w:r>
    <w:bookmarkStart w:id="56" w:name="_GoBack"/>
    <w:bookmarkEnd w:id="56"/>
    <w:r w:rsidRPr="007532B3">
      <w:rPr>
        <w:rFonts w:ascii="Tahoma" w:hAnsi="Tahoma" w:cs="Tahoma"/>
        <w:noProof/>
        <w:sz w:val="18"/>
        <w:szCs w:val="18"/>
      </w:rPr>
      <w:t xml:space="preserve"> z dnia 16 sierpnia 2023r.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6EB8244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0915"/>
    <w:rsid w:val="00021A2E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0DD9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96C16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2B3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602AE"/>
    <w:rsid w:val="008608D8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0D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E86"/>
    <w:rsid w:val="00E12B49"/>
    <w:rsid w:val="00E14C9A"/>
    <w:rsid w:val="00E15286"/>
    <w:rsid w:val="00E15D89"/>
    <w:rsid w:val="00E20476"/>
    <w:rsid w:val="00E20FFB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21" Type="http://schemas.openxmlformats.org/officeDocument/2006/relationships/hyperlink" Target="mailto:systemyFS@slaskie.pl" TargetMode="External"/><Relationship Id="rId34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funduszeue@slaskie.pl" TargetMode="Externa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funduszeue@slaskie.pl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6162725930dd459e" Type="http://schemas.microsoft.com/office/2018/08/relationships/commentsExtensible" Target="commentsExtensi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7C14A-19ED-4B9F-BCCE-CA61E2B2FC3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7E917C-3A3B-4771-BB8A-BE44A3E24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48</Pages>
  <Words>14870</Words>
  <Characters>89222</Characters>
  <Application>Microsoft Office Word</Application>
  <DocSecurity>0</DocSecurity>
  <Lines>743</Lines>
  <Paragraphs>207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cp:keywords/>
  <dc:description/>
  <cp:lastModifiedBy>Flaszewska-Nowak Anna</cp:lastModifiedBy>
  <cp:revision>6</cp:revision>
  <cp:lastPrinted>2023-04-13T12:23:00Z</cp:lastPrinted>
  <dcterms:created xsi:type="dcterms:W3CDTF">2023-08-07T12:52:00Z</dcterms:created>
  <dcterms:modified xsi:type="dcterms:W3CDTF">2023-08-18T09:23:00Z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