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524592EC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DC1E14">
        <w:rPr>
          <w:rFonts w:cstheme="minorHAnsi"/>
        </w:rPr>
        <w:t>Regulaminu wyboru projektów</w:t>
      </w:r>
      <w:bookmarkStart w:id="0" w:name="_GoBack"/>
      <w:bookmarkEnd w:id="0"/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42E623AE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A96A82">
        <w:rPr>
          <w:rFonts w:cstheme="minorHAnsi"/>
          <w:lang w:eastAsia="pl-PL"/>
        </w:rPr>
        <w:t xml:space="preserve"> z późn. zm.</w:t>
      </w:r>
      <w:r w:rsidRPr="00A96A82">
        <w:rPr>
          <w:rFonts w:cstheme="minorHAnsi"/>
          <w:lang w:eastAsia="pl-PL"/>
        </w:rPr>
        <w:t>)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11F3AD32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A96A82">
        <w:rPr>
          <w:rFonts w:cstheme="minorHAnsi"/>
          <w:color w:val="000000" w:themeColor="text1"/>
          <w:lang w:eastAsia="pl-PL"/>
        </w:rPr>
        <w:t xml:space="preserve"> z późn. zm.)</w:t>
      </w:r>
      <w:r w:rsidRPr="00A96A82">
        <w:rPr>
          <w:rFonts w:cstheme="minorHAnsi"/>
          <w:color w:val="000000" w:themeColor="text1"/>
          <w:lang w:eastAsia="pl-PL"/>
        </w:rPr>
        <w:t>;</w:t>
      </w:r>
    </w:p>
    <w:p w14:paraId="61439C6C" w14:textId="7777777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A96A82">
        <w:rPr>
          <w:rFonts w:cstheme="minorHAnsi"/>
          <w:color w:val="000000" w:themeColor="text1"/>
          <w:lang w:eastAsia="pl-PL"/>
        </w:rPr>
        <w:t xml:space="preserve"> z późn. zm.</w:t>
      </w:r>
      <w:r w:rsidRPr="00A96A82">
        <w:rPr>
          <w:rFonts w:cstheme="minorHAnsi"/>
          <w:color w:val="000000" w:themeColor="text1"/>
          <w:lang w:eastAsia="pl-PL"/>
        </w:rPr>
        <w:t xml:space="preserve">); </w:t>
      </w:r>
    </w:p>
    <w:p w14:paraId="79D4D118" w14:textId="77777777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A96A82">
        <w:rPr>
          <w:rFonts w:cstheme="minorHAnsi"/>
        </w:rPr>
        <w:t xml:space="preserve"> z późn. zm.</w:t>
      </w:r>
      <w:r w:rsidRPr="00A96A82">
        <w:rPr>
          <w:rFonts w:cstheme="minorHAnsi"/>
        </w:rPr>
        <w:t>);</w:t>
      </w:r>
    </w:p>
    <w:p w14:paraId="74667B34" w14:textId="77777777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 (Dz. Urz. UE L 315/1 z 3 grudnia 2007 r.</w:t>
      </w:r>
      <w:r w:rsidR="00AB2881" w:rsidRPr="00A96A82">
        <w:rPr>
          <w:rFonts w:cstheme="minorHAnsi"/>
        </w:rPr>
        <w:t xml:space="preserve"> z późn. zm. </w:t>
      </w:r>
      <w:r w:rsidRPr="00A96A82">
        <w:rPr>
          <w:rFonts w:cstheme="minorHAnsi"/>
        </w:rPr>
        <w:t>);</w:t>
      </w:r>
    </w:p>
    <w:p w14:paraId="1A9172E7" w14:textId="3FAFEFD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 (Dz. Urz. </w:t>
      </w:r>
      <w:r w:rsidR="004329B0">
        <w:rPr>
          <w:rFonts w:cstheme="minorHAnsi"/>
        </w:rPr>
        <w:t>UE.L.2023.2831</w:t>
      </w:r>
      <w:r w:rsidRPr="00A96A82">
        <w:rPr>
          <w:rFonts w:cstheme="minorHAnsi"/>
        </w:rPr>
        <w:t xml:space="preserve"> z </w:t>
      </w:r>
      <w:r w:rsidR="00EC41E5">
        <w:rPr>
          <w:rFonts w:cstheme="minorHAnsi"/>
        </w:rPr>
        <w:t>15</w:t>
      </w:r>
      <w:r w:rsidR="00EC41E5" w:rsidRPr="00A96A82">
        <w:rPr>
          <w:rFonts w:cstheme="minorHAnsi"/>
        </w:rPr>
        <w:t> </w:t>
      </w:r>
      <w:r w:rsidRPr="00A96A82">
        <w:rPr>
          <w:rFonts w:cstheme="minorHAnsi"/>
        </w:rPr>
        <w:t xml:space="preserve">grudnia </w:t>
      </w:r>
      <w:r w:rsidR="00EC41E5" w:rsidRPr="00A96A82">
        <w:rPr>
          <w:rFonts w:cstheme="minorHAnsi"/>
        </w:rPr>
        <w:t>20</w:t>
      </w:r>
      <w:r w:rsidR="00EC41E5">
        <w:rPr>
          <w:rFonts w:cstheme="minorHAnsi"/>
        </w:rPr>
        <w:t>23</w:t>
      </w:r>
      <w:r w:rsidR="00EC41E5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r.);</w:t>
      </w:r>
    </w:p>
    <w:p w14:paraId="58F1C8E1" w14:textId="77777777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 (Dz. Urz. UE L 74/1 z 14 marca 2014 r.);</w:t>
      </w:r>
    </w:p>
    <w:p w14:paraId="4EB44C16" w14:textId="76CC0E24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2748EF" w:rsidRPr="00A96A82">
        <w:rPr>
          <w:rFonts w:cstheme="minorHAnsi"/>
        </w:rPr>
        <w:t xml:space="preserve"> </w:t>
      </w:r>
      <w:r w:rsidR="00786CDA" w:rsidRPr="00A96A82">
        <w:rPr>
          <w:rFonts w:cstheme="minorHAnsi"/>
        </w:rPr>
        <w:t>z późn. zm.</w:t>
      </w:r>
      <w:r w:rsidR="00B439D3">
        <w:rPr>
          <w:rFonts w:cstheme="minorHAnsi"/>
        </w:rPr>
        <w:t xml:space="preserve"> </w:t>
      </w:r>
      <w:r w:rsidR="00786CDA" w:rsidRPr="00A96A82">
        <w:rPr>
          <w:rFonts w:cstheme="minorHAnsi"/>
        </w:rPr>
        <w:t>DZ. U. UE L. 2021.74.35</w:t>
      </w:r>
      <w:r w:rsidRPr="00A96A82">
        <w:rPr>
          <w:rFonts w:cstheme="minorHAnsi"/>
        </w:rPr>
        <w:t>)</w:t>
      </w:r>
      <w:r w:rsidR="007F1AD8" w:rsidRPr="00A96A82">
        <w:rPr>
          <w:rFonts w:cstheme="minorHAnsi"/>
        </w:rPr>
        <w:t>;</w:t>
      </w:r>
    </w:p>
    <w:p w14:paraId="75D7B47E" w14:textId="4097F335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6EAE2CD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27 sierpnia 2009 r. o finansach publicznych (tj. Dz. U. z </w:t>
      </w:r>
      <w:r w:rsidR="000F07B5">
        <w:rPr>
          <w:rFonts w:cstheme="minorHAnsi"/>
        </w:rPr>
        <w:t>2023 poz. 1270</w:t>
      </w:r>
      <w:r w:rsidR="002C4432">
        <w:rPr>
          <w:rFonts w:cstheme="minorHAnsi"/>
        </w:rPr>
        <w:t xml:space="preserve"> z późn. zm.</w:t>
      </w:r>
      <w:r w:rsidRPr="00A96A82">
        <w:rPr>
          <w:rFonts w:cstheme="minorHAnsi"/>
        </w:rPr>
        <w:t>)</w:t>
      </w:r>
      <w:r w:rsidR="00E017A1" w:rsidRPr="00A96A82">
        <w:rPr>
          <w:rFonts w:cstheme="minorHAnsi"/>
        </w:rPr>
        <w:t xml:space="preserve"> 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578F873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 (tj. Dz. U 2022, poz. 1360</w:t>
      </w:r>
      <w:r w:rsidR="00AB2881" w:rsidRPr="00A96A82">
        <w:rPr>
          <w:rFonts w:cstheme="minorHAnsi"/>
        </w:rPr>
        <w:t xml:space="preserve"> z późn. zm.</w:t>
      </w:r>
      <w:r w:rsidRPr="00A96A82">
        <w:rPr>
          <w:rFonts w:cstheme="minorHAnsi"/>
        </w:rPr>
        <w:t>);</w:t>
      </w:r>
    </w:p>
    <w:p w14:paraId="2651A8BF" w14:textId="285E1E9E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(tj. Dz.U. z </w:t>
      </w:r>
      <w:r w:rsidR="00EC41E5" w:rsidRPr="00A96A82">
        <w:rPr>
          <w:rFonts w:cstheme="minorHAnsi"/>
          <w:bCs/>
        </w:rPr>
        <w:t>20</w:t>
      </w:r>
      <w:r w:rsidR="00EC41E5">
        <w:rPr>
          <w:rFonts w:cstheme="minorHAnsi"/>
          <w:bCs/>
        </w:rPr>
        <w:t>23</w:t>
      </w:r>
      <w:r w:rsidR="00EC41E5" w:rsidRPr="00A96A82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r. poz. </w:t>
      </w:r>
      <w:r w:rsidR="00EC41E5" w:rsidRPr="00A96A82">
        <w:rPr>
          <w:rFonts w:cstheme="minorHAnsi"/>
          <w:bCs/>
        </w:rPr>
        <w:t>7</w:t>
      </w:r>
      <w:r w:rsidR="00EC41E5">
        <w:rPr>
          <w:rFonts w:cstheme="minorHAnsi"/>
          <w:bCs/>
        </w:rPr>
        <w:t>02</w:t>
      </w:r>
      <w:r w:rsidR="00EC41E5" w:rsidRPr="00A96A82">
        <w:rPr>
          <w:rFonts w:cstheme="minorHAnsi"/>
          <w:bCs/>
        </w:rPr>
        <w:t xml:space="preserve"> </w:t>
      </w:r>
      <w:r w:rsidR="00EC41E5">
        <w:rPr>
          <w:rFonts w:cstheme="minorHAnsi"/>
          <w:bCs/>
        </w:rPr>
        <w:t>)</w:t>
      </w:r>
    </w:p>
    <w:p w14:paraId="25C360C9" w14:textId="77777777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 (tj.</w:t>
      </w:r>
      <w:r w:rsidR="00E46738" w:rsidRPr="00A96A82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Dz. U. 2019 poz. 1781)</w:t>
      </w:r>
      <w:r w:rsidR="007F1AD8" w:rsidRPr="00A96A82">
        <w:rPr>
          <w:rFonts w:cstheme="minorHAnsi"/>
          <w:bCs/>
        </w:rPr>
        <w:t>;</w:t>
      </w:r>
    </w:p>
    <w:p w14:paraId="5364B7BD" w14:textId="027F6ABF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decyzji Komisji z 20 grudnia 2011 r. w sprawie stosowania artykuł 106 ustęp 2 Traktatu o funkcjonowaniu Unii Europejskiej do pomocy państwa w formie rekompensaty z tytułu świadczenia usług publicznych, przyznawanej przedsiębiorcom zobowiązanym do </w:t>
      </w:r>
      <w:r w:rsidRPr="00A96A82">
        <w:rPr>
          <w:rFonts w:cstheme="minorHAnsi"/>
        </w:rPr>
        <w:lastRenderedPageBreak/>
        <w:t>wykonywania usług świadczonych w ogólnym interesie gospodarczym (Dz. Urz. UE L 7 z dnia 11 stycznia 2012 r. str. 3)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6D2ED09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</w:t>
      </w:r>
      <w:r w:rsidR="00E32DFE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 xml:space="preserve">Dz. Urz. UE L 127 </w:t>
      </w:r>
      <w:r w:rsidR="007F1AD8" w:rsidRPr="00A96A82">
        <w:rPr>
          <w:rFonts w:cstheme="minorHAnsi"/>
          <w:lang w:eastAsia="pl-PL"/>
        </w:rPr>
        <w:br/>
      </w:r>
      <w:r w:rsidRPr="00A96A82">
        <w:rPr>
          <w:rFonts w:cstheme="minorHAnsi"/>
          <w:lang w:eastAsia="pl-PL"/>
        </w:rPr>
        <w:t>z 23.05.2018, str. 2</w:t>
      </w:r>
      <w:r w:rsidR="00E32DFE" w:rsidRPr="00A96A82">
        <w:rPr>
          <w:rFonts w:cstheme="minorHAnsi"/>
          <w:lang w:eastAsia="pl-PL"/>
        </w:rPr>
        <w:t xml:space="preserve"> oraz DZ. Urz. UE L 74 z 04.03.2021, str. 35</w:t>
      </w:r>
      <w:r w:rsidRPr="00A96A82">
        <w:rPr>
          <w:rFonts w:cstheme="minorHAnsi"/>
          <w:lang w:eastAsia="pl-PL"/>
        </w:rPr>
        <w:t>)</w:t>
      </w:r>
      <w:r w:rsidR="00401C9C" w:rsidRPr="00A96A82">
        <w:rPr>
          <w:rFonts w:cstheme="minorHAnsi"/>
          <w:lang w:eastAsia="pl-PL"/>
        </w:rPr>
        <w:t xml:space="preserve">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lastRenderedPageBreak/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206DDF4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 wspólne przepisy dotyczące Europejskiego Funduszu Rozwoju Regionalnego, Europejskiego Funduszu Społecznego </w:t>
      </w:r>
      <w:r w:rsidRPr="00A96A82">
        <w:rPr>
          <w:rFonts w:cstheme="minorHAnsi"/>
          <w:lang w:eastAsia="pl-PL"/>
        </w:rPr>
        <w:lastRenderedPageBreak/>
        <w:t>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A96A82">
        <w:rPr>
          <w:rFonts w:cstheme="minorHAnsi"/>
          <w:lang w:eastAsia="pl-PL"/>
        </w:rPr>
        <w:t xml:space="preserve"> z późn. zm. </w:t>
      </w:r>
      <w:r w:rsidRPr="00A96A82">
        <w:rPr>
          <w:rFonts w:cstheme="minorHAnsi"/>
          <w:lang w:eastAsia="pl-PL"/>
        </w:rPr>
        <w:t>);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3FC2F2AF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 (tj. Dz. U. z </w:t>
      </w:r>
      <w:r w:rsidR="001A76D2">
        <w:rPr>
          <w:rFonts w:cstheme="minorHAnsi"/>
        </w:rPr>
        <w:t>2023</w:t>
      </w:r>
      <w:r w:rsidR="001A76D2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r. poz. </w:t>
      </w:r>
      <w:r w:rsidR="001A76D2">
        <w:rPr>
          <w:rFonts w:cstheme="minorHAnsi"/>
        </w:rPr>
        <w:t>1270</w:t>
      </w:r>
      <w:r w:rsidR="002C4432">
        <w:rPr>
          <w:rFonts w:cstheme="minorHAnsi"/>
        </w:rPr>
        <w:t xml:space="preserve"> z późn. zm.</w:t>
      </w:r>
      <w:r w:rsidRPr="00A96A82">
        <w:rPr>
          <w:rFonts w:cstheme="minorHAnsi"/>
        </w:rPr>
        <w:t xml:space="preserve">); </w:t>
      </w:r>
    </w:p>
    <w:p w14:paraId="5EF9BC6F" w14:textId="49FAB074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(tj. Dz.U. z 2022 r. poz. 1710</w:t>
      </w:r>
      <w:r w:rsidR="00587446">
        <w:rPr>
          <w:rFonts w:cstheme="minorHAnsi"/>
          <w:bCs/>
        </w:rPr>
        <w:t xml:space="preserve"> z późn. zm.</w:t>
      </w:r>
      <w:r w:rsidRPr="00A96A82">
        <w:rPr>
          <w:rFonts w:cstheme="minorHAnsi"/>
          <w:bCs/>
        </w:rPr>
        <w:t>) lub/oraz ustawa z 29 stycznia 2004 r. Prawo zamówień publicznych (tj. Dz.U. z 2019 r. poz. 1843 z późn. zm.);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38BD282E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A96A82">
        <w:rPr>
          <w:rFonts w:cstheme="minorHAnsi"/>
        </w:rPr>
        <w:t xml:space="preserve">(Dz. U z 2022 r., poz. </w:t>
      </w:r>
      <w:r w:rsidRPr="00A96A82">
        <w:rPr>
          <w:rFonts w:cstheme="minorHAnsi"/>
          <w:bCs/>
        </w:rPr>
        <w:t>1079</w:t>
      </w:r>
      <w:r w:rsidRPr="00A96A82">
        <w:rPr>
          <w:rFonts w:cstheme="minorHAnsi"/>
        </w:rPr>
        <w:t>)</w:t>
      </w:r>
      <w:r w:rsidRPr="00A96A82">
        <w:rPr>
          <w:rFonts w:cstheme="minorHAnsi"/>
          <w:color w:val="000000"/>
        </w:rPr>
        <w:t xml:space="preserve">; </w:t>
      </w:r>
    </w:p>
    <w:p w14:paraId="0F78923D" w14:textId="3D49E0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 z przeznaczeniem na pokrycie wydatków kwalifikowalnych, który nie zostanie beneficjentowi przekazany w formie dofinansowania;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lastRenderedPageBreak/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185AD8B2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 (Dz. U. z 2022 r. poz. </w:t>
      </w:r>
      <w:r w:rsidR="00EA239D" w:rsidRPr="00A96A82">
        <w:rPr>
          <w:rFonts w:cstheme="minorHAnsi"/>
        </w:rPr>
        <w:t>2055</w:t>
      </w:r>
      <w:r w:rsidRPr="00A96A82">
        <w:rPr>
          <w:rFonts w:cstheme="minorHAnsi"/>
        </w:rPr>
        <w:t xml:space="preserve">),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lastRenderedPageBreak/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73CEA791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27DD4E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zmiany okoliczności prawnych lub faktycznych beneficjent /partner projektu/partner prywatny na wezwanie IZ FE SL zobowiązany jest przedstawić uaktualnione </w:t>
      </w:r>
      <w:r w:rsidRPr="00A96A82">
        <w:rPr>
          <w:rFonts w:asciiTheme="minorHAnsi" w:hAnsiTheme="minorHAnsi" w:cstheme="minorHAnsi"/>
          <w:sz w:val="22"/>
          <w:szCs w:val="22"/>
        </w:rPr>
        <w:lastRenderedPageBreak/>
        <w:t>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8908AC0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38479D">
        <w:rPr>
          <w:rFonts w:cstheme="minorHAnsi"/>
        </w:rPr>
        <w:t>/CST2021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4990DB68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A96A82">
        <w:rPr>
          <w:rFonts w:cstheme="minorHAnsi"/>
        </w:rPr>
        <w:t>grudnia</w:t>
      </w:r>
      <w:r w:rsidRPr="00A96A82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513F732B" w14:textId="3731CB64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Przez </w:t>
      </w:r>
      <w:r w:rsidR="005C60EB" w:rsidRPr="00A96A82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A96A82">
        <w:rPr>
          <w:rFonts w:cstheme="minorHAnsi"/>
        </w:rPr>
        <w:t xml:space="preserve">ku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 Przez termin złożenia wniosku rozumie się datę wpływu pisma przekazane</w:t>
      </w:r>
      <w:r w:rsidR="00C514A2" w:rsidRPr="00A96A82">
        <w:rPr>
          <w:rFonts w:cstheme="minorHAnsi"/>
        </w:rPr>
        <w:t xml:space="preserve">go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dokumenty potwierdzające odbiór dostaw/usług/robót budowlanych lub wykonanie prac. Dokument potwierdzający wykonanie dostaw/usług/robót budowlanych powinien wskazywać jakie elementy rozliczeniowe zostały wykonane. Powinien on zawierać </w:t>
      </w:r>
      <w:r w:rsidRPr="00A96A82">
        <w:rPr>
          <w:rFonts w:cstheme="minorHAnsi"/>
        </w:rPr>
        <w:lastRenderedPageBreak/>
        <w:t>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2F5EEA01" w14:textId="77777777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Po podpisaniu umowy beneficjent/partner projektu/partner prywatny/podmiot upoważniony do ponoszenia wydatków/podmiot realizujący projekt zobowiązany jest do ponoszenia wydatków z </w:t>
      </w:r>
      <w:r w:rsidRPr="00A96A82">
        <w:rPr>
          <w:rFonts w:cstheme="minorHAnsi"/>
        </w:rPr>
        <w:lastRenderedPageBreak/>
        <w:t>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6655885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75133A" w:rsidRPr="00A96A82">
        <w:rPr>
          <w:rFonts w:cstheme="minorHAnsi"/>
        </w:rPr>
        <w:t>21</w:t>
      </w:r>
      <w:r w:rsidRPr="00A96A82">
        <w:rPr>
          <w:rFonts w:cstheme="minorHAnsi"/>
        </w:rPr>
        <w:t xml:space="preserve"> 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</w:t>
      </w:r>
      <w:r w:rsidRPr="00A96A82">
        <w:rPr>
          <w:rFonts w:asciiTheme="minorHAnsi" w:hAnsiTheme="minorHAnsi" w:cstheme="minorHAnsi"/>
          <w:sz w:val="22"/>
          <w:szCs w:val="22"/>
        </w:rPr>
        <w:lastRenderedPageBreak/>
        <w:t>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75133A" w:rsidRPr="00A96A82">
        <w:rPr>
          <w:rFonts w:asciiTheme="minorHAnsi" w:hAnsiTheme="minorHAnsi" w:cstheme="minorHAnsi"/>
          <w:sz w:val="22"/>
          <w:szCs w:val="22"/>
        </w:rPr>
        <w:t>18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lastRenderedPageBreak/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77777777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17E152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>siedzibie IZ FE SL, w siedzibie beneficjenta oraz na 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31F729A9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Pr="00A96A82">
        <w:rPr>
          <w:rFonts w:cstheme="minorHAnsi"/>
          <w:color w:val="000000"/>
        </w:rPr>
        <w:t xml:space="preserve"> lub/oraz za pomocą systemu informatycznego CST2021.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2E9A085A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potwierdzonych za zgodność</w:t>
      </w:r>
      <w:r w:rsidR="1CB1AF66" w:rsidRPr="00A96A82">
        <w:rPr>
          <w:rFonts w:cstheme="minorHAnsi"/>
          <w:color w:val="000000"/>
          <w:spacing w:val="-1"/>
        </w:rPr>
        <w:t xml:space="preserve"> </w:t>
      </w:r>
      <w:r w:rsidRPr="00A96A82">
        <w:rPr>
          <w:rFonts w:cstheme="minorHAnsi"/>
          <w:color w:val="000000"/>
          <w:spacing w:val="-1"/>
        </w:rPr>
        <w:t>z oryginałem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31420A20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przedmiotem projektu na okres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 oraz 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 prawo do dysponowania nieruchomością na okres trwałości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>toczy się postępowanie karne lub karn</w:t>
      </w:r>
      <w:r w:rsidR="00D70DC2" w:rsidRPr="00A96A82">
        <w:rPr>
          <w:rFonts w:cstheme="minorHAnsi"/>
        </w:rPr>
        <w:t xml:space="preserve">o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77777777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Pr="00A96A82">
          <w:rPr>
            <w:rStyle w:val="Hipercze"/>
            <w:rFonts w:cstheme="minorHAnsi"/>
          </w:rPr>
          <w:t>funduszeue@slaskie.pl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Pr="00A96A82">
          <w:rPr>
            <w:rStyle w:val="Hipercze"/>
            <w:rFonts w:cstheme="minorHAnsi"/>
          </w:rPr>
          <w:t>EMPL-B5-UNIT@ec.europa.eu</w:t>
        </w:r>
      </w:hyperlink>
      <w:r w:rsidRPr="00A96A82">
        <w:rPr>
          <w:rFonts w:cstheme="minorHAnsi"/>
          <w:color w:val="1F497D"/>
        </w:rPr>
        <w:t>.</w:t>
      </w:r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A96A82">
          <w:rPr>
            <w:rStyle w:val="Hipercze"/>
            <w:rFonts w:cstheme="minorHAnsi"/>
          </w:rPr>
          <w:t>funduszeue@slaskie.pl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25FFF456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31AB2226" w14:textId="35776D12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A96A82">
        <w:rPr>
          <w:rFonts w:eastAsia="Arial" w:cstheme="minorHAnsi"/>
          <w:color w:val="FF0000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(</w:t>
      </w:r>
      <w:r w:rsidR="003856FD" w:rsidRPr="00A96A82">
        <w:rPr>
          <w:rFonts w:cstheme="minorHAnsi"/>
          <w:bCs/>
        </w:rPr>
        <w:t xml:space="preserve">tj. </w:t>
      </w:r>
      <w:r w:rsidRPr="00A96A82">
        <w:rPr>
          <w:rFonts w:cstheme="minorHAnsi"/>
          <w:bCs/>
        </w:rPr>
        <w:t>Dz.U. z 2019 r. poz. 1781)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3D3CDBE5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FD36C5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665B0AE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>paragrafie 8 ustęp 1</w:t>
      </w:r>
      <w:r w:rsidR="00CE7BDC" w:rsidRPr="00A96A82">
        <w:rPr>
          <w:rFonts w:cstheme="minorHAnsi"/>
        </w:rPr>
        <w:t>8</w:t>
      </w:r>
      <w:r w:rsidR="00467EF2" w:rsidRPr="00A96A82">
        <w:rPr>
          <w:rFonts w:cstheme="minorHAnsi"/>
        </w:rPr>
        <w:t xml:space="preserve"> 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A96A82">
        <w:rPr>
          <w:rFonts w:cstheme="minorHAnsi"/>
          <w:color w:val="000000"/>
        </w:rPr>
        <w:t>ePUAP</w:t>
      </w:r>
      <w:proofErr w:type="spellEnd"/>
      <w:r w:rsidR="002235BA" w:rsidRPr="00A96A82">
        <w:rPr>
          <w:rFonts w:cstheme="minorHAnsi"/>
          <w:color w:val="000000"/>
        </w:rPr>
        <w:t>/UMWSL/</w:t>
      </w:r>
      <w:proofErr w:type="spellStart"/>
      <w:r w:rsidR="002235BA" w:rsidRPr="00A96A82">
        <w:rPr>
          <w:rFonts w:cstheme="minorHAnsi"/>
          <w:color w:val="000000"/>
        </w:rPr>
        <w:t>SkrytkaESP</w:t>
      </w:r>
      <w:proofErr w:type="spellEnd"/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A96A82">
        <w:rPr>
          <w:rFonts w:cstheme="minorHAnsi"/>
          <w:color w:val="000000"/>
        </w:rPr>
        <w:t>22</w:t>
      </w:r>
      <w:r w:rsidRPr="00A96A82">
        <w:rPr>
          <w:rFonts w:cstheme="minorHAnsi"/>
          <w:color w:val="000000"/>
        </w:rPr>
        <w:t xml:space="preserve"> r. poz. </w:t>
      </w:r>
      <w:r w:rsidR="00E03696" w:rsidRPr="00A96A82">
        <w:rPr>
          <w:rFonts w:cstheme="minorHAnsi"/>
          <w:color w:val="000000"/>
        </w:rPr>
        <w:t>2000</w:t>
      </w:r>
      <w:r w:rsidRPr="00A96A82">
        <w:rPr>
          <w:rFonts w:cstheme="minorHAnsi"/>
          <w:color w:val="000000"/>
        </w:rPr>
        <w:t>).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00" w:firstRow="0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432B5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AE60B7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AE60B7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2C84C" w14:textId="77777777" w:rsidR="00ED3009" w:rsidRDefault="00ED3009" w:rsidP="00D2744B">
      <w:pPr>
        <w:spacing w:after="0" w:line="240" w:lineRule="auto"/>
      </w:pPr>
      <w:r>
        <w:separator/>
      </w:r>
    </w:p>
  </w:endnote>
  <w:endnote w:type="continuationSeparator" w:id="0">
    <w:p w14:paraId="76F4C635" w14:textId="77777777" w:rsidR="00ED3009" w:rsidRDefault="00ED3009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245B738B" w:rsidR="00004B20" w:rsidRDefault="00004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669">
          <w:rPr>
            <w:noProof/>
          </w:rPr>
          <w:t>33</w:t>
        </w:r>
        <w:r>
          <w:fldChar w:fldCharType="end"/>
        </w:r>
      </w:p>
    </w:sdtContent>
  </w:sdt>
  <w:p w14:paraId="5CD964DF" w14:textId="77777777" w:rsidR="00004B20" w:rsidRDefault="00004B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3DC9691E" w:rsidR="00004B20" w:rsidRPr="00A96A82" w:rsidRDefault="00004B20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87CF3" w14:textId="77777777" w:rsidR="00ED3009" w:rsidRDefault="00ED3009" w:rsidP="00D2744B">
      <w:pPr>
        <w:spacing w:after="0" w:line="240" w:lineRule="auto"/>
      </w:pPr>
      <w:r>
        <w:separator/>
      </w:r>
    </w:p>
  </w:footnote>
  <w:footnote w:type="continuationSeparator" w:id="0">
    <w:p w14:paraId="2AF79776" w14:textId="77777777" w:rsidR="00ED3009" w:rsidRDefault="00ED3009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004B20" w:rsidRPr="00A96A82" w:rsidRDefault="00004B20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004B20" w:rsidRPr="007A4708" w:rsidRDefault="00004B20" w:rsidP="00D2744B">
      <w:pPr>
        <w:pStyle w:val="Tekstprzypisudolnego"/>
        <w:rPr>
          <w:b/>
        </w:rPr>
      </w:pPr>
    </w:p>
  </w:footnote>
  <w:footnote w:id="2">
    <w:p w14:paraId="0A0674BB" w14:textId="77777777" w:rsidR="00004B20" w:rsidRPr="00531AAE" w:rsidRDefault="00004B20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004B20" w:rsidRPr="00A96A82" w:rsidRDefault="00004B20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004B20" w:rsidRPr="00A96A82" w:rsidRDefault="00004B20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004B20" w:rsidRPr="00EA43B3" w:rsidRDefault="00004B20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004B20" w:rsidRPr="00531AAE" w:rsidRDefault="00004B20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004B20" w:rsidRPr="007A4708" w:rsidRDefault="00004B20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004B20" w:rsidRDefault="00004B20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004B20" w:rsidRPr="0010313A" w:rsidRDefault="00004B20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004B20" w:rsidRDefault="00004B20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004B20" w:rsidRPr="007A4708" w:rsidRDefault="00004B20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48BB36B8" w:rsidR="00004B20" w:rsidRDefault="00004B20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>
        <w:rPr>
          <w:rFonts w:eastAsia="Times New Roman"/>
          <w:sz w:val="18"/>
          <w:szCs w:val="18"/>
        </w:rPr>
        <w:t xml:space="preserve"> z późn. zm.</w:t>
      </w:r>
      <w:r w:rsidRPr="00DD02CA">
        <w:rPr>
          <w:rFonts w:eastAsia="Times New Roman"/>
          <w:sz w:val="18"/>
          <w:szCs w:val="18"/>
        </w:rPr>
        <w:t>)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59AC0561" w14:textId="77777777" w:rsidR="00004B20" w:rsidRPr="0032427C" w:rsidRDefault="00004B2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004B20" w:rsidRPr="0032427C" w:rsidRDefault="00004B2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004B20" w:rsidRPr="0032427C" w:rsidRDefault="00004B20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004B20" w:rsidRDefault="00004B20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77777777" w:rsidR="00004B20" w:rsidRPr="007A4708" w:rsidRDefault="00004B20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02C228CF" w14:textId="77777777" w:rsidR="00004B20" w:rsidRDefault="00004B20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DA43270" w14:textId="12B0B93C" w:rsidR="00004B20" w:rsidRPr="00A96A82" w:rsidRDefault="00004B20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004B20" w:rsidRPr="009F0F3D" w:rsidRDefault="00004B2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 w:rsidR="00316E06">
        <w:rPr>
          <w:rFonts w:asciiTheme="minorHAnsi" w:hAnsiTheme="minorHAnsi" w:cstheme="minorHAnsi"/>
          <w:sz w:val="18"/>
          <w:szCs w:val="18"/>
        </w:rPr>
        <w:t xml:space="preserve"> </w:t>
      </w:r>
      <w:r w:rsidR="00EC41E5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004B20" w:rsidRPr="009F0F3D" w:rsidRDefault="00004B20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004B20" w:rsidRPr="009F0F3D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004B20" w:rsidRPr="009F0F3D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004B20" w:rsidRPr="00A96A82" w:rsidRDefault="00004B2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EC41E5"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20136EC7" w:rsidR="00004B20" w:rsidRPr="00A96A82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 (Dz.U. z 2022 r. poz. 2509).</w:t>
      </w:r>
    </w:p>
  </w:footnote>
  <w:footnote w:id="29">
    <w:p w14:paraId="7FDDA6CB" w14:textId="0ADECAB6" w:rsidR="00004B20" w:rsidRDefault="00004B20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004B20" w:rsidRPr="007A4708" w:rsidRDefault="00004B20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8CB"/>
    <w:rsid w:val="000355EA"/>
    <w:rsid w:val="00044FCC"/>
    <w:rsid w:val="00050E48"/>
    <w:rsid w:val="00051ABD"/>
    <w:rsid w:val="00057C45"/>
    <w:rsid w:val="0007097A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FB5"/>
    <w:rsid w:val="000B40A2"/>
    <w:rsid w:val="000B6EBE"/>
    <w:rsid w:val="000C462F"/>
    <w:rsid w:val="000C49C5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39A3"/>
    <w:rsid w:val="0029665E"/>
    <w:rsid w:val="002A2FAB"/>
    <w:rsid w:val="002B02D0"/>
    <w:rsid w:val="002B123E"/>
    <w:rsid w:val="002B694B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69BB"/>
    <w:rsid w:val="002F566C"/>
    <w:rsid w:val="00301AFA"/>
    <w:rsid w:val="00306DFF"/>
    <w:rsid w:val="0030713A"/>
    <w:rsid w:val="00316E06"/>
    <w:rsid w:val="00320A16"/>
    <w:rsid w:val="00323281"/>
    <w:rsid w:val="0032427C"/>
    <w:rsid w:val="00324AD5"/>
    <w:rsid w:val="003313BC"/>
    <w:rsid w:val="00333917"/>
    <w:rsid w:val="00342180"/>
    <w:rsid w:val="003426E0"/>
    <w:rsid w:val="00343BFD"/>
    <w:rsid w:val="00345940"/>
    <w:rsid w:val="003558EA"/>
    <w:rsid w:val="00366A45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7438"/>
    <w:rsid w:val="00401C9C"/>
    <w:rsid w:val="004103E3"/>
    <w:rsid w:val="0041494A"/>
    <w:rsid w:val="00415E79"/>
    <w:rsid w:val="0042699B"/>
    <w:rsid w:val="004312E0"/>
    <w:rsid w:val="004329B0"/>
    <w:rsid w:val="00432B07"/>
    <w:rsid w:val="00435B34"/>
    <w:rsid w:val="00446F99"/>
    <w:rsid w:val="00450AC9"/>
    <w:rsid w:val="00454F58"/>
    <w:rsid w:val="004609C5"/>
    <w:rsid w:val="0046335F"/>
    <w:rsid w:val="00467EF2"/>
    <w:rsid w:val="00480290"/>
    <w:rsid w:val="00483BB6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C60EB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C77BC"/>
    <w:rsid w:val="006D36EF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22177"/>
    <w:rsid w:val="00732640"/>
    <w:rsid w:val="00732B61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734B1"/>
    <w:rsid w:val="00877224"/>
    <w:rsid w:val="008832CB"/>
    <w:rsid w:val="00883CD1"/>
    <w:rsid w:val="00891561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93175"/>
    <w:rsid w:val="00994317"/>
    <w:rsid w:val="00997F02"/>
    <w:rsid w:val="009B1DA9"/>
    <w:rsid w:val="009B6DDB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5F68"/>
    <w:rsid w:val="00A614A0"/>
    <w:rsid w:val="00A614B2"/>
    <w:rsid w:val="00A646F9"/>
    <w:rsid w:val="00A64FEF"/>
    <w:rsid w:val="00A823CA"/>
    <w:rsid w:val="00A84AA1"/>
    <w:rsid w:val="00A90187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2057A"/>
    <w:rsid w:val="00B3760B"/>
    <w:rsid w:val="00B4035A"/>
    <w:rsid w:val="00B439D3"/>
    <w:rsid w:val="00B53BDF"/>
    <w:rsid w:val="00B5772B"/>
    <w:rsid w:val="00B80B22"/>
    <w:rsid w:val="00B8111A"/>
    <w:rsid w:val="00B909E0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44A89"/>
    <w:rsid w:val="00C45E06"/>
    <w:rsid w:val="00C514A2"/>
    <w:rsid w:val="00C56438"/>
    <w:rsid w:val="00C651A1"/>
    <w:rsid w:val="00C659AE"/>
    <w:rsid w:val="00C66182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B735E"/>
    <w:rsid w:val="00CC46BB"/>
    <w:rsid w:val="00CD0CC6"/>
    <w:rsid w:val="00CD1AE7"/>
    <w:rsid w:val="00CD1B23"/>
    <w:rsid w:val="00CD1ECC"/>
    <w:rsid w:val="00CD5CBB"/>
    <w:rsid w:val="00CD6454"/>
    <w:rsid w:val="00CE7BDC"/>
    <w:rsid w:val="00CF2001"/>
    <w:rsid w:val="00CF2043"/>
    <w:rsid w:val="00CF5669"/>
    <w:rsid w:val="00CF6FA8"/>
    <w:rsid w:val="00D006E9"/>
    <w:rsid w:val="00D032D3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7389"/>
    <w:rsid w:val="00DA1B8C"/>
    <w:rsid w:val="00DA7960"/>
    <w:rsid w:val="00DB3237"/>
    <w:rsid w:val="00DB3C50"/>
    <w:rsid w:val="00DC0FF2"/>
    <w:rsid w:val="00DC1E14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F012C"/>
    <w:rsid w:val="00DF6FF9"/>
    <w:rsid w:val="00E017A1"/>
    <w:rsid w:val="00E03696"/>
    <w:rsid w:val="00E04F73"/>
    <w:rsid w:val="00E1182C"/>
    <w:rsid w:val="00E12CF5"/>
    <w:rsid w:val="00E13EE4"/>
    <w:rsid w:val="00E15857"/>
    <w:rsid w:val="00E16025"/>
    <w:rsid w:val="00E25096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43B3"/>
    <w:rsid w:val="00EB1D13"/>
    <w:rsid w:val="00EB4D7D"/>
    <w:rsid w:val="00EB5B49"/>
    <w:rsid w:val="00EB6082"/>
    <w:rsid w:val="00EC41E5"/>
    <w:rsid w:val="00EC5140"/>
    <w:rsid w:val="00ED1ECA"/>
    <w:rsid w:val="00ED1FA7"/>
    <w:rsid w:val="00ED3009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470CF"/>
    <w:rsid w:val="00F56AE7"/>
    <w:rsid w:val="00F63A99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BA30E-07BA-4C5F-8519-D5B7435C8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05331-72CB-4A8B-A653-0BA5B527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13459</Words>
  <Characters>80759</Characters>
  <Application>Microsoft Office Word</Application>
  <DocSecurity>0</DocSecurity>
  <Lines>672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3</cp:revision>
  <cp:lastPrinted>2023-05-15T10:08:00Z</cp:lastPrinted>
  <dcterms:created xsi:type="dcterms:W3CDTF">2024-03-20T12:11:00Z</dcterms:created>
  <dcterms:modified xsi:type="dcterms:W3CDTF">2024-04-05T07:50:00Z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