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A2D58B3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3A79BBF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1</w:t>
      </w:r>
      <w:r w:rsidR="00467369">
        <w:rPr>
          <w:rFonts w:ascii="Tahoma" w:hAnsi="Tahoma" w:cs="Tahoma"/>
          <w:sz w:val="24"/>
        </w:rPr>
        <w:t>605</w:t>
      </w:r>
      <w:r w:rsidR="00DC4BB7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45BDA77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</w:t>
      </w:r>
      <w:r w:rsidR="00467369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1610</w:t>
      </w:r>
      <w:r w:rsidRPr="0023742D">
        <w:rPr>
          <w:rFonts w:ascii="Tahoma" w:hAnsi="Tahoma" w:cs="Tahoma"/>
          <w:sz w:val="24"/>
        </w:rPr>
        <w:t>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20FB3B86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0F93E5CF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</w:t>
      </w:r>
      <w:r w:rsidR="00467369">
        <w:rPr>
          <w:rFonts w:ascii="Tahoma" w:hAnsi="Tahoma" w:cs="Tahoma"/>
        </w:rPr>
        <w:t>4</w:t>
      </w:r>
      <w:r w:rsidR="002E0BD9">
        <w:rPr>
          <w:rFonts w:ascii="Tahoma" w:hAnsi="Tahoma" w:cs="Tahoma"/>
        </w:rPr>
        <w:t xml:space="preserve"> r.</w:t>
      </w:r>
      <w:r w:rsidR="00467369">
        <w:rPr>
          <w:rFonts w:ascii="Tahoma" w:hAnsi="Tahoma" w:cs="Tahoma"/>
        </w:rPr>
        <w:t>, poz. 422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7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6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9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9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51605" w14:textId="77777777" w:rsidR="004F25FB" w:rsidRDefault="004F25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9BD409F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F0F76" w14:textId="77777777" w:rsidR="004F25FB" w:rsidRDefault="004F25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30C07A04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bookmarkStart w:id="60" w:name="_GoBack"/>
    <w:bookmarkEnd w:id="60"/>
    <w:r w:rsidRPr="00D64C93">
      <w:rPr>
        <w:noProof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5FB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d47a4560-aee9-43e8-973f-2abd655c26a0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0B4B47-AF7A-42B5-B8E0-EF208A5E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48</Pages>
  <Words>14122</Words>
  <Characters>90729</Characters>
  <Application>Microsoft Office Word</Application>
  <DocSecurity>0</DocSecurity>
  <Lines>756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Kwietniewska Małgorzata</cp:lastModifiedBy>
  <cp:revision>17</cp:revision>
  <cp:lastPrinted>2023-04-13T12:23:00Z</cp:lastPrinted>
  <dcterms:created xsi:type="dcterms:W3CDTF">2024-01-16T12:31:00Z</dcterms:created>
  <dcterms:modified xsi:type="dcterms:W3CDTF">2024-08-20T10:12:00Z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