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CDBF5" w14:textId="37CEB3F6" w:rsidR="009B542B" w:rsidRPr="00B75C7C" w:rsidRDefault="009B542B" w:rsidP="009B542B">
      <w:pPr>
        <w:pStyle w:val="N1"/>
        <w:ind w:left="360" w:hanging="76"/>
        <w:rPr>
          <w:rFonts w:ascii="Arial" w:hAnsi="Arial" w:cs="Arial"/>
          <w:color w:val="auto"/>
        </w:rPr>
      </w:pPr>
      <w:r w:rsidRPr="00B75C7C">
        <w:rPr>
          <w:rFonts w:ascii="Arial" w:hAnsi="Arial" w:cs="Arial"/>
          <w:color w:val="auto"/>
        </w:rPr>
        <w:t>Wkład Unii w oparciu o stawki jednostkowe, kwoty ryczałtowe i stawki ryczałtowe</w:t>
      </w:r>
    </w:p>
    <w:p w14:paraId="6C293B02" w14:textId="77777777" w:rsidR="009B542B" w:rsidRPr="00B75C7C" w:rsidRDefault="009B542B" w:rsidP="009B542B">
      <w:pPr>
        <w:widowControl w:val="0"/>
        <w:autoSpaceDE w:val="0"/>
        <w:autoSpaceDN w:val="0"/>
        <w:spacing w:before="89" w:after="0" w:line="240" w:lineRule="auto"/>
        <w:ind w:right="3919"/>
        <w:rPr>
          <w:rFonts w:ascii="Arial" w:hAnsi="Arial" w:cs="Arial"/>
          <w:b/>
          <w:szCs w:val="24"/>
        </w:rPr>
      </w:pPr>
      <w:bookmarkStart w:id="0" w:name="_GoBack"/>
      <w:bookmarkEnd w:id="0"/>
    </w:p>
    <w:p w14:paraId="04C9AC6C" w14:textId="220350AC" w:rsidR="009B542B" w:rsidRPr="00B75C7C" w:rsidRDefault="000D1F19" w:rsidP="009B542B">
      <w:pPr>
        <w:pStyle w:val="N1"/>
        <w:ind w:left="360" w:firstLine="0"/>
        <w:rPr>
          <w:rFonts w:ascii="Arial" w:hAnsi="Arial" w:cs="Arial"/>
          <w:color w:val="auto"/>
        </w:rPr>
      </w:pPr>
      <w:r w:rsidRPr="00B75C7C">
        <w:rPr>
          <w:rFonts w:ascii="Arial" w:hAnsi="Arial" w:cs="Arial"/>
          <w:color w:val="auto"/>
        </w:rPr>
        <w:t xml:space="preserve">Metodyka rozliczania kosztów zarządzania i animacji w instrumencie RLKS (EFS+) </w:t>
      </w:r>
    </w:p>
    <w:p w14:paraId="59F25121" w14:textId="476FF569" w:rsidR="000D1F19" w:rsidRPr="00B75C7C" w:rsidRDefault="000D1F19" w:rsidP="0066485B">
      <w:pPr>
        <w:pStyle w:val="N1"/>
        <w:rPr>
          <w:rFonts w:ascii="Arial" w:hAnsi="Arial" w:cs="Arial"/>
          <w:color w:val="auto"/>
        </w:rPr>
      </w:pPr>
    </w:p>
    <w:p w14:paraId="2D2693FD" w14:textId="77777777" w:rsidR="000D1F19" w:rsidRPr="00B75C7C" w:rsidRDefault="000D1F19" w:rsidP="0066485B">
      <w:pPr>
        <w:pStyle w:val="N1"/>
        <w:rPr>
          <w:rFonts w:ascii="Arial" w:hAnsi="Arial" w:cs="Arial"/>
          <w:color w:val="auto"/>
        </w:rPr>
        <w:sectPr w:rsidR="000D1F19" w:rsidRPr="00B75C7C" w:rsidSect="00B75C7C"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47E865E7" w14:textId="77777777" w:rsidR="00066B18" w:rsidRPr="00B75C7C" w:rsidRDefault="00066B18" w:rsidP="00066B18">
      <w:pPr>
        <w:rPr>
          <w:rFonts w:ascii="Arial" w:hAnsi="Arial" w:cs="Arial"/>
          <w:b/>
          <w:lang w:val="en-GB"/>
        </w:rPr>
      </w:pPr>
      <w:r w:rsidRPr="00B75C7C">
        <w:rPr>
          <w:rFonts w:ascii="Arial" w:hAnsi="Arial" w:cs="Arial"/>
          <w:b/>
          <w:lang w:val="en-GB"/>
        </w:rPr>
        <w:t>A.</w:t>
      </w:r>
      <w:r w:rsidRPr="00B75C7C">
        <w:rPr>
          <w:rFonts w:ascii="Arial" w:hAnsi="Arial" w:cs="Arial"/>
          <w:b/>
          <w:lang w:val="en-GB"/>
        </w:rPr>
        <w:tab/>
        <w:t xml:space="preserve"> </w:t>
      </w:r>
      <w:r w:rsidRPr="00B75C7C">
        <w:rPr>
          <w:rFonts w:ascii="Arial" w:hAnsi="Arial" w:cs="Arial"/>
          <w:b/>
        </w:rPr>
        <w:t>Podsumowanie głównych elementów</w:t>
      </w: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45"/>
        <w:gridCol w:w="1668"/>
        <w:gridCol w:w="1133"/>
        <w:gridCol w:w="1419"/>
        <w:gridCol w:w="664"/>
        <w:gridCol w:w="1602"/>
        <w:gridCol w:w="631"/>
        <w:gridCol w:w="1494"/>
        <w:gridCol w:w="1277"/>
        <w:gridCol w:w="1419"/>
        <w:gridCol w:w="1984"/>
      </w:tblGrid>
      <w:tr w:rsidR="00066B18" w:rsidRPr="00B75C7C" w14:paraId="1802EB01" w14:textId="77777777" w:rsidTr="00066B18">
        <w:trPr>
          <w:trHeight w:val="3141"/>
          <w:jc w:val="center"/>
        </w:trPr>
        <w:tc>
          <w:tcPr>
            <w:tcW w:w="330" w:type="pct"/>
          </w:tcPr>
          <w:p w14:paraId="62CE36D8" w14:textId="751A3100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Priorytet</w:t>
            </w:r>
          </w:p>
        </w:tc>
        <w:tc>
          <w:tcPr>
            <w:tcW w:w="248" w:type="pct"/>
          </w:tcPr>
          <w:p w14:paraId="27C42523" w14:textId="770E27CF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Fundusz</w:t>
            </w:r>
          </w:p>
        </w:tc>
        <w:tc>
          <w:tcPr>
            <w:tcW w:w="555" w:type="pct"/>
          </w:tcPr>
          <w:p w14:paraId="3EA61729" w14:textId="08D6C710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Cel szczegółowy</w:t>
            </w:r>
          </w:p>
        </w:tc>
        <w:tc>
          <w:tcPr>
            <w:tcW w:w="377" w:type="pct"/>
          </w:tcPr>
          <w:p w14:paraId="2D289327" w14:textId="329F603E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Kategoria regionu</w:t>
            </w:r>
          </w:p>
        </w:tc>
        <w:tc>
          <w:tcPr>
            <w:tcW w:w="472" w:type="pct"/>
          </w:tcPr>
          <w:p w14:paraId="08A211F8" w14:textId="18559BB7" w:rsidR="00066B18" w:rsidRPr="00B75C7C" w:rsidRDefault="00066B18" w:rsidP="000140E7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Szacunkowy udział łącznej alokacji finansowej w ramach </w:t>
            </w:r>
            <w:r w:rsidR="000140E7" w:rsidRPr="00B75C7C">
              <w:rPr>
                <w:rFonts w:ascii="Arial" w:hAnsi="Arial" w:cs="Arial"/>
                <w:sz w:val="20"/>
                <w:szCs w:val="20"/>
              </w:rPr>
              <w:t>priorytetu</w:t>
            </w:r>
            <w:r w:rsidRPr="00B75C7C">
              <w:rPr>
                <w:rFonts w:ascii="Arial" w:hAnsi="Arial" w:cs="Arial"/>
                <w:sz w:val="20"/>
                <w:szCs w:val="20"/>
              </w:rPr>
              <w:t>, do którego stosowane będą uproszczone metody rozliczania kosztów (SCO), w %</w:t>
            </w:r>
          </w:p>
        </w:tc>
        <w:tc>
          <w:tcPr>
            <w:tcW w:w="754" w:type="pct"/>
            <w:gridSpan w:val="2"/>
          </w:tcPr>
          <w:p w14:paraId="46EB72CB" w14:textId="273C038A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Rodzaj(e) operacji objętej(-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>) finansowaniem</w:t>
            </w:r>
          </w:p>
        </w:tc>
        <w:tc>
          <w:tcPr>
            <w:tcW w:w="707" w:type="pct"/>
            <w:gridSpan w:val="2"/>
          </w:tcPr>
          <w:p w14:paraId="5ECAFA34" w14:textId="446096E1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Wskaźnik uruchamiający </w:t>
            </w:r>
            <w:r w:rsidR="00F14C45" w:rsidRPr="00B75C7C">
              <w:rPr>
                <w:rFonts w:ascii="Arial" w:hAnsi="Arial" w:cs="Arial"/>
                <w:sz w:val="20"/>
                <w:szCs w:val="20"/>
              </w:rPr>
              <w:t xml:space="preserve">rozliczenie </w:t>
            </w:r>
            <w:r w:rsidRPr="00B75C7C">
              <w:rPr>
                <w:rFonts w:ascii="Arial" w:hAnsi="Arial" w:cs="Arial"/>
                <w:sz w:val="20"/>
                <w:szCs w:val="20"/>
              </w:rPr>
              <w:t>kosztów</w:t>
            </w:r>
          </w:p>
        </w:tc>
        <w:tc>
          <w:tcPr>
            <w:tcW w:w="425" w:type="pct"/>
          </w:tcPr>
          <w:p w14:paraId="50CB2BC7" w14:textId="48891619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Jednostka miary wskaźnika uruchamiającego </w:t>
            </w:r>
            <w:r w:rsidR="00F14C45" w:rsidRPr="00B75C7C">
              <w:rPr>
                <w:rFonts w:ascii="Arial" w:hAnsi="Arial" w:cs="Arial"/>
                <w:sz w:val="20"/>
                <w:szCs w:val="20"/>
              </w:rPr>
              <w:t xml:space="preserve">rozliczenie </w:t>
            </w:r>
            <w:r w:rsidRPr="00B75C7C">
              <w:rPr>
                <w:rFonts w:ascii="Arial" w:hAnsi="Arial" w:cs="Arial"/>
                <w:sz w:val="20"/>
                <w:szCs w:val="20"/>
              </w:rPr>
              <w:t>kosztów</w:t>
            </w:r>
          </w:p>
        </w:tc>
        <w:tc>
          <w:tcPr>
            <w:tcW w:w="472" w:type="pct"/>
          </w:tcPr>
          <w:p w14:paraId="515B74A9" w14:textId="774C0890" w:rsidR="00997C9A" w:rsidRPr="00B75C7C" w:rsidRDefault="00066B18" w:rsidP="00997C9A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Rodzaj SCO (standardowe stawki jednostkowe, kwoty ryczałtowe lub stawki ryczałtowe)</w:t>
            </w:r>
          </w:p>
        </w:tc>
        <w:tc>
          <w:tcPr>
            <w:tcW w:w="660" w:type="pct"/>
          </w:tcPr>
          <w:p w14:paraId="0E1A0A1E" w14:textId="3AF16B22" w:rsidR="00997C9A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Kwota (w EUR) lub wartość procentowa (w przypadku stawek ryczałtowych) SCO</w:t>
            </w:r>
          </w:p>
        </w:tc>
      </w:tr>
      <w:tr w:rsidR="00066B18" w:rsidRPr="00B75C7C" w14:paraId="49926A28" w14:textId="77777777" w:rsidTr="00066B18">
        <w:trPr>
          <w:jc w:val="center"/>
        </w:trPr>
        <w:tc>
          <w:tcPr>
            <w:tcW w:w="330" w:type="pct"/>
          </w:tcPr>
          <w:p w14:paraId="42FE517E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" w:type="pct"/>
          </w:tcPr>
          <w:p w14:paraId="3189173B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</w:tcPr>
          <w:p w14:paraId="734CFEB5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" w:type="pct"/>
          </w:tcPr>
          <w:p w14:paraId="6BD46282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2" w:type="pct"/>
          </w:tcPr>
          <w:p w14:paraId="4DD3FFB3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1" w:type="pct"/>
          </w:tcPr>
          <w:p w14:paraId="59055436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Kod</w:t>
            </w:r>
            <w:r w:rsidRPr="00B75C7C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533" w:type="pct"/>
          </w:tcPr>
          <w:p w14:paraId="3C7C81D2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210" w:type="pct"/>
          </w:tcPr>
          <w:p w14:paraId="0F8D25D7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Kod</w:t>
            </w:r>
            <w:r w:rsidRPr="00B75C7C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497" w:type="pct"/>
          </w:tcPr>
          <w:p w14:paraId="34F166B3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425" w:type="pct"/>
          </w:tcPr>
          <w:p w14:paraId="2BFDA058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2" w:type="pct"/>
          </w:tcPr>
          <w:p w14:paraId="3BFD161A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0" w:type="pct"/>
          </w:tcPr>
          <w:p w14:paraId="7745BDE1" w14:textId="77777777" w:rsidR="00066B18" w:rsidRPr="00B75C7C" w:rsidRDefault="00066B18" w:rsidP="00066B1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6B18" w:rsidRPr="00B75C7C" w14:paraId="62DCAF9B" w14:textId="77777777" w:rsidTr="006558A1">
        <w:trPr>
          <w:jc w:val="center"/>
        </w:trPr>
        <w:tc>
          <w:tcPr>
            <w:tcW w:w="330" w:type="pct"/>
          </w:tcPr>
          <w:p w14:paraId="4E7189D3" w14:textId="77777777" w:rsidR="00C40110" w:rsidRPr="00B75C7C" w:rsidRDefault="00634198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/>
                <w:bCs/>
                <w:sz w:val="20"/>
                <w:szCs w:val="20"/>
              </w:rPr>
              <w:t>VI</w:t>
            </w:r>
            <w:r w:rsidR="00C40110" w:rsidRPr="00B75C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  <w:p w14:paraId="36944319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4B068C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F80477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29A5E4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1A980A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37658C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A0B341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828FA9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63225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63B211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DA72F1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12F201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64231B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4A6327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A672BA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B76E80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86A5FD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EF4616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D874CE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BE4A42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157D80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156ACE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44C44F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D3D250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87A6D1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159188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EC75CF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0CBB30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9E89EE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1C309C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AAC76C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CA6DDC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66FB45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3EDDEC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6BD5A9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9FD6C9" w14:textId="77777777" w:rsidR="00C40110" w:rsidRPr="00B75C7C" w:rsidRDefault="00C40110" w:rsidP="00F03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FF5F78" w14:textId="6630DD1F" w:rsidR="00066B18" w:rsidRPr="00B75C7C" w:rsidRDefault="00C40110" w:rsidP="00F03CC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b/>
                <w:bCs/>
                <w:sz w:val="20"/>
                <w:szCs w:val="20"/>
              </w:rPr>
              <w:t>VII</w:t>
            </w:r>
          </w:p>
        </w:tc>
        <w:tc>
          <w:tcPr>
            <w:tcW w:w="248" w:type="pct"/>
          </w:tcPr>
          <w:p w14:paraId="2FFE3764" w14:textId="77777777" w:rsidR="00066B18" w:rsidRPr="00B75C7C" w:rsidRDefault="00F03CC3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EFS+</w:t>
            </w:r>
          </w:p>
          <w:p w14:paraId="469FC507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</w:tcPr>
          <w:p w14:paraId="52342AC5" w14:textId="2486158C" w:rsidR="00CE600B" w:rsidRPr="00B75C7C" w:rsidRDefault="00634198" w:rsidP="0063419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f) Wspieranie równego dostępu do dobrej jakości, włączającego kształcenia i szkolenia oraz </w:t>
            </w: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 (EFS+)</w:t>
            </w:r>
          </w:p>
          <w:p w14:paraId="1852EE03" w14:textId="13B4FF08" w:rsidR="00C40110" w:rsidRPr="00B75C7C" w:rsidRDefault="00634198" w:rsidP="0063419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g) Wspieranie uczenia się przez całe życie, w szczególności elastycznych możliwości podnoszenia i </w:t>
            </w: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zmiany kwalifikacji dla wszystkich, z uwzględnieniem umiejętności w zakresie przedsiębiorczości i kompetencji cyfrowych, lepsze przewidywanie zmian i zapotrzebowania na nowe umiejętności na podstawie potrzeb rynku pracy, ułatwianie zmian ścieżki kariery zawodowej i wspieranie mobilności zawodowej (EFS+)</w:t>
            </w:r>
          </w:p>
          <w:p w14:paraId="7A56853E" w14:textId="04D820AF" w:rsidR="00C40110" w:rsidRPr="00B75C7C" w:rsidRDefault="00C40110" w:rsidP="00C40110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l) Promowanie integracji społecznej osób zagrożonych ubóstwem lub wykluczeniem społecznym, w tym osób </w:t>
            </w: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najbardziej</w:t>
            </w:r>
            <w:r w:rsidR="004C2FB6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potrzebujących i dzieci (EFS+)</w:t>
            </w:r>
          </w:p>
        </w:tc>
        <w:tc>
          <w:tcPr>
            <w:tcW w:w="377" w:type="pct"/>
          </w:tcPr>
          <w:p w14:paraId="64428459" w14:textId="26DB3BCA" w:rsidR="00066B18" w:rsidRPr="00B75C7C" w:rsidRDefault="0063419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Słabiej rozwinięte</w:t>
            </w:r>
          </w:p>
          <w:p w14:paraId="66DC28AA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pct"/>
          </w:tcPr>
          <w:p w14:paraId="5CE2BA4F" w14:textId="77777777" w:rsidR="00066B18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0,87</w:t>
            </w:r>
            <w:r w:rsidR="004C4C8F" w:rsidRPr="00B75C7C">
              <w:rPr>
                <w:rFonts w:ascii="Arial" w:hAnsi="Arial" w:cs="Arial"/>
                <w:sz w:val="20"/>
                <w:szCs w:val="20"/>
              </w:rPr>
              <w:t>%</w:t>
            </w:r>
            <w:r w:rsidRPr="00B75C7C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6D96EE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E929BB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48C0C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AB179F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8038BE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6971DF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BEBB8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0DBEE0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C06192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8D5070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D2A44C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B9ACA2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564AB2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0ED25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F4F46C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393AF4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79884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CCF00A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6FF13E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9DACE6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DC19CC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876E31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5F498B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EC148B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1E944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E596F8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F000CA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661448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273E09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BF0D5A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5F133A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10037A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6C0587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47A100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52DF72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D37EAA" w14:textId="77777777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10F5E6" w14:textId="7A1955E2" w:rsidR="00E21859" w:rsidRPr="00B75C7C" w:rsidRDefault="00E21859" w:rsidP="0063419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0,47%</w:t>
            </w:r>
          </w:p>
        </w:tc>
        <w:tc>
          <w:tcPr>
            <w:tcW w:w="221" w:type="pct"/>
          </w:tcPr>
          <w:p w14:paraId="36FF9A5E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149</w:t>
            </w:r>
            <w:r w:rsidRPr="00B75C7C">
              <w:rPr>
                <w:rFonts w:ascii="Arial" w:hAnsi="Arial" w:cs="Arial"/>
                <w:sz w:val="20"/>
                <w:szCs w:val="20"/>
              </w:rPr>
              <w:br/>
            </w:r>
          </w:p>
          <w:p w14:paraId="46DBF7D9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E18A25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663C55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4499D0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343C29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92F979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CC2443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6F081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2687D0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FAC321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11DEE0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038A9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FE9A5D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B7F33C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07B63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C9CD9" w14:textId="4ECECFCF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7F646" w14:textId="77777777" w:rsidR="00F449AB" w:rsidRPr="00B75C7C" w:rsidRDefault="00F449AB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A19B0" w14:textId="77777777" w:rsidR="00F449AB" w:rsidRPr="00B75C7C" w:rsidRDefault="00F449AB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0BFAEF" w14:textId="77C4E74B" w:rsidR="003E2147" w:rsidRPr="00B75C7C" w:rsidRDefault="00E37481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151</w:t>
            </w:r>
          </w:p>
          <w:p w14:paraId="1D976B51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CE1B09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AA7F1C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C73A0C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025F5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92B54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0755F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745DBE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42EB28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AADD5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24EF70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8A1628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7DD6E7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8DF0E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4D3222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98D2C6" w14:textId="7777777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0471" w14:textId="74872313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B640DC" w14:textId="5D17CF87" w:rsidR="003E2147" w:rsidRPr="00B75C7C" w:rsidRDefault="003E2147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533" w:type="pct"/>
          </w:tcPr>
          <w:p w14:paraId="2E3EB572" w14:textId="77777777" w:rsidR="00066B18" w:rsidRPr="00B75C7C" w:rsidRDefault="00F03CC3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Zarządzanie strategią, jej monitorowanie i ewaluacja oraz jej animowanie.</w:t>
            </w:r>
          </w:p>
          <w:p w14:paraId="26708EA3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636101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37AC56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2D268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0F9588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E21A99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6D0F59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4E4B7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23099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D177D8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42BC68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77D8F9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084C8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18727F" w14:textId="77777777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03DBA" w14:textId="0CEDBBAB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A1CA19" w14:textId="77777777" w:rsidR="00F449AB" w:rsidRPr="00B75C7C" w:rsidRDefault="00F449AB" w:rsidP="00066B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B8C49" w14:textId="5BC9B7EC" w:rsidR="00B22A27" w:rsidRPr="00B75C7C" w:rsidRDefault="00B22A27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Wsparcie na rzecz edukacji dorosłych (z wyłączeniem infrastruktury)</w:t>
            </w:r>
          </w:p>
          <w:p w14:paraId="7D5E6FF6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74939E0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CBCC9AA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E389BFF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8911CDA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0444676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086BFA6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88D0DB9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28B99A0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4F30C10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53AEF93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C824E7F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3D602A7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D078370" w14:textId="77777777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AE31C9F" w14:textId="340B7F41" w:rsidR="00B22A27" w:rsidRPr="00B75C7C" w:rsidRDefault="00B22A27" w:rsidP="00066B1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Promowanie integracji społecznej osób zagrożonych ubóstwem lub wykluczeniem społecznym, w tym osób najbardziej potrzebujących i dzieci</w:t>
            </w:r>
          </w:p>
        </w:tc>
        <w:tc>
          <w:tcPr>
            <w:tcW w:w="210" w:type="pct"/>
          </w:tcPr>
          <w:p w14:paraId="75CE04C2" w14:textId="41F4444F" w:rsidR="00066B18" w:rsidRPr="00B75C7C" w:rsidRDefault="00E24A3F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Nie ma zastosowania</w:t>
            </w:r>
          </w:p>
        </w:tc>
        <w:tc>
          <w:tcPr>
            <w:tcW w:w="497" w:type="pct"/>
          </w:tcPr>
          <w:p w14:paraId="0C5CEBD8" w14:textId="31278BAD" w:rsidR="00066B18" w:rsidRPr="00B75C7C" w:rsidRDefault="004910BD" w:rsidP="00FB7FA7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Wartość wydatków kwalifikowalnych poniesionych na realizację grantów w </w:t>
            </w: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ramach Działania 6.5 Wsparcie edukacyjne społeczności objętych LSR</w:t>
            </w:r>
          </w:p>
          <w:p w14:paraId="2D1E32FC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981E52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7AA471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BAE324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7FA8BB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C0C0A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C50B11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8F1862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C7ADAE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47DE9D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D1A59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304644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C3D77" w14:textId="024CD683" w:rsidR="00CE600B" w:rsidRPr="00B75C7C" w:rsidRDefault="004910BD" w:rsidP="00FB7FA7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Wartość wydatków kwalifikowalnych poniesionych na realizację grantów w ramach </w:t>
            </w: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 xml:space="preserve">Działania 6.7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Upskilling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pathways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– RLKS  </w:t>
            </w:r>
            <w:r w:rsidR="00CE600B" w:rsidRPr="00B75C7C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3652E9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9099B6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058E76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BB553C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F15960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9CF3C6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BC4BA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1735C4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231810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984E50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EED6DE" w14:textId="77777777" w:rsidR="00CE600B" w:rsidRPr="00B75C7C" w:rsidRDefault="00CE600B" w:rsidP="00FB7FA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97032" w14:textId="67CEE2EE" w:rsidR="00CE600B" w:rsidRPr="00B75C7C" w:rsidRDefault="004910BD" w:rsidP="00CE600B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Wartość wydatków kwalifikowalnych poniesionych na realizację grantów w ramach Działania 7.10. Wsparcie </w:t>
            </w: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społeczności objętych LSR</w:t>
            </w:r>
          </w:p>
        </w:tc>
        <w:tc>
          <w:tcPr>
            <w:tcW w:w="425" w:type="pct"/>
          </w:tcPr>
          <w:p w14:paraId="487239C1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 xml:space="preserve">PLN </w:t>
            </w:r>
          </w:p>
          <w:p w14:paraId="611E8A3C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2" w:type="pct"/>
          </w:tcPr>
          <w:p w14:paraId="6BAA19ED" w14:textId="77777777" w:rsidR="00066B18" w:rsidRPr="00B75C7C" w:rsidRDefault="00DA6C87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Stawka</w:t>
            </w:r>
            <w:r w:rsidR="00066B18" w:rsidRPr="00B75C7C">
              <w:rPr>
                <w:rFonts w:ascii="Arial" w:hAnsi="Arial" w:cs="Arial"/>
                <w:sz w:val="20"/>
                <w:szCs w:val="20"/>
              </w:rPr>
              <w:t xml:space="preserve"> ryczałtowa </w:t>
            </w:r>
          </w:p>
        </w:tc>
        <w:tc>
          <w:tcPr>
            <w:tcW w:w="660" w:type="pct"/>
            <w:shd w:val="clear" w:color="auto" w:fill="auto"/>
          </w:tcPr>
          <w:p w14:paraId="77B19C25" w14:textId="552638CC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wiejską</w:t>
            </w:r>
            <w:r w:rsidR="002D476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do 39</w:t>
            </w:r>
            <w:r w:rsidR="00842A2B" w:rsidRPr="00B75C7C">
              <w:rPr>
                <w:rFonts w:ascii="Arial" w:hAnsi="Arial" w:cs="Arial"/>
                <w:sz w:val="20"/>
                <w:szCs w:val="20"/>
              </w:rPr>
              <w:t> </w:t>
            </w:r>
            <w:r w:rsidRPr="00B75C7C">
              <w:rPr>
                <w:rFonts w:ascii="Arial" w:hAnsi="Arial" w:cs="Arial"/>
                <w:sz w:val="20"/>
                <w:szCs w:val="20"/>
              </w:rPr>
              <w:t>999 mieszkańców</w:t>
            </w:r>
            <w:r w:rsidR="0048785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– 25%;</w:t>
            </w:r>
          </w:p>
          <w:p w14:paraId="73C02BCD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Dla obszaru objętego LSR zamieszkałego przez ludność wiejską od 40 000 do 49 999 mieszkańców  – 24,17%;</w:t>
            </w:r>
          </w:p>
          <w:p w14:paraId="2E5D5B20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wiejską od 50 000 do 59 999 mieszkańców – 23,57%;</w:t>
            </w:r>
          </w:p>
          <w:p w14:paraId="4E7D93A5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Dla obszaru objętego LSR zamieszkałego przez ludność wiejską od 60 000 do 69 999 mieszkańców – </w:t>
            </w:r>
            <w:r w:rsidR="003D6A9B" w:rsidRPr="00B75C7C">
              <w:rPr>
                <w:rFonts w:ascii="Arial" w:hAnsi="Arial" w:cs="Arial"/>
                <w:sz w:val="20"/>
                <w:szCs w:val="20"/>
              </w:rPr>
              <w:t>23,13</w:t>
            </w:r>
            <w:r w:rsidRPr="00B75C7C">
              <w:rPr>
                <w:rFonts w:ascii="Arial" w:hAnsi="Arial" w:cs="Arial"/>
                <w:sz w:val="20"/>
                <w:szCs w:val="20"/>
              </w:rPr>
              <w:t>%;</w:t>
            </w:r>
          </w:p>
          <w:p w14:paraId="4296038C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wiejską od  70 000 do 79 999 mieszkańców</w:t>
            </w:r>
            <w:r w:rsidR="0048785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– 22,78%;</w:t>
            </w:r>
          </w:p>
          <w:p w14:paraId="1012ED33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Dla obszaru objętego LSR zamieszkałego przez ludność wiejską od 80 000 do 89 999 mieszkańców</w:t>
            </w:r>
            <w:r w:rsidR="0048785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– 22,50%;</w:t>
            </w:r>
          </w:p>
          <w:p w14:paraId="4122811D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wiejską od 90 000 do 99 999 mieszkańców</w:t>
            </w:r>
            <w:r w:rsidR="0048785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– 22,27%;</w:t>
            </w:r>
          </w:p>
          <w:p w14:paraId="63C0093A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wiejską od  100 000 do 109 999 mieszkańców – 22,08%;</w:t>
            </w:r>
          </w:p>
          <w:p w14:paraId="592EF226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wiejską od  110 000 do 119 999 mieszkańców</w:t>
            </w:r>
            <w:r w:rsidR="0048785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– 20,38%;</w:t>
            </w:r>
          </w:p>
          <w:p w14:paraId="790C9436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Dla obszaru objętego LSR zamieszkałego przez ludność wiejską od  120 000 do 129 999 mieszkańców – 18,93%;</w:t>
            </w:r>
          </w:p>
          <w:p w14:paraId="729ED7D8" w14:textId="77777777" w:rsidR="00A55B23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wiejską od  130 000 do 139 999 mieszkańców</w:t>
            </w:r>
            <w:r w:rsidR="0048785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– 17,67%;</w:t>
            </w:r>
          </w:p>
          <w:p w14:paraId="7C2C09CE" w14:textId="73952CAD" w:rsidR="00842A2B" w:rsidRPr="00B75C7C" w:rsidRDefault="00A55B23" w:rsidP="00A55B23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Dla obszaru objętego LSR zamieszkałego przez ludność wiejsk</w:t>
            </w:r>
            <w:r w:rsidR="00AD7FB9" w:rsidRPr="00B75C7C">
              <w:rPr>
                <w:rFonts w:ascii="Arial" w:hAnsi="Arial" w:cs="Arial"/>
                <w:sz w:val="20"/>
                <w:szCs w:val="20"/>
              </w:rPr>
              <w:t xml:space="preserve">ą </w:t>
            </w:r>
            <w:r w:rsidRPr="00B75C7C">
              <w:rPr>
                <w:rFonts w:ascii="Arial" w:hAnsi="Arial" w:cs="Arial"/>
                <w:sz w:val="20"/>
                <w:szCs w:val="20"/>
              </w:rPr>
              <w:t>od  140 000 mieszkańców</w:t>
            </w:r>
            <w:r w:rsidR="0048785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– 16,56%</w:t>
            </w:r>
            <w:r w:rsidR="00842A2B" w:rsidRPr="00B75C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F9025E" w14:textId="7E0541BD" w:rsidR="00CB0332" w:rsidRPr="00B75C7C" w:rsidRDefault="00842A2B" w:rsidP="00337D3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* z uwzględnieniem przypadków wskazanych w art. 5 ust. 5 ustawy z dnia 20 lutego 2015 r. o rozwoju lokalnym z udziałem lokalnej społeczności ( tj. Dz. U. z 2022 r. poz. 943. ze zm.)</w:t>
            </w:r>
            <w:r w:rsidR="00337D38" w:rsidRPr="00B75C7C">
              <w:rPr>
                <w:rFonts w:ascii="Arial" w:hAnsi="Arial" w:cs="Arial"/>
              </w:rPr>
              <w:t xml:space="preserve"> </w:t>
            </w:r>
          </w:p>
        </w:tc>
      </w:tr>
    </w:tbl>
    <w:p w14:paraId="4749B6E2" w14:textId="77777777" w:rsidR="00066B18" w:rsidRPr="00B75C7C" w:rsidRDefault="00066B18" w:rsidP="00066B18">
      <w:pPr>
        <w:rPr>
          <w:rFonts w:ascii="Arial" w:hAnsi="Arial" w:cs="Arial"/>
        </w:rPr>
      </w:pPr>
    </w:p>
    <w:p w14:paraId="182CB4C0" w14:textId="5C0D619D" w:rsidR="00066B18" w:rsidRPr="00B75C7C" w:rsidRDefault="00066B18" w:rsidP="00066B18">
      <w:pPr>
        <w:rPr>
          <w:rFonts w:ascii="Arial" w:hAnsi="Arial" w:cs="Arial"/>
        </w:rPr>
        <w:sectPr w:rsidR="00066B18" w:rsidRPr="00B75C7C" w:rsidSect="009B542B">
          <w:footerReference w:type="default" r:id="rId14"/>
          <w:type w:val="continuous"/>
          <w:pgSz w:w="16838" w:h="11906" w:orient="landscape" w:code="9"/>
          <w:pgMar w:top="1134" w:right="1134" w:bottom="1134" w:left="1134" w:header="567" w:footer="567" w:gutter="0"/>
          <w:cols w:space="708"/>
          <w:docGrid w:linePitch="360"/>
        </w:sectPr>
      </w:pPr>
    </w:p>
    <w:p w14:paraId="061EFA01" w14:textId="77777777" w:rsidR="00066B18" w:rsidRPr="00B75C7C" w:rsidRDefault="00066B18" w:rsidP="00066B18">
      <w:pPr>
        <w:rPr>
          <w:rFonts w:ascii="Arial" w:hAnsi="Arial" w:cs="Arial"/>
          <w:b/>
        </w:rPr>
      </w:pPr>
      <w:r w:rsidRPr="00B75C7C">
        <w:rPr>
          <w:rFonts w:ascii="Arial" w:hAnsi="Arial" w:cs="Arial"/>
          <w:b/>
        </w:rPr>
        <w:lastRenderedPageBreak/>
        <w:t>B. Szczegółowe informacje według rodzaj</w:t>
      </w:r>
      <w:r w:rsidR="00ED5C4F" w:rsidRPr="00B75C7C">
        <w:rPr>
          <w:rFonts w:ascii="Arial" w:hAnsi="Arial" w:cs="Arial"/>
          <w:b/>
        </w:rPr>
        <w:t>u</w:t>
      </w:r>
      <w:r w:rsidRPr="00B75C7C">
        <w:rPr>
          <w:rFonts w:ascii="Arial" w:hAnsi="Arial" w:cs="Arial"/>
          <w:b/>
        </w:rPr>
        <w:t xml:space="preserve"> operacji (należy wypełnić dla każdego rodzaju operacji)</w:t>
      </w:r>
    </w:p>
    <w:p w14:paraId="6D699A14" w14:textId="77777777" w:rsidR="00066B18" w:rsidRPr="00B75C7C" w:rsidRDefault="00066B18" w:rsidP="00066B18">
      <w:pPr>
        <w:rPr>
          <w:rFonts w:ascii="Arial" w:hAnsi="Arial" w:cs="Arial"/>
          <w:lang w:val="en-GB"/>
        </w:rPr>
      </w:pPr>
      <w:r w:rsidRPr="00B75C7C">
        <w:rPr>
          <w:rFonts w:ascii="Arial" w:hAnsi="Arial" w:cs="Arial"/>
        </w:rPr>
        <w:t xml:space="preserve">Czy instytucja zarządzająca otrzymała wsparcie od firmy zewnętrznej w celu określenia poniższych kosztów uproszczonych? </w:t>
      </w:r>
      <w:proofErr w:type="spellStart"/>
      <w:r w:rsidRPr="00B75C7C">
        <w:rPr>
          <w:rFonts w:ascii="Arial" w:hAnsi="Arial" w:cs="Arial"/>
          <w:b/>
          <w:u w:val="single"/>
          <w:lang w:val="en-GB"/>
        </w:rPr>
        <w:t>Nie</w:t>
      </w:r>
      <w:proofErr w:type="spellEnd"/>
    </w:p>
    <w:tbl>
      <w:tblPr>
        <w:tblW w:w="15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7"/>
        <w:gridCol w:w="11658"/>
      </w:tblGrid>
      <w:tr w:rsidR="00066B18" w:rsidRPr="00B75C7C" w14:paraId="5CFE72B5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0748E76E" w14:textId="77777777" w:rsidR="00066B18" w:rsidRPr="00B75C7C" w:rsidRDefault="00066B18" w:rsidP="00066B1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t xml:space="preserve">1.1. </w:t>
            </w:r>
            <w:r w:rsidRPr="00B75C7C">
              <w:rPr>
                <w:rFonts w:ascii="Arial" w:hAnsi="Arial" w:cs="Arial"/>
                <w:sz w:val="20"/>
                <w:szCs w:val="20"/>
              </w:rPr>
              <w:t>Opis rodzaju operacji, w tym harmonogram wdrażania</w:t>
            </w:r>
          </w:p>
        </w:tc>
        <w:tc>
          <w:tcPr>
            <w:tcW w:w="11658" w:type="dxa"/>
            <w:vAlign w:val="center"/>
          </w:tcPr>
          <w:p w14:paraId="12E32BAC" w14:textId="175031EC" w:rsidR="001F3E5B" w:rsidRPr="00B75C7C" w:rsidRDefault="00B53B8C" w:rsidP="00AA0DAC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Wsparcie dla instrumentu rozwoju lokalnego kierowanego przez społeczność (RLKS) realizowane będzie przez 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lokalne grupy działania (</w:t>
            </w:r>
            <w:r w:rsidRPr="00B75C7C">
              <w:rPr>
                <w:rFonts w:ascii="Arial" w:hAnsi="Arial" w:cs="Arial"/>
                <w:sz w:val="20"/>
                <w:szCs w:val="20"/>
              </w:rPr>
              <w:t>LGD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)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, poprzez wdrażanie opracowanych na poziomie lokalnym strategii rozwoju (LSR), które spełniają wymogi wynikające z art. 32 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Rozporządzenia 2021/1060 z dnia 24 czerwca 2021 r. ustanawiającego wspólne przepisy (…) (</w:t>
            </w:r>
            <w:r w:rsidRPr="00B75C7C">
              <w:rPr>
                <w:rFonts w:ascii="Arial" w:hAnsi="Arial" w:cs="Arial"/>
                <w:sz w:val="20"/>
                <w:szCs w:val="20"/>
              </w:rPr>
              <w:t>rozporządzeni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e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ogólne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)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. Zadaniem RLKS będzie umożliwienie lokalnym społecznościom inicjowania i realizacji w sposób partycypacyjny działań rozwojowych odpowiadających na wyzwania społeczne, gospodarcze i środowiskowe danego obszaru, przyczynienie się do uzyskania </w:t>
            </w:r>
            <w:r w:rsidR="00ED5C4F" w:rsidRPr="00B75C7C">
              <w:rPr>
                <w:rFonts w:ascii="Arial" w:hAnsi="Arial" w:cs="Arial"/>
                <w:sz w:val="20"/>
                <w:szCs w:val="20"/>
              </w:rPr>
              <w:t>m.in.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trwalszych efektów, poczynionych wskutek współodpowiedzialnych działań lokalnych społeczności.</w:t>
            </w:r>
            <w:r w:rsidR="00816FD4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70D1" w:rsidRPr="00B75C7C">
              <w:rPr>
                <w:rFonts w:ascii="Arial" w:hAnsi="Arial" w:cs="Arial"/>
                <w:sz w:val="20"/>
                <w:szCs w:val="20"/>
              </w:rPr>
              <w:t>W województwie śląskim instrument RLKS będzie wdrażany dwufunduszowo (bez wskazania funduszu wiodącego). W ramach FE SL 2021-2027, ze środków Europejskiego Funduszu Społecznego P</w:t>
            </w:r>
            <w:r w:rsidR="005F6CEC" w:rsidRPr="00B75C7C">
              <w:rPr>
                <w:rFonts w:ascii="Arial" w:hAnsi="Arial" w:cs="Arial"/>
                <w:sz w:val="20"/>
                <w:szCs w:val="20"/>
              </w:rPr>
              <w:t>lus</w:t>
            </w:r>
            <w:r w:rsidR="007770D1" w:rsidRPr="00B75C7C">
              <w:rPr>
                <w:rFonts w:ascii="Arial" w:hAnsi="Arial" w:cs="Arial"/>
                <w:sz w:val="20"/>
                <w:szCs w:val="20"/>
              </w:rPr>
              <w:t xml:space="preserve"> w formule bezpośredniej (LGD re</w:t>
            </w:r>
            <w:r w:rsidR="00286387" w:rsidRPr="00B75C7C">
              <w:rPr>
                <w:rFonts w:ascii="Arial" w:hAnsi="Arial" w:cs="Arial"/>
                <w:sz w:val="20"/>
                <w:szCs w:val="20"/>
              </w:rPr>
              <w:t>alizują projekty grantowe</w:t>
            </w:r>
            <w:r w:rsidR="007770D1" w:rsidRPr="00B75C7C">
              <w:rPr>
                <w:rFonts w:ascii="Arial" w:hAnsi="Arial" w:cs="Arial"/>
                <w:sz w:val="20"/>
                <w:szCs w:val="20"/>
              </w:rPr>
              <w:t xml:space="preserve"> na działania wynikające z LSR) oraz ze środków Europejskiego Funduszu Rolnego na rzecz Rozwoju Obszarów Wiejskich</w:t>
            </w:r>
            <w:r w:rsidR="005F6CEC" w:rsidRPr="00B75C7C">
              <w:rPr>
                <w:rFonts w:ascii="Arial" w:hAnsi="Arial" w:cs="Arial"/>
                <w:sz w:val="20"/>
                <w:szCs w:val="20"/>
              </w:rPr>
              <w:t xml:space="preserve"> (PS WPR)</w:t>
            </w:r>
            <w:r w:rsidR="007770D1" w:rsidRPr="00B75C7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F6CEC" w:rsidRPr="00B75C7C">
              <w:rPr>
                <w:rFonts w:ascii="Arial" w:hAnsi="Arial" w:cs="Arial"/>
                <w:sz w:val="20"/>
                <w:szCs w:val="20"/>
              </w:rPr>
              <w:br/>
            </w:r>
            <w:r w:rsidR="007770D1" w:rsidRPr="00B75C7C">
              <w:rPr>
                <w:rFonts w:ascii="Arial" w:hAnsi="Arial" w:cs="Arial"/>
                <w:sz w:val="20"/>
                <w:szCs w:val="20"/>
              </w:rPr>
              <w:t>IZ oraz IP FE SL 2021-2027 zapewnia</w:t>
            </w:r>
            <w:r w:rsidR="005F6CEC" w:rsidRPr="00B75C7C">
              <w:rPr>
                <w:rFonts w:ascii="Arial" w:hAnsi="Arial" w:cs="Arial"/>
                <w:sz w:val="20"/>
                <w:szCs w:val="20"/>
              </w:rPr>
              <w:t>ją</w:t>
            </w:r>
            <w:r w:rsidR="007770D1" w:rsidRPr="00B75C7C">
              <w:rPr>
                <w:rFonts w:ascii="Arial" w:hAnsi="Arial" w:cs="Arial"/>
                <w:sz w:val="20"/>
                <w:szCs w:val="20"/>
              </w:rPr>
              <w:t>, że</w:t>
            </w:r>
            <w:r w:rsidR="005F6CEC" w:rsidRPr="00B75C7C">
              <w:rPr>
                <w:rFonts w:ascii="Arial" w:hAnsi="Arial" w:cs="Arial"/>
                <w:sz w:val="20"/>
                <w:szCs w:val="20"/>
              </w:rPr>
              <w:t xml:space="preserve"> w ramach realizowanych projektów z EFS+</w:t>
            </w:r>
            <w:r w:rsidR="007770D1" w:rsidRPr="00B75C7C">
              <w:rPr>
                <w:rFonts w:ascii="Arial" w:hAnsi="Arial" w:cs="Arial"/>
                <w:sz w:val="20"/>
                <w:szCs w:val="20"/>
              </w:rPr>
              <w:t xml:space="preserve"> nie będzie podwójnego finansowania środków.</w:t>
            </w:r>
          </w:p>
          <w:p w14:paraId="300F2E9E" w14:textId="35676432" w:rsidR="00250945" w:rsidRPr="00B75C7C" w:rsidRDefault="00B53B8C" w:rsidP="0082367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Zakres realizowanej operacji dotyczy 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 xml:space="preserve">koniecznego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wsparcia 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(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3CC3" w:rsidRPr="00B75C7C">
              <w:rPr>
                <w:rFonts w:ascii="Arial" w:hAnsi="Arial" w:cs="Arial"/>
                <w:sz w:val="20"/>
                <w:szCs w:val="20"/>
              </w:rPr>
              <w:t>EFS+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) LGD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w prawidł</w:t>
            </w:r>
            <w:r w:rsidR="00ED5C4F" w:rsidRPr="00B75C7C">
              <w:rPr>
                <w:rFonts w:ascii="Arial" w:hAnsi="Arial" w:cs="Arial"/>
                <w:sz w:val="20"/>
                <w:szCs w:val="20"/>
              </w:rPr>
              <w:t>owym i skutecznym wdrożeniu LSR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, które obejmuje elementy wskazane w art. 34</w:t>
            </w:r>
            <w:r w:rsidR="00823671" w:rsidRPr="00B75C7C">
              <w:rPr>
                <w:rFonts w:ascii="Arial" w:hAnsi="Arial" w:cs="Arial"/>
                <w:sz w:val="20"/>
                <w:szCs w:val="20"/>
              </w:rPr>
              <w:t xml:space="preserve"> ust. 1 lit. c) rozporządzenia ogólnego, </w:t>
            </w:r>
            <w:r w:rsidR="00F90996" w:rsidRPr="00B75C7C">
              <w:rPr>
                <w:rFonts w:ascii="Arial" w:hAnsi="Arial" w:cs="Arial"/>
                <w:sz w:val="20"/>
                <w:szCs w:val="20"/>
              </w:rPr>
              <w:t>tj.:</w:t>
            </w:r>
            <w:r w:rsidR="007110BC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zarządzanie strategią, jej monitorowanie i ewaluację oraz jej animowanie, w tym ułatwianie wymiany</w:t>
            </w:r>
            <w:r w:rsidR="00056B33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informacji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między zainteresowanymi stronami</w:t>
            </w:r>
            <w:r w:rsidR="00C22A2E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(dalej </w:t>
            </w:r>
            <w:proofErr w:type="spellStart"/>
            <w:r w:rsidR="00C22A2E" w:rsidRPr="00B75C7C">
              <w:rPr>
                <w:rFonts w:ascii="Arial" w:hAnsi="Arial" w:cs="Arial"/>
                <w:sz w:val="20"/>
                <w:szCs w:val="20"/>
                <w:lang w:eastAsia="pl-PL"/>
              </w:rPr>
              <w:t>KZiA</w:t>
            </w:r>
            <w:proofErr w:type="spellEnd"/>
            <w:r w:rsidR="00C22A2E" w:rsidRPr="00B75C7C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7110B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Przedmiotowe wsparcie nie przekroczy </w:t>
            </w:r>
            <w:r w:rsidR="00997C9A" w:rsidRPr="00B75C7C">
              <w:rPr>
                <w:rFonts w:ascii="Arial" w:hAnsi="Arial" w:cs="Arial"/>
                <w:sz w:val="20"/>
                <w:szCs w:val="20"/>
                <w:lang w:eastAsia="pl-PL"/>
              </w:rPr>
              <w:t>25 % całkowitego wkładu publicznego</w:t>
            </w:r>
            <w:r w:rsidR="00DA6C87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997C9A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rzecz </w:t>
            </w:r>
            <w:r w:rsidR="007110BC" w:rsidRPr="00B75C7C">
              <w:rPr>
                <w:rFonts w:ascii="Arial" w:hAnsi="Arial" w:cs="Arial"/>
                <w:sz w:val="20"/>
                <w:szCs w:val="20"/>
                <w:lang w:eastAsia="pl-PL"/>
              </w:rPr>
              <w:t>danej LSR</w:t>
            </w:r>
            <w:r w:rsidR="00DA6C87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A684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części wdrażanej w ramach </w:t>
            </w:r>
            <w:proofErr w:type="spellStart"/>
            <w:r w:rsidR="008A684C" w:rsidRPr="00B75C7C">
              <w:rPr>
                <w:rFonts w:ascii="Arial" w:hAnsi="Arial" w:cs="Arial"/>
                <w:sz w:val="20"/>
                <w:szCs w:val="20"/>
                <w:lang w:eastAsia="pl-PL"/>
              </w:rPr>
              <w:t>cs</w:t>
            </w:r>
            <w:proofErr w:type="spellEnd"/>
            <w:r w:rsidR="008A684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współfinansowanych z EFS</w:t>
            </w:r>
            <w:r w:rsidR="00A55B23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+ w ramach </w:t>
            </w:r>
            <w:r w:rsidR="00C2324D" w:rsidRPr="00B75C7C">
              <w:rPr>
                <w:rFonts w:ascii="Arial" w:hAnsi="Arial" w:cs="Arial"/>
                <w:sz w:val="20"/>
                <w:szCs w:val="20"/>
                <w:lang w:eastAsia="pl-PL"/>
              </w:rPr>
              <w:t>Priorytetu</w:t>
            </w:r>
            <w:r w:rsidR="00A55B23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AD7FB9" w:rsidRPr="00B75C7C">
              <w:rPr>
                <w:rFonts w:ascii="Arial" w:hAnsi="Arial" w:cs="Arial"/>
                <w:sz w:val="20"/>
                <w:szCs w:val="20"/>
                <w:lang w:eastAsia="pl-PL"/>
              </w:rPr>
              <w:t>6 i 7</w:t>
            </w:r>
            <w:r w:rsidR="00AA0D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(zgodnie z dokonanym szacowaniem będzie to</w:t>
            </w:r>
            <w:r w:rsidR="005F6CE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około</w:t>
            </w:r>
            <w:r w:rsidR="00AA0D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C4C8F" w:rsidRPr="00B75C7C">
              <w:rPr>
                <w:rFonts w:ascii="Arial" w:hAnsi="Arial" w:cs="Arial"/>
                <w:sz w:val="20"/>
                <w:szCs w:val="20"/>
                <w:lang w:eastAsia="pl-PL"/>
              </w:rPr>
              <w:t>21</w:t>
            </w:r>
            <w:r w:rsidR="00AA0DAC" w:rsidRPr="00B75C7C"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="004C4C8F" w:rsidRPr="00B75C7C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AA0DAC" w:rsidRPr="00B75C7C">
              <w:rPr>
                <w:rFonts w:ascii="Arial" w:hAnsi="Arial" w:cs="Arial"/>
                <w:sz w:val="20"/>
                <w:szCs w:val="20"/>
                <w:lang w:eastAsia="pl-PL"/>
              </w:rPr>
              <w:t>%)</w:t>
            </w:r>
            <w:r w:rsidR="00A55B23" w:rsidRPr="00B75C7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14:paraId="517C21AA" w14:textId="035CB633" w:rsidR="001C4A59" w:rsidRPr="00B75C7C" w:rsidRDefault="001C4A59" w:rsidP="0082367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Po zawarciu umowy ramowej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każda LGD składa</w:t>
            </w:r>
            <w:r w:rsidR="00AD7FB9" w:rsidRPr="00B75C7C">
              <w:rPr>
                <w:rFonts w:ascii="Arial" w:hAnsi="Arial" w:cs="Arial"/>
                <w:sz w:val="20"/>
                <w:szCs w:val="20"/>
                <w:lang w:eastAsia="pl-PL"/>
              </w:rPr>
              <w:t>ć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AD7FB9" w:rsidRPr="00B75C7C">
              <w:rPr>
                <w:rFonts w:ascii="Arial" w:hAnsi="Arial" w:cs="Arial"/>
                <w:sz w:val="20"/>
                <w:szCs w:val="20"/>
                <w:lang w:eastAsia="pl-PL"/>
              </w:rPr>
              <w:t>będzie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odrębne wnioski dot</w:t>
            </w:r>
            <w:r w:rsidR="00AD7FB9" w:rsidRPr="00B75C7C">
              <w:rPr>
                <w:rFonts w:ascii="Arial" w:hAnsi="Arial" w:cs="Arial"/>
                <w:sz w:val="20"/>
                <w:szCs w:val="20"/>
                <w:lang w:eastAsia="pl-PL"/>
              </w:rPr>
              <w:t>yczące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realizacji projektów grantowych na działa</w:t>
            </w:r>
            <w:r w:rsidR="005757B9" w:rsidRPr="00B75C7C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wynikając</w:t>
            </w:r>
            <w:r w:rsidR="005757B9" w:rsidRPr="00B75C7C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cs</w:t>
            </w:r>
            <w:proofErr w:type="spellEnd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EFS+ uwzględniających odpowiedni % na </w:t>
            </w:r>
            <w:proofErr w:type="spellStart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KZiA</w:t>
            </w:r>
            <w:proofErr w:type="spellEnd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ramach FE SL</w:t>
            </w:r>
            <w:r w:rsidR="00AE72CD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5F6CEC" w:rsidRPr="00B75C7C">
              <w:rPr>
                <w:rFonts w:ascii="Arial" w:hAnsi="Arial" w:cs="Arial"/>
                <w:sz w:val="20"/>
                <w:szCs w:val="20"/>
                <w:lang w:eastAsia="pl-PL"/>
              </w:rPr>
              <w:t>Projekty grantowe LGD, w zależności od zapisów Strategii, mogą być realizowane z FE SL 2021-2027 w ramach 3 celów szczegółowych, tj. celu f  (Działanie</w:t>
            </w:r>
            <w:r w:rsidR="0011586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6.5)</w:t>
            </w:r>
            <w:r w:rsidR="005F6CEC" w:rsidRPr="00B75C7C">
              <w:rPr>
                <w:rFonts w:ascii="Arial" w:hAnsi="Arial" w:cs="Arial"/>
                <w:sz w:val="20"/>
                <w:szCs w:val="20"/>
                <w:lang w:eastAsia="pl-PL"/>
              </w:rPr>
              <w:t>, celu g (Działanie 6.7) i celu l (Działanie 7.10)</w:t>
            </w:r>
            <w:r w:rsidR="00777AF0" w:rsidRPr="00B75C7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5F6CE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10AEB89" w14:textId="1DE7DC9B" w:rsidR="004C2FB6" w:rsidRPr="00B75C7C" w:rsidRDefault="004C2FB6" w:rsidP="003861F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Zgodnie z zatwierdzonym FE SL, w ramach instrumentu RLKS będą realizowane działania wynikające z lokalnych strategii w formule grantów udzielanych przez LGD (jako beneficjenta projektu grantowego) na realizację inicjatyw wynikających z LSR i zgłaszanych przez lokalną społeczność.</w:t>
            </w:r>
            <w:r w:rsidR="003861F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6F5F3B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LGD, w zależności od celu planowanych grantów na terenie swojej LSR, jest zobowiązana do złożenia projektu grantowego w ramach danego celu szczegółowego. Powyższe oznacza, że zgodnie z diagnozą wskazaną w LSR i zidentyfikowanymi interwencjami, LGD będą przedkładać do IZ FE SL i IP FE SL, jeden, dwa lub trzy odrębne wnioski na realizację projektów grantowych. </w:t>
            </w:r>
            <w:r w:rsidR="003861F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Realizacja projektów grantowych będzie odbywać się zgodnie z </w:t>
            </w:r>
            <w:r w:rsidR="003614B2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861F1" w:rsidRPr="00B75C7C">
              <w:rPr>
                <w:rFonts w:ascii="Arial" w:hAnsi="Arial" w:cs="Arial"/>
                <w:sz w:val="20"/>
                <w:szCs w:val="20"/>
                <w:lang w:eastAsia="pl-PL"/>
              </w:rPr>
              <w:t>art. 17</w:t>
            </w:r>
            <w:r w:rsidR="003861F1" w:rsidRPr="00B75C7C">
              <w:rPr>
                <w:rFonts w:ascii="Arial" w:hAnsi="Arial" w:cs="Arial"/>
              </w:rPr>
              <w:t xml:space="preserve"> </w:t>
            </w:r>
            <w:r w:rsidR="003861F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ustawy o rozwoju lokalnym z udziałem lokalnej społeczności. </w:t>
            </w:r>
            <w:r w:rsidR="003614B2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Wszystkie wdrażane inicjatywy, obok uwzględniania lokalnych </w:t>
            </w:r>
            <w:r w:rsidR="003614B2" w:rsidRPr="00B75C7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potrzeb, muszą być zgodne z celami szczegółowymi w ramach których będą realizowane i </w:t>
            </w:r>
            <w:r w:rsidR="00F13641" w:rsidRPr="00B75C7C">
              <w:rPr>
                <w:rFonts w:ascii="Arial" w:hAnsi="Arial" w:cs="Arial"/>
                <w:sz w:val="20"/>
                <w:szCs w:val="20"/>
                <w:lang w:eastAsia="pl-PL"/>
              </w:rPr>
              <w:t>wpisywać się w</w:t>
            </w:r>
            <w:r w:rsidR="003614B2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F1364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określone </w:t>
            </w:r>
            <w:r w:rsidR="003614B2" w:rsidRPr="00B75C7C">
              <w:rPr>
                <w:rFonts w:ascii="Arial" w:hAnsi="Arial" w:cs="Arial"/>
                <w:sz w:val="20"/>
                <w:szCs w:val="20"/>
                <w:lang w:eastAsia="pl-PL"/>
              </w:rPr>
              <w:t>założenia EFS+.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7638FFE" w14:textId="5841DA59" w:rsidR="008A1E5D" w:rsidRPr="00B75C7C" w:rsidRDefault="008A1E5D" w:rsidP="003861F1">
            <w:pPr>
              <w:rPr>
                <w:rFonts w:ascii="Arial" w:hAnsi="Arial" w:cs="Arial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Zasady realizacji projektów grantowych określa art. 17 ustawy o rozwoju lokalnym z udziałem lokalnej społeczności. Projekt grantowy to projekt, którego beneficjent przekazuje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grantobiorcom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środki finansowe projektu w formie grantów na realizację zadań służących osiągnięciu celu tego projektu. Projekt taki można więc realizować, jeżeli granty skierowane są do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>, którzy jednocześnie są uczestnikami projektu – odbiorcami wsparcia.</w:t>
            </w:r>
            <w:r w:rsidR="008371DE" w:rsidRPr="00B75C7C">
              <w:rPr>
                <w:rFonts w:ascii="Arial" w:hAnsi="Arial" w:cs="Arial"/>
                <w:sz w:val="20"/>
                <w:szCs w:val="20"/>
              </w:rPr>
              <w:t xml:space="preserve"> Wartość grantu przekazanego </w:t>
            </w:r>
            <w:proofErr w:type="spellStart"/>
            <w:r w:rsidR="008371DE" w:rsidRPr="00B75C7C">
              <w:rPr>
                <w:rFonts w:ascii="Arial" w:hAnsi="Arial" w:cs="Arial"/>
                <w:sz w:val="20"/>
                <w:szCs w:val="20"/>
              </w:rPr>
              <w:t>grantobiorcy</w:t>
            </w:r>
            <w:proofErr w:type="spellEnd"/>
            <w:r w:rsidR="008371DE" w:rsidRPr="00B75C7C">
              <w:rPr>
                <w:rFonts w:ascii="Arial" w:hAnsi="Arial" w:cs="Arial"/>
                <w:sz w:val="20"/>
                <w:szCs w:val="20"/>
              </w:rPr>
              <w:t xml:space="preserve"> nie może przekroczyć równowartości 200 tys. Euro (do przeliczenia wartości projektu stosuje się miesięczny obrachunkowy kurs wymiany waluty stosowany przez KE, aktualny na dzień ogłoszenia naboru przez beneficjenta).</w:t>
            </w:r>
          </w:p>
          <w:p w14:paraId="0ABD847D" w14:textId="6D2B6E52" w:rsidR="00D57B81" w:rsidRPr="00B75C7C" w:rsidRDefault="00AA0DAC" w:rsidP="00FF049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Wpływ na osiągniecie celów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 LGD, która to organizuje nabory wniosków 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dla </w:t>
            </w:r>
            <w:proofErr w:type="spellStart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="00FF0497" w:rsidRPr="00B75C7C">
              <w:rPr>
                <w:rFonts w:ascii="Arial" w:hAnsi="Arial" w:cs="Arial"/>
              </w:rPr>
              <w:t xml:space="preserve"> </w:t>
            </w:r>
            <w:r w:rsidR="00FF0497" w:rsidRPr="00B75C7C">
              <w:rPr>
                <w:rFonts w:ascii="Arial" w:hAnsi="Arial" w:cs="Arial"/>
                <w:sz w:val="20"/>
                <w:szCs w:val="20"/>
                <w:lang w:eastAsia="pl-PL"/>
              </w:rPr>
              <w:t>(zgodnie z art. 17 ustawy o RLKS będą to podmioty publiczne albo prywatne wybrane w drodze otwartego konkursu ogłoszonego przez LGD w ramach realizacji projektu grantowego)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dokonuje oceny zgodności tych wniosków z LSR oraz lokalnymi kryteriami wyboru operacji, 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zawiera z </w:t>
            </w:r>
            <w:proofErr w:type="spellStart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grantobiorcami</w:t>
            </w:r>
            <w:proofErr w:type="spellEnd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umowy o powierzenie grantu, rozlicza wydatki poniesione przez </w:t>
            </w:r>
            <w:proofErr w:type="spellStart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, monitoruje i kontroluje zada</w:t>
            </w:r>
            <w:r w:rsidR="00C76B3D" w:rsidRPr="00B75C7C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C76B3D" w:rsidRPr="00B75C7C">
              <w:rPr>
                <w:rFonts w:ascii="Arial" w:hAnsi="Arial" w:cs="Arial"/>
                <w:sz w:val="20"/>
                <w:szCs w:val="20"/>
                <w:lang w:eastAsia="pl-PL"/>
              </w:rPr>
              <w:t>realizowane</w:t>
            </w:r>
            <w:r w:rsidR="005757B9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przez </w:t>
            </w:r>
            <w:proofErr w:type="spellStart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grantobiorców</w:t>
            </w:r>
            <w:proofErr w:type="spellEnd"/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odzyskuje granty w przypadku ich wykorzystania niezgodnie z umową o powierzenie grantu.</w:t>
            </w:r>
            <w:r w:rsidR="00C971FB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D62DCE2" w14:textId="4AFAE985" w:rsidR="00D57B81" w:rsidRPr="00B75C7C" w:rsidRDefault="00AA0DAC" w:rsidP="0082367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Ponadto LGD zajmuje się świadczeniem doradztwa na rzecz beneficjentów oraz potencjalnych beneficjentów pomocy, a także prowadzeniem szeroko pojętych działań informacyjnych i aktywizujących lokalną społeczność. Zatem to od aktywności LGD oraz jakości świadczonego doradztwa i działań informacyjnych zależy postęp we wdrażaniu strategii, przekłada się to bowiem wprost na jakość składan</w:t>
            </w:r>
            <w:r w:rsidR="00377B10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ych </w:t>
            </w:r>
            <w:r w:rsidR="00D57B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i realizowanych w ramach FE SL grantów. </w:t>
            </w:r>
          </w:p>
          <w:p w14:paraId="666E4B44" w14:textId="156733C4" w:rsidR="00816FD4" w:rsidRPr="00B75C7C" w:rsidRDefault="00AA0DAC" w:rsidP="00532D3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Środki na </w:t>
            </w:r>
            <w:r w:rsidR="009D5897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dofinansowanie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C2FB6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dla LGD będą 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przekaz</w:t>
            </w:r>
            <w:r w:rsidR="004C2FB6" w:rsidRPr="00B75C7C">
              <w:rPr>
                <w:rFonts w:ascii="Arial" w:hAnsi="Arial" w:cs="Arial"/>
                <w:sz w:val="20"/>
                <w:szCs w:val="20"/>
                <w:lang w:eastAsia="pl-PL"/>
              </w:rPr>
              <w:t>ywane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C2FB6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przez </w:t>
            </w:r>
            <w:r w:rsidR="009D5897" w:rsidRPr="00B75C7C">
              <w:rPr>
                <w:rFonts w:ascii="Arial" w:hAnsi="Arial" w:cs="Arial"/>
                <w:sz w:val="20"/>
                <w:szCs w:val="20"/>
                <w:lang w:eastAsia="pl-PL"/>
              </w:rPr>
              <w:t>IZ F</w:t>
            </w:r>
            <w:r w:rsidR="004C2FB6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SL proporcjonalnie </w:t>
            </w:r>
            <w:r w:rsidR="00BC2F0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 wartości wydatków kwalifikowalnych przeznaczonych przez LGD na realizację </w:t>
            </w:r>
            <w:r w:rsidR="0078483C" w:rsidRPr="00B75C7C">
              <w:rPr>
                <w:rFonts w:ascii="Arial" w:hAnsi="Arial" w:cs="Arial"/>
                <w:sz w:val="20"/>
                <w:szCs w:val="20"/>
                <w:lang w:eastAsia="pl-PL"/>
              </w:rPr>
              <w:t>grantów</w:t>
            </w:r>
            <w:r w:rsidR="00BC2F0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 charakterze edukacyjnym</w:t>
            </w:r>
            <w:r w:rsidR="0078483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(cel f i cel g) </w:t>
            </w:r>
            <w:r w:rsidR="00BC2F0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lub integracyjnym</w:t>
            </w:r>
            <w:r w:rsidR="0078483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(cel l)</w:t>
            </w:r>
            <w:r w:rsidR="00BC2F0C" w:rsidRPr="00B75C7C">
              <w:rPr>
                <w:rFonts w:ascii="Arial" w:hAnsi="Arial" w:cs="Arial"/>
                <w:sz w:val="20"/>
                <w:szCs w:val="20"/>
                <w:lang w:eastAsia="pl-PL"/>
              </w:rPr>
              <w:t>, w ramach każdego projektu grantowego realizowanego w danym celu szczegółowym.  Łączna procentowa wartość wsparcia dla każdej z LGD nie będzie przekraczać wartości procentowej wynikającej z liczby ludności mieszkańców danej LSR oraz każdorazowo uzależniona będzie od wartości środków wynikających z</w:t>
            </w:r>
            <w:r w:rsidR="00EF1CFC" w:rsidRPr="00B75C7C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BC2F0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zrealizowanych inicjatyw</w:t>
            </w:r>
            <w:r w:rsidR="00397A0A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547B9" w:rsidRPr="00B75C7C">
              <w:rPr>
                <w:rFonts w:ascii="Arial" w:hAnsi="Arial" w:cs="Arial"/>
                <w:sz w:val="20"/>
                <w:szCs w:val="20"/>
                <w:lang w:eastAsia="pl-PL"/>
              </w:rPr>
              <w:t>(rozliczonych grantów)</w:t>
            </w:r>
            <w:r w:rsidR="00BC2F0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11935A5E" w14:textId="41A0C40A" w:rsidR="009F092D" w:rsidRPr="00B75C7C" w:rsidRDefault="009F092D" w:rsidP="009F092D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Zastosowany mechanizm jest zgodny z zasadami określonymi w art. 53 ust. 1 lit. d)</w:t>
            </w:r>
            <w:r w:rsidR="00B84A6D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rozporządzenia ogólnego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5759BE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Podstawę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ustalenia wysokości stawek stanowi art. 53 ust. 3 lit. a.</w:t>
            </w:r>
          </w:p>
        </w:tc>
      </w:tr>
      <w:tr w:rsidR="00066B18" w:rsidRPr="00B75C7C" w14:paraId="54215D98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28836A30" w14:textId="77777777" w:rsidR="00066B18" w:rsidRPr="00B75C7C" w:rsidRDefault="00066B18" w:rsidP="00066B1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1.2 </w:t>
            </w:r>
            <w:r w:rsidRPr="00B75C7C">
              <w:rPr>
                <w:rFonts w:ascii="Arial" w:hAnsi="Arial" w:cs="Arial"/>
                <w:sz w:val="20"/>
                <w:szCs w:val="20"/>
              </w:rPr>
              <w:t>Cel(e) szczegółowy(-e)</w:t>
            </w:r>
          </w:p>
        </w:tc>
        <w:tc>
          <w:tcPr>
            <w:tcW w:w="11658" w:type="dxa"/>
            <w:vAlign w:val="center"/>
          </w:tcPr>
          <w:p w14:paraId="3D1CB650" w14:textId="77777777" w:rsidR="004C2FB6" w:rsidRPr="00B75C7C" w:rsidRDefault="004C2FB6" w:rsidP="004C2FB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f) Wspieranie równego dostępu do dobrej jakości, włączającego kształcenia i szkolenia oraz możliwości ich ukończenia, w szczególności w odniesieniu do grup w niekorzystnej sytuacji, od wczesnej edukacji i opieki nad dzieckiem przez ogólne i </w:t>
            </w: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zawodowe kształcenie i szkolenie, po szkolnictwo wyższe, a także kształcenie i uczenie się dorosłych, w tym ułatwianie mobilności edukacyjnej dla wszystkich i dostępności dla osób z niepełnosprawnościami (EFS+)</w:t>
            </w:r>
          </w:p>
          <w:p w14:paraId="179219BE" w14:textId="1EAD104C" w:rsidR="004C2FB6" w:rsidRPr="00B75C7C" w:rsidRDefault="004C2FB6" w:rsidP="004C2FB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g) Wspieranie uczenia się przez całe życie, w szczególności elastycznych możliwości podnoszenia i zmiany kwalifikacji dla wszystkich, z uwzględnieniem umiejętności w zakresie przedsiębiorczości i kompetencji cyfrowych, lepsze przewidywanie zmian i zapotrzebowania na nowe umiejętności na podstawie potrzeb rynku pracy, ułatwianie zmian ścieżki kariery zawodowej i wspieranie mobilności zawodowej (EFS+)</w:t>
            </w:r>
          </w:p>
          <w:p w14:paraId="548D8482" w14:textId="5AF25B7F" w:rsidR="00066B18" w:rsidRPr="00B75C7C" w:rsidRDefault="004C2FB6" w:rsidP="004C2FB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l) Promowanie integracji społecznej osób zagrożonych ubóstwem lub wykluczeniem społecznym, w tym osób najbardziej potrzebujących i dzieci (EFS+)</w:t>
            </w:r>
          </w:p>
        </w:tc>
      </w:tr>
      <w:tr w:rsidR="00066B18" w:rsidRPr="00B75C7C" w14:paraId="2C7BA53A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1F107F6A" w14:textId="46F297AE" w:rsidR="00066B18" w:rsidRPr="00B75C7C" w:rsidRDefault="00066B18" w:rsidP="00F14C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1.3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Wskaźnik uruchamiający </w:t>
            </w:r>
            <w:r w:rsidR="00F14C45" w:rsidRPr="00B75C7C">
              <w:rPr>
                <w:rFonts w:ascii="Arial" w:hAnsi="Arial" w:cs="Arial"/>
                <w:sz w:val="20"/>
                <w:szCs w:val="20"/>
              </w:rPr>
              <w:t xml:space="preserve">rozliczenie </w:t>
            </w:r>
            <w:r w:rsidRPr="00B75C7C">
              <w:rPr>
                <w:rFonts w:ascii="Arial" w:hAnsi="Arial" w:cs="Arial"/>
                <w:sz w:val="20"/>
                <w:szCs w:val="20"/>
              </w:rPr>
              <w:t>kosztów</w:t>
            </w:r>
          </w:p>
        </w:tc>
        <w:tc>
          <w:tcPr>
            <w:tcW w:w="11658" w:type="dxa"/>
            <w:vAlign w:val="center"/>
          </w:tcPr>
          <w:p w14:paraId="1E9A4082" w14:textId="77777777" w:rsidR="0078483C" w:rsidRPr="00B75C7C" w:rsidRDefault="00ED0BF3" w:rsidP="00492EA4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Wskaźnik</w:t>
            </w:r>
            <w:r w:rsidR="000C12E5" w:rsidRPr="00B75C7C">
              <w:rPr>
                <w:rFonts w:ascii="Arial" w:hAnsi="Arial" w:cs="Arial"/>
                <w:sz w:val="20"/>
                <w:szCs w:val="20"/>
              </w:rPr>
              <w:t xml:space="preserve">i: </w:t>
            </w:r>
          </w:p>
          <w:p w14:paraId="43A87094" w14:textId="77777777" w:rsidR="0078483C" w:rsidRPr="00B75C7C" w:rsidRDefault="00492EA4" w:rsidP="001945C0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Wartość wydatków kwalifikowalnych poniesionych na realizację grantów w ramach Działania 6.5 Wsparcie edukacyjne społeczności objętych LSR, </w:t>
            </w:r>
          </w:p>
          <w:p w14:paraId="3063A105" w14:textId="77777777" w:rsidR="0078483C" w:rsidRPr="00B75C7C" w:rsidRDefault="00492EA4" w:rsidP="001945C0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Wartość wydatków kwalifikowalnych poniesionych na realizację grantów w ramach Działania 6.7 </w:t>
            </w:r>
            <w:proofErr w:type="spellStart"/>
            <w:r w:rsidR="0078483C" w:rsidRPr="00B75C7C">
              <w:rPr>
                <w:rFonts w:ascii="Arial" w:hAnsi="Arial" w:cs="Arial"/>
                <w:sz w:val="20"/>
                <w:szCs w:val="20"/>
              </w:rPr>
              <w:t>Upskilling</w:t>
            </w:r>
            <w:proofErr w:type="spellEnd"/>
            <w:r w:rsidR="0078483C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8483C" w:rsidRPr="00B75C7C">
              <w:rPr>
                <w:rFonts w:ascii="Arial" w:hAnsi="Arial" w:cs="Arial"/>
                <w:sz w:val="20"/>
                <w:szCs w:val="20"/>
              </w:rPr>
              <w:t>pathways</w:t>
            </w:r>
            <w:proofErr w:type="spellEnd"/>
            <w:r w:rsidR="0078483C" w:rsidRPr="00B75C7C">
              <w:rPr>
                <w:rFonts w:ascii="Arial" w:hAnsi="Arial" w:cs="Arial"/>
                <w:sz w:val="20"/>
                <w:szCs w:val="20"/>
              </w:rPr>
              <w:t xml:space="preserve"> – RLKS,</w:t>
            </w:r>
          </w:p>
          <w:p w14:paraId="0E150E14" w14:textId="77777777" w:rsidR="0078483C" w:rsidRPr="00B75C7C" w:rsidRDefault="00492EA4" w:rsidP="001945C0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Wartość wydatków kwalifikowalnych poniesionych na realizację grantów w ramach Działania 7.10. Wsp</w:t>
            </w:r>
            <w:r w:rsidR="0078483C" w:rsidRPr="00B75C7C">
              <w:rPr>
                <w:rFonts w:ascii="Arial" w:hAnsi="Arial" w:cs="Arial"/>
                <w:sz w:val="20"/>
                <w:szCs w:val="20"/>
              </w:rPr>
              <w:t>arcie społeczności objętych LSR</w:t>
            </w:r>
          </w:p>
          <w:p w14:paraId="1FE6A285" w14:textId="5A1AB9A0" w:rsidR="0061744F" w:rsidRPr="00B75C7C" w:rsidRDefault="00492EA4" w:rsidP="0078483C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odnoszą się bezpośrednio do wartości środków jaką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grantobiorcy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poniosą na realizację grantów</w:t>
            </w:r>
            <w:r w:rsidR="00CD05DD" w:rsidRPr="00B75C7C">
              <w:rPr>
                <w:rFonts w:ascii="Arial" w:hAnsi="Arial" w:cs="Arial"/>
                <w:sz w:val="20"/>
                <w:szCs w:val="20"/>
              </w:rPr>
              <w:t xml:space="preserve"> w danym celu szczegółowym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i od tej wartości wydatków kwalifikowalnych</w:t>
            </w:r>
            <w:r w:rsidR="0078483C" w:rsidRPr="00B75C7C">
              <w:rPr>
                <w:rFonts w:ascii="Arial" w:hAnsi="Arial" w:cs="Arial"/>
                <w:sz w:val="20"/>
                <w:szCs w:val="20"/>
              </w:rPr>
              <w:t xml:space="preserve"> naliczane będą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(zgodnie z odpowiednią stawką procentową) środki, które LGD będą przeznaczać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AF8208" w14:textId="3394615E" w:rsidR="0061744F" w:rsidRPr="00B75C7C" w:rsidRDefault="00ED0BF3" w:rsidP="000C12E5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Z</w:t>
            </w:r>
            <w:r w:rsidR="00CA0069" w:rsidRPr="00B75C7C">
              <w:rPr>
                <w:rFonts w:ascii="Arial" w:hAnsi="Arial" w:cs="Arial"/>
                <w:sz w:val="20"/>
                <w:szCs w:val="20"/>
              </w:rPr>
              <w:t>a weryfikację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wskaźnika uruchamiającego</w:t>
            </w:r>
            <w:r w:rsidR="00F14C45" w:rsidRPr="00B75C7C">
              <w:rPr>
                <w:rFonts w:ascii="Arial" w:hAnsi="Arial" w:cs="Arial"/>
                <w:sz w:val="20"/>
                <w:szCs w:val="20"/>
              </w:rPr>
              <w:t xml:space="preserve"> rozliczenie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kosztów odpowiedzialna będzie IZ FE</w:t>
            </w:r>
            <w:r w:rsidR="00271C8C" w:rsidRPr="00B75C7C">
              <w:rPr>
                <w:rFonts w:ascii="Arial" w:hAnsi="Arial" w:cs="Arial"/>
                <w:sz w:val="20"/>
                <w:szCs w:val="20"/>
              </w:rPr>
              <w:t xml:space="preserve"> SL</w:t>
            </w:r>
            <w:r w:rsidR="00CD05DD" w:rsidRPr="00B75C7C">
              <w:rPr>
                <w:rFonts w:ascii="Arial" w:hAnsi="Arial" w:cs="Arial"/>
                <w:sz w:val="20"/>
                <w:szCs w:val="20"/>
              </w:rPr>
              <w:t xml:space="preserve"> i IP FE SL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CC56812" w14:textId="5E681E60" w:rsidR="00491ADC" w:rsidRPr="00B75C7C" w:rsidRDefault="0061744F" w:rsidP="00491ADC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Po wyborze wniosku do dofinansowania przez IZ FE SL (w ramach celów f i l)  lub IP FE SL (w ramach celu g)  z LGD podpisywane będą umowy dotyczące realizacji projektu grantowego. Zgodnie z zapisami umowy o dofinansowanie – LGD otrzymają zaliczki (ujęte we wniosku o płatność zaliczkową) w określonej umowie wysokości, które będą przeznaczać na realizację projektów grantowych, w tym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. Zgodnie z Harmonogramem płatności, we wnioskach o płatność LGD będą wykazywały rozliczone granty, od wysokości których będą naliczane środki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>.</w:t>
            </w:r>
            <w:r w:rsidR="00491ADC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Na etapie końcowego rozliczenia, LGD będzie zobowiązana do zwrotu środków nierozliczonych lub uznanych za niekwalifikowalne, w tym środków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8DE06CF" w14:textId="7BDED5E9" w:rsidR="00B16CE1" w:rsidRPr="00B75C7C" w:rsidRDefault="002E2377" w:rsidP="00491ADC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Wskaźnik</w:t>
            </w:r>
            <w:r w:rsidR="00B16CE1" w:rsidRPr="00B75C7C">
              <w:rPr>
                <w:rFonts w:ascii="Arial" w:hAnsi="Arial" w:cs="Arial"/>
                <w:sz w:val="20"/>
                <w:szCs w:val="20"/>
              </w:rPr>
              <w:t>i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1ADC" w:rsidRPr="00B75C7C">
              <w:rPr>
                <w:rFonts w:ascii="Arial" w:hAnsi="Arial" w:cs="Arial"/>
                <w:sz w:val="20"/>
                <w:szCs w:val="20"/>
              </w:rPr>
              <w:t xml:space="preserve">uruchamiające stawkę ryczałtową </w:t>
            </w:r>
            <w:r w:rsidRPr="00B75C7C">
              <w:rPr>
                <w:rFonts w:ascii="Arial" w:hAnsi="Arial" w:cs="Arial"/>
                <w:sz w:val="20"/>
                <w:szCs w:val="20"/>
              </w:rPr>
              <w:t>został</w:t>
            </w:r>
            <w:r w:rsidR="00B16CE1" w:rsidRPr="00B75C7C">
              <w:rPr>
                <w:rFonts w:ascii="Arial" w:hAnsi="Arial" w:cs="Arial"/>
                <w:sz w:val="20"/>
                <w:szCs w:val="20"/>
              </w:rPr>
              <w:t>y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wybran</w:t>
            </w:r>
            <w:r w:rsidR="00B16CE1" w:rsidRPr="00B75C7C">
              <w:rPr>
                <w:rFonts w:ascii="Arial" w:hAnsi="Arial" w:cs="Arial"/>
                <w:sz w:val="20"/>
                <w:szCs w:val="20"/>
              </w:rPr>
              <w:t>e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jako </w:t>
            </w:r>
            <w:r w:rsidR="00B16CE1" w:rsidRPr="00B75C7C">
              <w:rPr>
                <w:rFonts w:ascii="Arial" w:hAnsi="Arial" w:cs="Arial"/>
                <w:sz w:val="20"/>
                <w:szCs w:val="20"/>
              </w:rPr>
              <w:t xml:space="preserve">adekwatne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dla pomiaru </w:t>
            </w:r>
            <w:r w:rsidR="00007F2D" w:rsidRPr="00B75C7C">
              <w:rPr>
                <w:rFonts w:ascii="Arial" w:hAnsi="Arial" w:cs="Arial"/>
                <w:sz w:val="20"/>
                <w:szCs w:val="20"/>
              </w:rPr>
              <w:t xml:space="preserve">trzech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celów </w:t>
            </w:r>
            <w:r w:rsidR="00CD05DD" w:rsidRPr="00B75C7C">
              <w:rPr>
                <w:rFonts w:ascii="Arial" w:hAnsi="Arial" w:cs="Arial"/>
                <w:sz w:val="20"/>
                <w:szCs w:val="20"/>
              </w:rPr>
              <w:t xml:space="preserve">projektów </w:t>
            </w:r>
            <w:r w:rsidR="00B16CE1" w:rsidRPr="00B75C7C">
              <w:rPr>
                <w:rFonts w:ascii="Arial" w:hAnsi="Arial" w:cs="Arial"/>
                <w:sz w:val="20"/>
                <w:szCs w:val="20"/>
              </w:rPr>
              <w:t xml:space="preserve">w ramach Priorytetu 6 i Priorytetu 7 oraz odnoszą się do zaplanowanych w SZOP wskaźników specyficznych, tj.: Liczby zrealizowanych </w:t>
            </w:r>
            <w:r w:rsidR="00B16CE1" w:rsidRPr="00B75C7C">
              <w:rPr>
                <w:rFonts w:ascii="Arial" w:hAnsi="Arial" w:cs="Arial"/>
                <w:sz w:val="20"/>
                <w:szCs w:val="20"/>
              </w:rPr>
              <w:lastRenderedPageBreak/>
              <w:t>inicjatyw lokalnych o charakterze edukacyjnym oraz Liczby zrealizowanych inicjatyw lokalnych o charakterze integracyjnym znajdujących się na liście LWK</w:t>
            </w:r>
            <w:r w:rsidR="0061744F" w:rsidRPr="00B75C7C">
              <w:rPr>
                <w:rFonts w:ascii="Arial" w:hAnsi="Arial" w:cs="Arial"/>
                <w:sz w:val="20"/>
                <w:szCs w:val="20"/>
              </w:rPr>
              <w:t xml:space="preserve"> dla województwa śląskiego. </w:t>
            </w:r>
          </w:p>
          <w:p w14:paraId="0EAD4FAF" w14:textId="754757E3" w:rsidR="003C4AE6" w:rsidRPr="00B75C7C" w:rsidRDefault="00D536A5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Jednocześnie należy zwrócić uwagę, że to</w:t>
            </w:r>
            <w:r w:rsidR="00BD4F4B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377" w:rsidRPr="00B75C7C">
              <w:rPr>
                <w:rFonts w:ascii="Arial" w:hAnsi="Arial" w:cs="Arial"/>
                <w:sz w:val="20"/>
                <w:szCs w:val="20"/>
              </w:rPr>
              <w:t>od aktywności LGD oraz jakości świadczonego doradztwa, działań informacyjnych oraz wyboru</w:t>
            </w:r>
            <w:r w:rsidR="0061744F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1744F" w:rsidRPr="00B75C7C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="0061744F" w:rsidRPr="00B75C7C">
              <w:rPr>
                <w:rFonts w:ascii="Arial" w:hAnsi="Arial" w:cs="Arial"/>
                <w:sz w:val="20"/>
                <w:szCs w:val="20"/>
              </w:rPr>
              <w:t xml:space="preserve">, którzy będą realizować określone inicjatywy lokalne </w:t>
            </w:r>
            <w:r w:rsidR="002E2377" w:rsidRPr="00B75C7C">
              <w:rPr>
                <w:rFonts w:ascii="Arial" w:hAnsi="Arial" w:cs="Arial"/>
                <w:sz w:val="20"/>
                <w:szCs w:val="20"/>
              </w:rPr>
              <w:t>zależy postęp we wdrażaniu strategii</w:t>
            </w:r>
            <w:r w:rsidRPr="00B75C7C">
              <w:rPr>
                <w:rFonts w:ascii="Arial" w:hAnsi="Arial" w:cs="Arial"/>
                <w:sz w:val="20"/>
                <w:szCs w:val="20"/>
              </w:rPr>
              <w:t>,</w:t>
            </w:r>
            <w:r w:rsidR="002E2377" w:rsidRPr="00B75C7C">
              <w:rPr>
                <w:rFonts w:ascii="Arial" w:hAnsi="Arial" w:cs="Arial"/>
                <w:sz w:val="20"/>
                <w:szCs w:val="20"/>
              </w:rPr>
              <w:t xml:space="preserve"> a tym samym wartość </w:t>
            </w:r>
            <w:r w:rsidR="00271C8C" w:rsidRPr="00B75C7C">
              <w:rPr>
                <w:rFonts w:ascii="Arial" w:hAnsi="Arial" w:cs="Arial"/>
                <w:sz w:val="20"/>
                <w:szCs w:val="20"/>
              </w:rPr>
              <w:t>projektów grantowych</w:t>
            </w:r>
            <w:r w:rsidR="002E2377" w:rsidRPr="00B75C7C">
              <w:rPr>
                <w:rFonts w:ascii="Arial" w:hAnsi="Arial" w:cs="Arial"/>
                <w:sz w:val="20"/>
                <w:szCs w:val="20"/>
              </w:rPr>
              <w:t xml:space="preserve"> w ramach </w:t>
            </w:r>
            <w:r w:rsidR="008F14CC" w:rsidRPr="00B75C7C">
              <w:rPr>
                <w:rFonts w:ascii="Arial" w:hAnsi="Arial" w:cs="Arial"/>
                <w:sz w:val="20"/>
                <w:szCs w:val="20"/>
              </w:rPr>
              <w:t>Priorytetu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="002E2377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68EE" w:rsidRPr="00B75C7C">
              <w:rPr>
                <w:rFonts w:ascii="Arial" w:hAnsi="Arial" w:cs="Arial"/>
                <w:sz w:val="20"/>
                <w:szCs w:val="20"/>
              </w:rPr>
              <w:t>i</w:t>
            </w:r>
            <w:r w:rsidR="00271C8C" w:rsidRPr="00B75C7C">
              <w:rPr>
                <w:rFonts w:ascii="Arial" w:hAnsi="Arial" w:cs="Arial"/>
                <w:sz w:val="20"/>
                <w:szCs w:val="20"/>
              </w:rPr>
              <w:t xml:space="preserve"> Priorytetu 7</w:t>
            </w:r>
            <w:r w:rsidR="002E2377" w:rsidRPr="00B75C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D6B21C" w14:textId="1C3FB542" w:rsidR="00ED0BF3" w:rsidRPr="00B75C7C" w:rsidRDefault="00260922" w:rsidP="0061744F">
            <w:pPr>
              <w:pStyle w:val="Tekstkomentarza"/>
              <w:rPr>
                <w:rFonts w:ascii="Arial" w:hAnsi="Arial" w:cs="Arial"/>
              </w:rPr>
            </w:pPr>
            <w:r w:rsidRPr="00B75C7C">
              <w:rPr>
                <w:rFonts w:ascii="Arial" w:hAnsi="Arial" w:cs="Arial"/>
              </w:rPr>
              <w:t>IZ FE</w:t>
            </w:r>
            <w:r w:rsidR="00271C8C" w:rsidRPr="00B75C7C">
              <w:rPr>
                <w:rFonts w:ascii="Arial" w:hAnsi="Arial" w:cs="Arial"/>
              </w:rPr>
              <w:t xml:space="preserve"> SL </w:t>
            </w:r>
            <w:r w:rsidR="0061744F" w:rsidRPr="00B75C7C">
              <w:rPr>
                <w:rFonts w:ascii="Arial" w:hAnsi="Arial" w:cs="Arial"/>
              </w:rPr>
              <w:t xml:space="preserve">i IP FE SL </w:t>
            </w:r>
            <w:r w:rsidRPr="00B75C7C">
              <w:rPr>
                <w:rFonts w:ascii="Arial" w:hAnsi="Arial" w:cs="Arial"/>
              </w:rPr>
              <w:t xml:space="preserve">będzie przekazywać </w:t>
            </w:r>
            <w:r w:rsidR="004545A0" w:rsidRPr="00B75C7C">
              <w:rPr>
                <w:rFonts w:ascii="Arial" w:hAnsi="Arial" w:cs="Arial"/>
              </w:rPr>
              <w:t xml:space="preserve">LGD </w:t>
            </w:r>
            <w:r w:rsidRPr="00B75C7C">
              <w:rPr>
                <w:rFonts w:ascii="Arial" w:hAnsi="Arial" w:cs="Arial"/>
              </w:rPr>
              <w:t>informacj</w:t>
            </w:r>
            <w:r w:rsidR="00377B10" w:rsidRPr="00B75C7C">
              <w:rPr>
                <w:rFonts w:ascii="Arial" w:hAnsi="Arial" w:cs="Arial"/>
              </w:rPr>
              <w:t>ę</w:t>
            </w:r>
            <w:r w:rsidRPr="00B75C7C">
              <w:rPr>
                <w:rFonts w:ascii="Arial" w:hAnsi="Arial" w:cs="Arial"/>
              </w:rPr>
              <w:t xml:space="preserve"> na temat </w:t>
            </w:r>
            <w:r w:rsidR="00377B10" w:rsidRPr="00B75C7C">
              <w:rPr>
                <w:rFonts w:ascii="Arial" w:hAnsi="Arial" w:cs="Arial"/>
              </w:rPr>
              <w:t>płatności</w:t>
            </w:r>
            <w:r w:rsidR="00BA5486" w:rsidRPr="00B75C7C">
              <w:rPr>
                <w:rFonts w:ascii="Arial" w:hAnsi="Arial" w:cs="Arial"/>
              </w:rPr>
              <w:t xml:space="preserve"> na rzecz beneficjentów</w:t>
            </w:r>
            <w:r w:rsidR="0061744F" w:rsidRPr="00B75C7C">
              <w:rPr>
                <w:rFonts w:ascii="Arial" w:hAnsi="Arial" w:cs="Arial"/>
              </w:rPr>
              <w:t xml:space="preserve">  </w:t>
            </w:r>
            <w:r w:rsidRPr="00B75C7C">
              <w:rPr>
                <w:rFonts w:ascii="Arial" w:hAnsi="Arial" w:cs="Arial"/>
              </w:rPr>
              <w:t>w trybie określonym w umowie o dofinansowanie projekt</w:t>
            </w:r>
            <w:r w:rsidR="00271C8C" w:rsidRPr="00B75C7C">
              <w:rPr>
                <w:rFonts w:ascii="Arial" w:hAnsi="Arial" w:cs="Arial"/>
              </w:rPr>
              <w:t>u</w:t>
            </w:r>
            <w:r w:rsidRPr="00B75C7C">
              <w:rPr>
                <w:rFonts w:ascii="Arial" w:hAnsi="Arial" w:cs="Arial"/>
              </w:rPr>
              <w:t>.</w:t>
            </w:r>
            <w:r w:rsidR="00BA5486" w:rsidRPr="00B75C7C">
              <w:rPr>
                <w:rFonts w:ascii="Arial" w:hAnsi="Arial" w:cs="Arial"/>
              </w:rPr>
              <w:t xml:space="preserve"> </w:t>
            </w:r>
          </w:p>
        </w:tc>
      </w:tr>
      <w:tr w:rsidR="00066B18" w:rsidRPr="00B75C7C" w14:paraId="207CF43E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1E7E7FBC" w14:textId="340FC685" w:rsidR="00066B18" w:rsidRPr="00B75C7C" w:rsidRDefault="00066B18" w:rsidP="00F14C4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1.4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Jednostka miary wskaźnika uruchamiającego </w:t>
            </w:r>
            <w:r w:rsidR="00F14C45" w:rsidRPr="00B75C7C">
              <w:rPr>
                <w:rFonts w:ascii="Arial" w:hAnsi="Arial" w:cs="Arial"/>
                <w:sz w:val="20"/>
                <w:szCs w:val="20"/>
              </w:rPr>
              <w:t xml:space="preserve">rozliczenie  </w:t>
            </w:r>
            <w:r w:rsidRPr="00B75C7C">
              <w:rPr>
                <w:rFonts w:ascii="Arial" w:hAnsi="Arial" w:cs="Arial"/>
                <w:sz w:val="20"/>
                <w:szCs w:val="20"/>
              </w:rPr>
              <w:t>kosztów</w:t>
            </w:r>
          </w:p>
        </w:tc>
        <w:tc>
          <w:tcPr>
            <w:tcW w:w="11658" w:type="dxa"/>
            <w:vAlign w:val="center"/>
          </w:tcPr>
          <w:p w14:paraId="75F704B8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  <w:tr w:rsidR="00066B18" w:rsidRPr="00B75C7C" w14:paraId="49311C17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74B2A97D" w14:textId="77777777" w:rsidR="00066B18" w:rsidRPr="00B75C7C" w:rsidRDefault="00066B18" w:rsidP="00066B1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t xml:space="preserve">1.5 </w:t>
            </w:r>
            <w:r w:rsidRPr="00B75C7C">
              <w:rPr>
                <w:rFonts w:ascii="Arial" w:hAnsi="Arial" w:cs="Arial"/>
                <w:sz w:val="20"/>
                <w:szCs w:val="20"/>
              </w:rPr>
              <w:t>Standardowa stawka jednostkowa, kwota ryczałtowa lub stawka ryczałtowa</w:t>
            </w:r>
          </w:p>
        </w:tc>
        <w:tc>
          <w:tcPr>
            <w:tcW w:w="11658" w:type="dxa"/>
            <w:vAlign w:val="center"/>
          </w:tcPr>
          <w:p w14:paraId="051D1EBE" w14:textId="77777777" w:rsidR="00066B18" w:rsidRPr="00B75C7C" w:rsidRDefault="00066B18" w:rsidP="00997C9A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Stawka ryczałtowa </w:t>
            </w:r>
          </w:p>
        </w:tc>
      </w:tr>
      <w:tr w:rsidR="00066B18" w:rsidRPr="00B75C7C" w14:paraId="4908A01F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7C0F799D" w14:textId="77777777" w:rsidR="00066B18" w:rsidRPr="00B75C7C" w:rsidRDefault="00066B18" w:rsidP="00066B1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t xml:space="preserve">1.6 </w:t>
            </w:r>
            <w:r w:rsidRPr="00B75C7C">
              <w:rPr>
                <w:rFonts w:ascii="Arial" w:hAnsi="Arial" w:cs="Arial"/>
                <w:sz w:val="20"/>
                <w:szCs w:val="20"/>
              </w:rPr>
              <w:t>Kwota na każdą jednostkę miary lub wartość procentowa (w przypadku stawek ryczałtowych) SCO</w:t>
            </w:r>
          </w:p>
        </w:tc>
        <w:tc>
          <w:tcPr>
            <w:tcW w:w="11658" w:type="dxa"/>
            <w:vAlign w:val="center"/>
          </w:tcPr>
          <w:p w14:paraId="78B98560" w14:textId="00C8D675" w:rsidR="00823671" w:rsidRPr="00B75C7C" w:rsidRDefault="00823671" w:rsidP="008236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Pomoc </w:t>
            </w:r>
            <w:proofErr w:type="spellStart"/>
            <w:r w:rsidR="00DA6C87"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="00DA6C87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>ma formę</w:t>
            </w:r>
            <w:r w:rsidR="000C66A9" w:rsidRPr="00B75C7C">
              <w:rPr>
                <w:rFonts w:ascii="Arial" w:hAnsi="Arial" w:cs="Arial"/>
                <w:sz w:val="20"/>
                <w:szCs w:val="20"/>
              </w:rPr>
              <w:t xml:space="preserve"> finansowania w oparciu o stawkę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ryczałtow</w:t>
            </w:r>
            <w:r w:rsidR="000C66A9" w:rsidRPr="00B75C7C">
              <w:rPr>
                <w:rFonts w:ascii="Arial" w:hAnsi="Arial" w:cs="Arial"/>
                <w:sz w:val="20"/>
                <w:szCs w:val="20"/>
              </w:rPr>
              <w:t>ą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obliczon</w:t>
            </w:r>
            <w:r w:rsidR="000C66A9" w:rsidRPr="00B75C7C">
              <w:rPr>
                <w:rFonts w:ascii="Arial" w:hAnsi="Arial" w:cs="Arial"/>
                <w:sz w:val="20"/>
                <w:szCs w:val="20"/>
              </w:rPr>
              <w:t>ą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przez zastosowanie wartości procentowej do wydatków na </w:t>
            </w:r>
            <w:r w:rsidR="00136ACE" w:rsidRPr="00B75C7C">
              <w:rPr>
                <w:rFonts w:ascii="Arial" w:hAnsi="Arial" w:cs="Arial"/>
                <w:sz w:val="20"/>
                <w:szCs w:val="20"/>
              </w:rPr>
              <w:t>wdrażanie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LSR</w:t>
            </w:r>
            <w:r w:rsidR="00491ADC" w:rsidRPr="00B75C7C">
              <w:rPr>
                <w:rFonts w:ascii="Arial" w:hAnsi="Arial" w:cs="Arial"/>
                <w:sz w:val="20"/>
                <w:szCs w:val="20"/>
              </w:rPr>
              <w:t xml:space="preserve"> w ramach projektu grantowego realizowanego w danym celu szczegółowym</w:t>
            </w:r>
            <w:r w:rsidRPr="00B75C7C">
              <w:rPr>
                <w:rFonts w:ascii="Arial" w:hAnsi="Arial" w:cs="Arial"/>
                <w:sz w:val="20"/>
                <w:szCs w:val="20"/>
              </w:rPr>
              <w:t>.</w:t>
            </w:r>
            <w:r w:rsidR="00BA5486" w:rsidRPr="00B75C7C">
              <w:rPr>
                <w:rFonts w:ascii="Arial" w:hAnsi="Arial" w:cs="Arial"/>
                <w:sz w:val="20"/>
                <w:szCs w:val="20"/>
              </w:rPr>
              <w:t xml:space="preserve"> Kwota ta stanowi iloczyn właściwej stawki ryczałtowej, zapisanej w umowie ramowej między IZ i LGD, a kwoty wynikającej z płatności </w:t>
            </w:r>
            <w:r w:rsidR="009D5897" w:rsidRPr="00B75C7C">
              <w:rPr>
                <w:rFonts w:ascii="Arial" w:hAnsi="Arial" w:cs="Arial"/>
                <w:sz w:val="20"/>
                <w:szCs w:val="20"/>
              </w:rPr>
              <w:t xml:space="preserve">dofinansowania </w:t>
            </w:r>
            <w:r w:rsidR="00BA5486" w:rsidRPr="00B75C7C">
              <w:rPr>
                <w:rFonts w:ascii="Arial" w:hAnsi="Arial" w:cs="Arial"/>
                <w:sz w:val="20"/>
                <w:szCs w:val="20"/>
              </w:rPr>
              <w:t>na rzecz beneficjentów projektów EFS+</w:t>
            </w:r>
            <w:r w:rsidR="007D3384" w:rsidRPr="00B75C7C">
              <w:rPr>
                <w:rFonts w:ascii="Arial" w:hAnsi="Arial" w:cs="Arial"/>
                <w:sz w:val="20"/>
                <w:szCs w:val="20"/>
              </w:rPr>
              <w:t xml:space="preserve"> dla danej LSR</w:t>
            </w:r>
            <w:r w:rsidR="00BA5486" w:rsidRPr="00B75C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3EB222" w14:textId="03E3DC0F" w:rsidR="0045499C" w:rsidRPr="00B75C7C" w:rsidRDefault="00823671" w:rsidP="0066748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Budżet na wdrażanie</w:t>
            </w:r>
            <w:r w:rsidR="00970919" w:rsidRPr="00B75C7C">
              <w:rPr>
                <w:rFonts w:ascii="Arial" w:hAnsi="Arial" w:cs="Arial"/>
                <w:sz w:val="20"/>
                <w:szCs w:val="20"/>
              </w:rPr>
              <w:t xml:space="preserve"> LSR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66A9" w:rsidRPr="00B75C7C">
              <w:rPr>
                <w:rFonts w:ascii="Arial" w:hAnsi="Arial" w:cs="Arial"/>
                <w:sz w:val="20"/>
                <w:szCs w:val="20"/>
              </w:rPr>
              <w:t xml:space="preserve">oraz </w:t>
            </w:r>
            <w:proofErr w:type="spellStart"/>
            <w:r w:rsidR="000C66A9"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="000C66A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jest zróżnicowany w zależności od liczby ludności objętej LSR. </w:t>
            </w:r>
            <w:r w:rsidR="0045499C" w:rsidRPr="00B75C7C">
              <w:rPr>
                <w:rFonts w:ascii="Arial" w:hAnsi="Arial" w:cs="Arial"/>
                <w:sz w:val="20"/>
                <w:szCs w:val="20"/>
              </w:rPr>
              <w:t>Przedziały liczby mieszkańców oraz procentowa stawka ryczałtowa są analogiczne jak przyjęte w ramach Programu Rozwoju Obszarów Wiejskich na lata 2014-2020</w:t>
            </w:r>
            <w:r w:rsidR="00271C8C" w:rsidRPr="00B75C7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5499C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447861" w14:textId="53195694" w:rsidR="00136ACE" w:rsidRPr="00B75C7C" w:rsidRDefault="00823671" w:rsidP="008236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 przypadku każdego funduszu finansującego LSR </w:t>
            </w:r>
            <w:r w:rsidR="00970919" w:rsidRPr="00B75C7C">
              <w:rPr>
                <w:rFonts w:ascii="Arial" w:hAnsi="Arial" w:cs="Arial"/>
                <w:sz w:val="20"/>
                <w:szCs w:val="20"/>
              </w:rPr>
              <w:t>(</w:t>
            </w:r>
            <w:r w:rsidR="006558A1" w:rsidRPr="00B75C7C">
              <w:rPr>
                <w:rFonts w:ascii="Arial" w:hAnsi="Arial" w:cs="Arial"/>
                <w:sz w:val="20"/>
                <w:szCs w:val="20"/>
              </w:rPr>
              <w:t>EFS</w:t>
            </w:r>
            <w:r w:rsidR="000C66A9" w:rsidRPr="00B75C7C">
              <w:rPr>
                <w:rFonts w:ascii="Arial" w:hAnsi="Arial" w:cs="Arial"/>
                <w:sz w:val="20"/>
                <w:szCs w:val="20"/>
              </w:rPr>
              <w:t>+</w:t>
            </w:r>
            <w:r w:rsidR="008D790F" w:rsidRPr="00B75C7C">
              <w:rPr>
                <w:rFonts w:ascii="Arial" w:hAnsi="Arial" w:cs="Arial"/>
                <w:sz w:val="20"/>
                <w:szCs w:val="20"/>
              </w:rPr>
              <w:t>,</w:t>
            </w:r>
            <w:r w:rsidR="006558A1" w:rsidRPr="00B75C7C">
              <w:rPr>
                <w:rFonts w:ascii="Arial" w:hAnsi="Arial" w:cs="Arial"/>
                <w:sz w:val="20"/>
                <w:szCs w:val="20"/>
              </w:rPr>
              <w:t xml:space="preserve"> EFR</w:t>
            </w:r>
            <w:r w:rsidR="00D93E88" w:rsidRPr="00B75C7C">
              <w:rPr>
                <w:rFonts w:ascii="Arial" w:hAnsi="Arial" w:cs="Arial"/>
                <w:sz w:val="20"/>
                <w:szCs w:val="20"/>
              </w:rPr>
              <w:t>R</w:t>
            </w:r>
            <w:r w:rsidR="006558A1" w:rsidRPr="00B75C7C">
              <w:rPr>
                <w:rFonts w:ascii="Arial" w:hAnsi="Arial" w:cs="Arial"/>
                <w:sz w:val="20"/>
                <w:szCs w:val="20"/>
              </w:rPr>
              <w:t xml:space="preserve">OW)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komponent na </w:t>
            </w:r>
            <w:proofErr w:type="spellStart"/>
            <w:r w:rsidR="000C66A9"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="000C66A9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ustalony jest proporcjonalnie do udziału danego funduszu we wdrażaniu strategii, dlatego zastosowanie stawek </w:t>
            </w:r>
            <w:r w:rsidR="00E92557" w:rsidRPr="00B75C7C">
              <w:rPr>
                <w:rFonts w:ascii="Arial" w:hAnsi="Arial" w:cs="Arial"/>
                <w:sz w:val="20"/>
                <w:szCs w:val="20"/>
              </w:rPr>
              <w:t xml:space="preserve">ryczałtowych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nie stwarza ryzyka podwójnego finansowania </w:t>
            </w:r>
            <w:r w:rsidR="000C66A9" w:rsidRPr="00B75C7C">
              <w:rPr>
                <w:rFonts w:ascii="Arial" w:hAnsi="Arial" w:cs="Arial"/>
                <w:sz w:val="20"/>
                <w:szCs w:val="20"/>
              </w:rPr>
              <w:t>kosztów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DCAD34A" w14:textId="08A00660" w:rsidR="00136ACE" w:rsidRPr="00B75C7C" w:rsidRDefault="00136ACE" w:rsidP="006558A1">
            <w:pPr>
              <w:spacing w:after="1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Finansowanie mechanizmu RLKS ze środków </w:t>
            </w:r>
            <w:r w:rsidR="00F03CC3" w:rsidRPr="00B75C7C">
              <w:rPr>
                <w:rFonts w:ascii="Arial" w:hAnsi="Arial" w:cs="Arial"/>
                <w:sz w:val="20"/>
                <w:szCs w:val="20"/>
              </w:rPr>
              <w:t>EFS+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F03CC3" w:rsidRPr="00B75C7C">
              <w:rPr>
                <w:rFonts w:ascii="Arial" w:hAnsi="Arial" w:cs="Arial"/>
                <w:sz w:val="20"/>
                <w:szCs w:val="20"/>
              </w:rPr>
              <w:t xml:space="preserve">aplanowane zostało na poziomie </w:t>
            </w:r>
            <w:r w:rsidR="00271C8C" w:rsidRPr="00B75C7C">
              <w:rPr>
                <w:rFonts w:ascii="Arial" w:hAnsi="Arial" w:cs="Arial"/>
                <w:sz w:val="20"/>
                <w:szCs w:val="20"/>
              </w:rPr>
              <w:t>16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000 000 EUR</w:t>
            </w:r>
            <w:r w:rsidR="00AC3B6A" w:rsidRPr="00B75C7C">
              <w:rPr>
                <w:rFonts w:ascii="Arial" w:hAnsi="Arial" w:cs="Arial"/>
                <w:sz w:val="20"/>
                <w:szCs w:val="20"/>
              </w:rPr>
              <w:t xml:space="preserve"> (załącznik nr 2 – część H)</w:t>
            </w:r>
            <w:r w:rsidRPr="00B75C7C">
              <w:rPr>
                <w:rFonts w:ascii="Arial" w:hAnsi="Arial" w:cs="Arial"/>
                <w:sz w:val="20"/>
                <w:szCs w:val="20"/>
              </w:rPr>
              <w:t>.</w:t>
            </w:r>
          </w:p>
          <w:tbl>
            <w:tblPr>
              <w:tblW w:w="86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94"/>
              <w:gridCol w:w="1540"/>
              <w:gridCol w:w="1540"/>
              <w:gridCol w:w="1586"/>
            </w:tblGrid>
            <w:tr w:rsidR="00034C42" w:rsidRPr="00B75C7C" w14:paraId="6C88F9B6" w14:textId="77777777" w:rsidTr="00484ED4">
              <w:trPr>
                <w:trHeight w:val="1260"/>
              </w:trPr>
              <w:tc>
                <w:tcPr>
                  <w:tcW w:w="4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62FEF98" w14:textId="77777777" w:rsidR="00271C8C" w:rsidRPr="00B75C7C" w:rsidRDefault="00271C8C" w:rsidP="00271C8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Liczba ludności zamieszkała na</w:t>
                  </w:r>
                </w:p>
                <w:p w14:paraId="4807606D" w14:textId="77777777" w:rsidR="00271C8C" w:rsidRPr="00B75C7C" w:rsidRDefault="00271C8C" w:rsidP="00271C8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obszarze wiejskim objętym LSR z</w:t>
                  </w:r>
                </w:p>
                <w:p w14:paraId="5E0B1701" w14:textId="77777777" w:rsidR="00271C8C" w:rsidRPr="00B75C7C" w:rsidRDefault="00271C8C" w:rsidP="00271C8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wyłączeniem miejscowości</w:t>
                  </w:r>
                </w:p>
                <w:p w14:paraId="4918B2FC" w14:textId="6A7E604C" w:rsidR="00034C42" w:rsidRPr="00B75C7C" w:rsidRDefault="00271C8C" w:rsidP="00271C8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powyżej 20 tys. mieszkańców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125064B" w14:textId="4EA9E6EC" w:rsidR="00A87D38" w:rsidRPr="00B75C7C" w:rsidRDefault="00493A84" w:rsidP="00A87D3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="00A87D38" w:rsidRPr="00B75C7C">
                    <w:rPr>
                      <w:rFonts w:ascii="Arial" w:hAnsi="Arial" w:cs="Arial"/>
                      <w:sz w:val="20"/>
                      <w:szCs w:val="20"/>
                    </w:rPr>
                    <w:t>aksymalna kwota (w EUR) dostępna z</w:t>
                  </w:r>
                </w:p>
                <w:p w14:paraId="546F13B5" w14:textId="77777777" w:rsidR="00A87D38" w:rsidRPr="00B75C7C" w:rsidRDefault="00A87D38" w:rsidP="00A87D3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EFS+ dla LGD (wdrażanie + zarządzanie)</w:t>
                  </w:r>
                </w:p>
                <w:p w14:paraId="53973E18" w14:textId="4453E3E4" w:rsidR="00034C42" w:rsidRPr="00B75C7C" w:rsidRDefault="00A87D38" w:rsidP="00A87D3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[EUR]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C3602AC" w14:textId="6A450740" w:rsidR="00034C42" w:rsidRPr="00B75C7C" w:rsidRDefault="00493A84" w:rsidP="00157C2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Maksymalna k</w:t>
                  </w:r>
                  <w:r w:rsidR="00034C42" w:rsidRPr="00B75C7C">
                    <w:rPr>
                      <w:rFonts w:ascii="Arial" w:hAnsi="Arial" w:cs="Arial"/>
                      <w:sz w:val="20"/>
                      <w:szCs w:val="20"/>
                    </w:rPr>
                    <w:t xml:space="preserve">wota w LSR na </w:t>
                  </w:r>
                  <w:proofErr w:type="spellStart"/>
                  <w:r w:rsidR="000C66A9" w:rsidRPr="00B75C7C">
                    <w:rPr>
                      <w:rFonts w:ascii="Arial" w:hAnsi="Arial" w:cs="Arial"/>
                      <w:sz w:val="20"/>
                      <w:szCs w:val="20"/>
                    </w:rPr>
                    <w:t>KZiA</w:t>
                  </w:r>
                  <w:proofErr w:type="spellEnd"/>
                  <w:r w:rsidR="00034C42" w:rsidRPr="00B75C7C">
                    <w:rPr>
                      <w:rFonts w:ascii="Arial" w:hAnsi="Arial" w:cs="Arial"/>
                      <w:sz w:val="20"/>
                      <w:szCs w:val="20"/>
                    </w:rPr>
                    <w:t xml:space="preserve"> w ramach EFS+</w:t>
                  </w:r>
                  <w:r w:rsidR="00157C2C" w:rsidRPr="00B75C7C">
                    <w:rPr>
                      <w:rFonts w:ascii="Arial" w:hAnsi="Arial" w:cs="Arial"/>
                      <w:sz w:val="20"/>
                      <w:szCs w:val="20"/>
                    </w:rPr>
                    <w:t xml:space="preserve"> (EUR)</w:t>
                  </w:r>
                </w:p>
                <w:p w14:paraId="6F116629" w14:textId="77777777" w:rsidR="003E04E7" w:rsidRPr="00B75C7C" w:rsidRDefault="003E04E7" w:rsidP="00913FC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>(środki UE)</w:t>
                  </w:r>
                  <w:r w:rsidR="00BE397F" w:rsidRPr="00B75C7C">
                    <w:rPr>
                      <w:rFonts w:ascii="Arial" w:hAnsi="Arial" w:cs="Arial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14:paraId="09891F78" w14:textId="77777777" w:rsidR="00034C42" w:rsidRPr="00B75C7C" w:rsidRDefault="00034C42" w:rsidP="000C66A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 xml:space="preserve">Procent środków przeznaczonych  na </w:t>
                  </w:r>
                  <w:proofErr w:type="spellStart"/>
                  <w:r w:rsidR="000C66A9" w:rsidRPr="00B75C7C">
                    <w:rPr>
                      <w:rFonts w:ascii="Arial" w:hAnsi="Arial" w:cs="Arial"/>
                      <w:sz w:val="20"/>
                      <w:szCs w:val="20"/>
                    </w:rPr>
                    <w:t>KZiA</w:t>
                  </w:r>
                  <w:proofErr w:type="spellEnd"/>
                  <w:r w:rsidRPr="00B75C7C">
                    <w:rPr>
                      <w:rFonts w:ascii="Arial" w:hAnsi="Arial" w:cs="Arial"/>
                      <w:sz w:val="20"/>
                      <w:szCs w:val="20"/>
                    </w:rPr>
                    <w:t xml:space="preserve"> w ramach EFS+</w:t>
                  </w:r>
                </w:p>
              </w:tc>
            </w:tr>
            <w:tr w:rsidR="0045499C" w:rsidRPr="00B75C7C" w14:paraId="5CE3F020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E0A105" w14:textId="0D4122C6" w:rsidR="0045499C" w:rsidRPr="00B75C7C" w:rsidRDefault="0045499C" w:rsidP="00D82B13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do 39</w:t>
                  </w:r>
                  <w:r w:rsidR="00842A2B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8E17DC" w14:textId="1E06F168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0 000,00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35FAA3" w14:textId="1CB0A221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112 500,00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CFD07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25,00%</w:t>
                  </w:r>
                </w:p>
              </w:tc>
            </w:tr>
            <w:tr w:rsidR="0045499C" w:rsidRPr="00B75C7C" w14:paraId="15BB20D9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7FDBC2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40 000 do 49 999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1E7D0A" w14:textId="7E370A60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62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FC11F" w14:textId="2B215B43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135 956,00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90AFF5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24,17%</w:t>
                  </w:r>
                </w:p>
              </w:tc>
            </w:tr>
            <w:tr w:rsidR="0045499C" w:rsidRPr="00B75C7C" w14:paraId="4EC44FB7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E7EC50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50 000 do 59 999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19DD7" w14:textId="378F938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67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126B6" w14:textId="1A5B4790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159 098,00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66D348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23,57%</w:t>
                  </w:r>
                </w:p>
              </w:tc>
            </w:tr>
            <w:tr w:rsidR="0045499C" w:rsidRPr="00B75C7C" w14:paraId="79A51E2E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30229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60 000 do 69 999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E6C134" w14:textId="73781B6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87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8EA75B" w14:textId="7FCB7672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182 149,00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B72221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23,1</w:t>
                  </w:r>
                  <w:r w:rsidR="003D6A9B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  <w:tr w:rsidR="0045499C" w:rsidRPr="00B75C7C" w14:paraId="746101CF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83D4E1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70 000 do 79 999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A937B" w14:textId="300F2380" w:rsidR="0045499C" w:rsidRPr="00B75C7C" w:rsidRDefault="00271C8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900</w:t>
                  </w:r>
                  <w:r w:rsidR="0045499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8A410" w14:textId="166CA001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205 020,00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CAAD23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22,78%</w:t>
                  </w:r>
                </w:p>
              </w:tc>
            </w:tr>
            <w:tr w:rsidR="0045499C" w:rsidRPr="00B75C7C" w14:paraId="6AFEE45D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8F6A32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80 000 do 89 999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E9CDB7" w14:textId="02A8EA43" w:rsidR="0045499C" w:rsidRPr="00B75C7C" w:rsidRDefault="00271C8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1 012</w:t>
                  </w:r>
                  <w:r w:rsidR="0045499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="0045499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85BF3E" w14:textId="69ED0B34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227 813,00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69E96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22,50%</w:t>
                  </w:r>
                </w:p>
              </w:tc>
            </w:tr>
            <w:tr w:rsidR="0045499C" w:rsidRPr="00B75C7C" w14:paraId="622FD069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8BB800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90 000 do 99 999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1EA759" w14:textId="63817FE4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125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06E8E2" w14:textId="1E0D6B03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250 538,00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100FD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22,27%</w:t>
                  </w:r>
                </w:p>
              </w:tc>
            </w:tr>
            <w:tr w:rsidR="0045499C" w:rsidRPr="00B75C7C" w14:paraId="6F5758F1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5B3890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100 000 do 109 999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5E625" w14:textId="2633D00E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237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AB009F" w14:textId="5923B530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273 240,00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438BCF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22,08%</w:t>
                  </w:r>
                </w:p>
              </w:tc>
            </w:tr>
            <w:tr w:rsidR="0045499C" w:rsidRPr="00B75C7C" w14:paraId="5A883707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FC001A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110 000 do 119 999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9CA44F" w14:textId="04EE1D1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350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5853BF" w14:textId="0E395D3E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275 130,00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91B98C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20,38%</w:t>
                  </w:r>
                </w:p>
              </w:tc>
            </w:tr>
            <w:tr w:rsidR="0045499C" w:rsidRPr="00B75C7C" w14:paraId="38C2821E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B3FB75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120 000 do 129 999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C29145" w14:textId="417F9C49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462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271C8C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4BCEC6" w14:textId="1F828E05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276 851,00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483914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18,93%</w:t>
                  </w:r>
                </w:p>
              </w:tc>
            </w:tr>
            <w:tr w:rsidR="0045499C" w:rsidRPr="00B75C7C" w14:paraId="7B4586F8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06882D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130 000 do 139 999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2E092" w14:textId="70C8A326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 </w:t>
                  </w:r>
                  <w:r w:rsidR="00A87D38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575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000,00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8DF9AF" w14:textId="61716C28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278 303,00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094B3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17,67%</w:t>
                  </w:r>
                </w:p>
              </w:tc>
            </w:tr>
            <w:tr w:rsidR="0045499C" w:rsidRPr="00B75C7C" w14:paraId="0ED1A9E0" w14:textId="77777777" w:rsidTr="0045499C">
              <w:trPr>
                <w:trHeight w:val="315"/>
              </w:trPr>
              <w:tc>
                <w:tcPr>
                  <w:tcW w:w="4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7C052" w14:textId="77777777" w:rsidR="0045499C" w:rsidRPr="00B75C7C" w:rsidRDefault="0045499C" w:rsidP="0045499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od 140 000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79D6BF" w14:textId="444B7A12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 </w:t>
                  </w:r>
                  <w:r w:rsidR="00A87D38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687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A87D38"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2FFF68" w14:textId="76584060" w:rsidR="0045499C" w:rsidRPr="00B75C7C" w:rsidRDefault="00A87D38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279 450,00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5FE18" w14:textId="77777777" w:rsidR="0045499C" w:rsidRPr="00B75C7C" w:rsidRDefault="0045499C" w:rsidP="0045499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75C7C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16,56%</w:t>
                  </w:r>
                </w:p>
              </w:tc>
            </w:tr>
          </w:tbl>
          <w:p w14:paraId="71C230A9" w14:textId="50E5756F" w:rsidR="00842A2B" w:rsidRPr="00B75C7C" w:rsidRDefault="00842A2B" w:rsidP="00842A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* z uwzględnieniem przypadków wskazanych w art. 5 ust. 5 ustawy z dnia 20 lutego 2015 r. o rozwoju lokalnym z udziałem lokalnej społeczności ( tj. Dz. U. z 2022 r. poz. 943. ze zm.)</w:t>
            </w:r>
            <w:r w:rsidR="00337D38" w:rsidRPr="00B75C7C">
              <w:rPr>
                <w:rFonts w:ascii="Arial" w:hAnsi="Arial" w:cs="Arial"/>
              </w:rPr>
              <w:t xml:space="preserve"> </w:t>
            </w:r>
          </w:p>
          <w:p w14:paraId="1C6EB0F9" w14:textId="76C413D1" w:rsidR="00BE397F" w:rsidRPr="00B75C7C" w:rsidRDefault="00922C0B" w:rsidP="00922C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*</w:t>
            </w:r>
            <w:r w:rsidR="00842A2B" w:rsidRPr="00B75C7C">
              <w:rPr>
                <w:rFonts w:ascii="Arial" w:hAnsi="Arial" w:cs="Arial"/>
                <w:sz w:val="20"/>
                <w:szCs w:val="20"/>
              </w:rPr>
              <w:t>*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397F" w:rsidRPr="00B75C7C">
              <w:rPr>
                <w:rFonts w:ascii="Arial" w:hAnsi="Arial" w:cs="Arial"/>
                <w:sz w:val="20"/>
                <w:szCs w:val="20"/>
              </w:rPr>
              <w:t>kwoty te stanowią 8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t>5</w:t>
            </w:r>
            <w:r w:rsidR="00BE397F" w:rsidRPr="00B75C7C">
              <w:rPr>
                <w:rFonts w:ascii="Arial" w:hAnsi="Arial" w:cs="Arial"/>
                <w:sz w:val="20"/>
                <w:szCs w:val="20"/>
              </w:rPr>
              <w:t>% wartości projektów i będą na etapie realizacji projektów uzupełni</w:t>
            </w:r>
            <w:r w:rsidR="00F4013B" w:rsidRPr="00B75C7C">
              <w:rPr>
                <w:rFonts w:ascii="Arial" w:hAnsi="Arial" w:cs="Arial"/>
                <w:sz w:val="20"/>
                <w:szCs w:val="20"/>
              </w:rPr>
              <w:t>o</w:t>
            </w:r>
            <w:r w:rsidR="00BE397F" w:rsidRPr="00B75C7C">
              <w:rPr>
                <w:rFonts w:ascii="Arial" w:hAnsi="Arial" w:cs="Arial"/>
                <w:sz w:val="20"/>
                <w:szCs w:val="20"/>
              </w:rPr>
              <w:t>ne wkładem krajowym</w:t>
            </w:r>
            <w:r w:rsidR="00AA2E1B" w:rsidRPr="00B75C7C">
              <w:rPr>
                <w:rFonts w:ascii="Arial" w:hAnsi="Arial" w:cs="Arial"/>
                <w:sz w:val="20"/>
                <w:szCs w:val="20"/>
              </w:rPr>
              <w:t xml:space="preserve"> rozliczonym również za pomocą tej stawki</w:t>
            </w:r>
            <w:r w:rsidR="00BE397F" w:rsidRPr="00B75C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E526A7" w14:textId="533D89F1" w:rsidR="00AA01D1" w:rsidRPr="00B75C7C" w:rsidRDefault="00F03CC3" w:rsidP="00A87D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Wdrażanie LSR finansowane z EFS+ odbywać może się wyłącznie na obszarze województwa 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t>śląskiego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, na obszarach wiejskich, 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br/>
              <w:t>z wyłączeniem miejscowości powyżej 20 tys. mieszkańców</w:t>
            </w:r>
            <w:r w:rsidR="00192944" w:rsidRPr="00B75C7C">
              <w:rPr>
                <w:rFonts w:ascii="Arial" w:hAnsi="Arial" w:cs="Arial"/>
                <w:sz w:val="20"/>
                <w:szCs w:val="20"/>
              </w:rPr>
              <w:t xml:space="preserve">. W przypadku gdy </w:t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na etapie ustalania listy LSR spełniających warunki wyboru okaże się, że podział środków EFS+ wg zaproponowanych stawek będzie niewystarczający do wyboru wszystkich LSR spełniających ww. warunki, Zarząd Województwa 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t xml:space="preserve">zastrzega sobie prawo do proporcjonalnego obniżenia stawek komponentu EFS+ w ramach LSR. 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br/>
              <w:t xml:space="preserve">I odwrotnie, w przypadku kiedy na etapie ustalania listy LSR spełniających warunki wyboru okaże się, </w:t>
            </w:r>
            <w:r w:rsidR="00B73C4E" w:rsidRPr="00B75C7C">
              <w:rPr>
                <w:rFonts w:ascii="Arial" w:hAnsi="Arial" w:cs="Arial"/>
                <w:sz w:val="20"/>
                <w:szCs w:val="20"/>
              </w:rPr>
              <w:t xml:space="preserve">że 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t xml:space="preserve">przeznaczona kwota nie została 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br/>
              <w:t xml:space="preserve">w całości rozdysponowana, powstałe oszczędności zostaną podzielone proporcjonalnie pomiędzy te LSR, które zgłoszą potrzebę </w:t>
            </w:r>
            <w:r w:rsidR="00A87D38" w:rsidRPr="00B75C7C">
              <w:rPr>
                <w:rFonts w:ascii="Arial" w:hAnsi="Arial" w:cs="Arial"/>
                <w:sz w:val="20"/>
                <w:szCs w:val="20"/>
              </w:rPr>
              <w:lastRenderedPageBreak/>
              <w:t xml:space="preserve">dofinansowania LSR. </w:t>
            </w:r>
            <w:r w:rsidR="00034C42" w:rsidRPr="00B75C7C">
              <w:rPr>
                <w:rFonts w:ascii="Arial" w:hAnsi="Arial" w:cs="Arial"/>
                <w:sz w:val="20"/>
                <w:szCs w:val="20"/>
              </w:rPr>
              <w:t xml:space="preserve">W związku z powyższym, ostateczny podział kwot na wdrażanie i </w:t>
            </w:r>
            <w:proofErr w:type="spellStart"/>
            <w:r w:rsidR="000C66A9"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="00034C42" w:rsidRPr="00B75C7C">
              <w:rPr>
                <w:rFonts w:ascii="Arial" w:hAnsi="Arial" w:cs="Arial"/>
                <w:sz w:val="20"/>
                <w:szCs w:val="20"/>
              </w:rPr>
              <w:t xml:space="preserve"> zostanie ustalony po dokonaniu oceny LSR.</w:t>
            </w:r>
            <w:r w:rsidR="007D3384" w:rsidRPr="00B75C7C">
              <w:rPr>
                <w:rFonts w:ascii="Arial" w:hAnsi="Arial" w:cs="Arial"/>
                <w:sz w:val="20"/>
                <w:szCs w:val="20"/>
              </w:rPr>
              <w:t xml:space="preserve"> Ostateczne zmiany w alokacji nie spowodują zmian </w:t>
            </w:r>
            <w:r w:rsidR="00307CEA" w:rsidRPr="00B75C7C">
              <w:rPr>
                <w:rFonts w:ascii="Arial" w:hAnsi="Arial" w:cs="Arial"/>
                <w:sz w:val="20"/>
                <w:szCs w:val="20"/>
              </w:rPr>
              <w:t xml:space="preserve">procentowych </w:t>
            </w:r>
            <w:r w:rsidR="007D3384" w:rsidRPr="00B75C7C">
              <w:rPr>
                <w:rFonts w:ascii="Arial" w:hAnsi="Arial" w:cs="Arial"/>
                <w:sz w:val="20"/>
                <w:szCs w:val="20"/>
              </w:rPr>
              <w:t>w samych stawkach</w:t>
            </w:r>
            <w:r w:rsidR="00307CEA" w:rsidRPr="00B75C7C">
              <w:rPr>
                <w:rFonts w:ascii="Arial" w:hAnsi="Arial" w:cs="Arial"/>
                <w:sz w:val="20"/>
                <w:szCs w:val="20"/>
              </w:rPr>
              <w:t xml:space="preserve"> przeznaczanych na </w:t>
            </w:r>
            <w:proofErr w:type="spellStart"/>
            <w:r w:rsidR="00307CEA"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="007D3384" w:rsidRPr="00B75C7C">
              <w:rPr>
                <w:rFonts w:ascii="Arial" w:hAnsi="Arial" w:cs="Arial"/>
                <w:sz w:val="20"/>
                <w:szCs w:val="20"/>
              </w:rPr>
              <w:t>, które wynikają wprost z dokumentu źródłowego</w:t>
            </w:r>
            <w:r w:rsidR="00F41BE4" w:rsidRPr="00B75C7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66B18" w:rsidRPr="00B75C7C" w14:paraId="2AFDE3E3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6AF39BBA" w14:textId="77777777" w:rsidR="00066B18" w:rsidRPr="00B75C7C" w:rsidRDefault="00066B18" w:rsidP="00066B1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1.7 </w:t>
            </w:r>
            <w:r w:rsidRPr="00B75C7C">
              <w:rPr>
                <w:rFonts w:ascii="Arial" w:hAnsi="Arial" w:cs="Arial"/>
                <w:sz w:val="20"/>
                <w:szCs w:val="20"/>
              </w:rPr>
              <w:t>Kategorie kosztów objęte stawkami jednostkowymi, kwotami ryczałtowymi lub stawkami ryczałtowymi</w:t>
            </w:r>
          </w:p>
        </w:tc>
        <w:tc>
          <w:tcPr>
            <w:tcW w:w="11658" w:type="dxa"/>
            <w:vAlign w:val="center"/>
          </w:tcPr>
          <w:p w14:paraId="1EAA1FF0" w14:textId="77777777" w:rsidR="006D77AC" w:rsidRPr="00B75C7C" w:rsidRDefault="00F35942" w:rsidP="006D77A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Poszczególne k</w:t>
            </w:r>
            <w:r w:rsidR="00B90BA4" w:rsidRPr="00B75C7C">
              <w:rPr>
                <w:rFonts w:ascii="Arial" w:hAnsi="Arial" w:cs="Arial"/>
                <w:sz w:val="20"/>
                <w:szCs w:val="20"/>
              </w:rPr>
              <w:t>ategorie kosztów, któ</w:t>
            </w:r>
            <w:r w:rsidR="006D77AC" w:rsidRPr="00B75C7C">
              <w:rPr>
                <w:rFonts w:ascii="Arial" w:hAnsi="Arial" w:cs="Arial"/>
                <w:sz w:val="20"/>
                <w:szCs w:val="20"/>
              </w:rPr>
              <w:t>r</w:t>
            </w:r>
            <w:r w:rsidR="00B90BA4" w:rsidRPr="00B75C7C">
              <w:rPr>
                <w:rFonts w:ascii="Arial" w:hAnsi="Arial" w:cs="Arial"/>
                <w:sz w:val="20"/>
                <w:szCs w:val="20"/>
              </w:rPr>
              <w:t>e zostaną objęte stawką ryczałtową dotyczyć będą</w:t>
            </w:r>
            <w:r w:rsidR="006D77AC" w:rsidRPr="00B75C7C">
              <w:rPr>
                <w:rFonts w:ascii="Arial" w:hAnsi="Arial" w:cs="Arial"/>
                <w:sz w:val="20"/>
                <w:szCs w:val="20"/>
              </w:rPr>
              <w:t xml:space="preserve"> zakresu działań wyszczególnionych w </w:t>
            </w:r>
            <w:r w:rsidR="00136ACE" w:rsidRPr="00B75C7C">
              <w:rPr>
                <w:rFonts w:ascii="Arial" w:hAnsi="Arial" w:cs="Arial"/>
                <w:sz w:val="20"/>
                <w:szCs w:val="20"/>
              </w:rPr>
              <w:t xml:space="preserve">art. 34 ust. 1 lit. c) </w:t>
            </w:r>
            <w:r w:rsidR="006D77AC" w:rsidRPr="00B75C7C">
              <w:rPr>
                <w:rFonts w:ascii="Arial" w:hAnsi="Arial" w:cs="Arial"/>
                <w:sz w:val="20"/>
                <w:szCs w:val="20"/>
              </w:rPr>
              <w:t xml:space="preserve">rozporządzenia ogólnego tj. 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zarządzanie strategią, jej monitorowanie i ewaluację oraz jej animowanie, w tym ułatwianie wymiany między zainteresowanymi stronami. </w:t>
            </w:r>
          </w:p>
          <w:p w14:paraId="7F980D48" w14:textId="77777777" w:rsidR="00BD4F4B" w:rsidRPr="00B75C7C" w:rsidRDefault="00BD4F4B" w:rsidP="006D77A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Kategorie wydatków objęte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to:</w:t>
            </w:r>
          </w:p>
          <w:p w14:paraId="07426DDC" w14:textId="77777777" w:rsidR="006D77AC" w:rsidRPr="00B75C7C" w:rsidRDefault="00735E7F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koszty </w:t>
            </w:r>
            <w:r w:rsidR="00344BD9" w:rsidRPr="00B75C7C">
              <w:rPr>
                <w:rFonts w:ascii="Arial" w:hAnsi="Arial" w:cs="Arial"/>
                <w:sz w:val="20"/>
                <w:szCs w:val="20"/>
                <w:lang w:eastAsia="pl-PL"/>
              </w:rPr>
              <w:t>nadz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oru</w:t>
            </w:r>
            <w:r w:rsidR="00344BD9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nad </w:t>
            </w:r>
            <w:r w:rsidR="006477F7" w:rsidRPr="00B75C7C">
              <w:rPr>
                <w:rFonts w:ascii="Arial" w:hAnsi="Arial" w:cs="Arial"/>
                <w:sz w:val="20"/>
                <w:szCs w:val="20"/>
                <w:lang w:eastAsia="pl-PL"/>
              </w:rPr>
              <w:t>realizacją LSR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(np. koszty wynagrodzeń członków zarządu, członków organu decyzyjnego, koszty funkcjonowania tych organów, w tym walnych zebrań członków; LGD są stowarzyszeniami i działają w oparciu o przepisy Ustawy Prawo o Stowarzyszeniach. Aktywność zarządu,</w:t>
            </w:r>
            <w:r w:rsidR="00274972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zebrania członków to zadania wynikające z ww</w:t>
            </w:r>
            <w:r w:rsidR="006477F7" w:rsidRPr="00B75C7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274972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Ustawy.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  <w:r w:rsidR="00274972" w:rsidRPr="00B75C7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14:paraId="1A7D3736" w14:textId="77777777" w:rsidR="00BD4F4B" w:rsidRPr="00B75C7C" w:rsidRDefault="00BD4F4B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koszty 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>funkcjonowani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biura</w:t>
            </w:r>
            <w:r w:rsidR="00E300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LGD </w:t>
            </w:r>
            <w:r w:rsidR="00E300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(np. wynajem powierzchni biurowej, opłaty eksploatacyjne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administracyjne, materiały biurowe, środki czystości, sprzątanie, zakup niezbędnego wyposażenia dla biura</w:t>
            </w:r>
            <w:r w:rsidR="00E30081" w:rsidRPr="00B75C7C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0BBE57D" w14:textId="77777777" w:rsidR="006D77AC" w:rsidRPr="00B75C7C" w:rsidRDefault="006D77AC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doskonalenie zawodowe </w:t>
            </w:r>
            <w:r w:rsidR="00735E7F" w:rsidRPr="00B75C7C">
              <w:rPr>
                <w:rFonts w:ascii="Arial" w:hAnsi="Arial" w:cs="Arial"/>
                <w:sz w:val="20"/>
                <w:szCs w:val="20"/>
                <w:lang w:eastAsia="pl-PL"/>
              </w:rPr>
              <w:t>dla pracowników biura LGD, członków zarządu i organu d</w:t>
            </w:r>
            <w:r w:rsidR="0013290E" w:rsidRPr="00B75C7C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735E7F" w:rsidRPr="00B75C7C">
              <w:rPr>
                <w:rFonts w:ascii="Arial" w:hAnsi="Arial" w:cs="Arial"/>
                <w:sz w:val="20"/>
                <w:szCs w:val="20"/>
                <w:lang w:eastAsia="pl-PL"/>
              </w:rPr>
              <w:t>cyzyjnego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14:paraId="535FC234" w14:textId="77777777" w:rsidR="006D77AC" w:rsidRPr="00B75C7C" w:rsidRDefault="00BD4F4B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koszty personelu LGD </w:t>
            </w:r>
          </w:p>
          <w:p w14:paraId="1BAA1DE8" w14:textId="77777777" w:rsidR="006D77AC" w:rsidRPr="00B75C7C" w:rsidRDefault="0013290E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koszty związane z 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>aktywizacj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ą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mieszkańców i innych podmiotów z obszaru objętego LSR związaną z realizacją LSR</w:t>
            </w:r>
            <w:r w:rsidR="00E30081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(np. </w:t>
            </w:r>
            <w:r w:rsidR="00E30081" w:rsidRPr="00B75C7C">
              <w:rPr>
                <w:rFonts w:ascii="Arial" w:hAnsi="Arial" w:cs="Arial"/>
                <w:sz w:val="20"/>
                <w:szCs w:val="20"/>
              </w:rPr>
              <w:t>spotkania informacyjne, wysłuchania publiczne)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14:paraId="684A1F07" w14:textId="77777777" w:rsidR="00066B18" w:rsidRPr="00B75C7C" w:rsidRDefault="0013290E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koszty 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>zapewnieni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wsparcia dla potencjalnych beneficjentów, w szczególności prowadzenie przez </w:t>
            </w:r>
            <w:r w:rsidR="005C0A4F" w:rsidRPr="00B75C7C">
              <w:rPr>
                <w:rFonts w:ascii="Arial" w:hAnsi="Arial" w:cs="Arial"/>
                <w:sz w:val="20"/>
                <w:szCs w:val="20"/>
                <w:lang w:eastAsia="pl-PL"/>
              </w:rPr>
              <w:t>LGD</w:t>
            </w:r>
            <w:r w:rsidR="006D77AC"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doradztwa na rzecz potencjalnych beneficjentów LSR</w:t>
            </w:r>
            <w:r w:rsidR="005C0A4F" w:rsidRPr="00B75C7C"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14:paraId="7E952FE6" w14:textId="77777777" w:rsidR="00735E7F" w:rsidRPr="00B75C7C" w:rsidRDefault="00735E7F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koszty organizacji szkoleń oraz spotkań informacyjnych dla beneficjentów i potencjalnych beneficjentów);</w:t>
            </w:r>
          </w:p>
          <w:p w14:paraId="3C5B7B06" w14:textId="77777777" w:rsidR="00735E7F" w:rsidRPr="00B75C7C" w:rsidRDefault="00735E7F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koszty konferencji oraz wydarzeń mających na celu aktywizację lokalnej społeczności oraz zacieśnianie współpracy wewnątrz LGD oraz z innymi LGD;</w:t>
            </w:r>
          </w:p>
          <w:p w14:paraId="1C8B6162" w14:textId="77777777" w:rsidR="001C74F2" w:rsidRPr="00B75C7C" w:rsidRDefault="00BD4F4B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koszty prowadzenia strony internetowej i bieżącej jej aktualizacji</w:t>
            </w:r>
            <w:r w:rsidR="00735E7F" w:rsidRPr="00B75C7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23BC07" w14:textId="77777777" w:rsidR="00735E7F" w:rsidRPr="00B75C7C" w:rsidRDefault="002A7704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k</w:t>
            </w:r>
            <w:r w:rsidR="00735E7F" w:rsidRPr="00B75C7C">
              <w:rPr>
                <w:rFonts w:ascii="Arial" w:hAnsi="Arial" w:cs="Arial"/>
                <w:sz w:val="20"/>
                <w:szCs w:val="20"/>
              </w:rPr>
              <w:t>oszty promocji (publikacje, kampanie medialne)</w:t>
            </w:r>
            <w:r w:rsidR="00195138" w:rsidRPr="00B75C7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7F120B3" w14:textId="77777777" w:rsidR="00195138" w:rsidRPr="00B75C7C" w:rsidRDefault="00195138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analizy, ekspertyzy, badania (np. ewaluacje prowadzone przez podmioty zewnętrzne);</w:t>
            </w:r>
          </w:p>
          <w:p w14:paraId="388049CC" w14:textId="77777777" w:rsidR="00195138" w:rsidRPr="00B75C7C" w:rsidRDefault="00195138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zakup oprogramowania; </w:t>
            </w:r>
          </w:p>
          <w:p w14:paraId="2C9BD7A0" w14:textId="77777777" w:rsidR="00195138" w:rsidRPr="00B75C7C" w:rsidRDefault="00195138" w:rsidP="00A705D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inne koszty niezbędne do prawidłowego funkcjonowania biura.</w:t>
            </w:r>
          </w:p>
          <w:p w14:paraId="71ABD7A9" w14:textId="77777777" w:rsidR="005C0A4F" w:rsidRPr="00B75C7C" w:rsidRDefault="007D3384" w:rsidP="00136ACE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Nie przewiduje się finansowania wydatków podlegających limitom cross-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finan</w:t>
            </w:r>
            <w:r w:rsidR="009D5897" w:rsidRPr="00B75C7C">
              <w:rPr>
                <w:rFonts w:ascii="Arial" w:hAnsi="Arial" w:cs="Arial"/>
                <w:sz w:val="20"/>
                <w:szCs w:val="20"/>
              </w:rPr>
              <w:t>c</w:t>
            </w:r>
            <w:r w:rsidRPr="00B75C7C">
              <w:rPr>
                <w:rFonts w:ascii="Arial" w:hAnsi="Arial" w:cs="Arial"/>
                <w:sz w:val="20"/>
                <w:szCs w:val="20"/>
              </w:rPr>
              <w:t>ingu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2814B3" w14:textId="77777777" w:rsidR="007D3384" w:rsidRPr="00B75C7C" w:rsidRDefault="007D3384" w:rsidP="007D338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Nie będą finansowane wydatki niekwalifikowalne określone w wytycznych ministra właściwego do spraw rozwoju regionalnego, dotyczących kwalifikowalności wydatków na lata 2021-2027.</w:t>
            </w:r>
          </w:p>
          <w:p w14:paraId="191251E6" w14:textId="77777777" w:rsidR="00D567BB" w:rsidRPr="00B75C7C" w:rsidRDefault="00D567BB" w:rsidP="007D338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>W ramach projektów grantowych realizowanych przez LGD z możliwości finansowania zostaną wyłączone koszty pośrednie określone w wytycznych ministra właściwego do spraw rozwoju regionalnego, dotyczących kwalifikowalności wydatków na lata 2021-2027.</w:t>
            </w:r>
          </w:p>
          <w:p w14:paraId="687D539F" w14:textId="432F9892" w:rsidR="008A1E5D" w:rsidRPr="00B75C7C" w:rsidRDefault="008A1E5D" w:rsidP="007D338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Grantodawca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jest zobowiązany do udzielania i rozliczania grantów według przyjętych zasad i założeń, które opisuje w procedurach dotyczących realizacji projektu grantowego, które podlegają akceptacji IZ FE SL i IP FE SL. Wszystkie koszty ponoszone w ramach grantów będą musiały służyć osiągnięciu celu szczegółowego, w ramach którego będzie realizowany projekt grantowy, tj. być zgodne z założeniami dla celu f, g lub l. LGD na etapie procedury wyboru grantów będzie stosowała mechanizmy warunkujące porównywalność poszczególnych kosztów pomiędzy grantami, tak aby zatwierdzać w grantach porównywalne koszty za podobne usługi/towary. </w:t>
            </w:r>
          </w:p>
        </w:tc>
      </w:tr>
      <w:tr w:rsidR="00066B18" w:rsidRPr="00B75C7C" w14:paraId="728475B2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691C4F3C" w14:textId="77777777" w:rsidR="00066B18" w:rsidRPr="00B75C7C" w:rsidRDefault="00066B18" w:rsidP="00066B1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1.8 </w:t>
            </w:r>
            <w:r w:rsidRPr="00B75C7C">
              <w:rPr>
                <w:rFonts w:ascii="Arial" w:hAnsi="Arial" w:cs="Arial"/>
                <w:sz w:val="20"/>
                <w:szCs w:val="20"/>
              </w:rPr>
              <w:t>Czy wymienione kategorie kosztów pokrywają wszystkie wydatki kwalifikowalne w ramach danej operacji? (T/N)</w:t>
            </w:r>
          </w:p>
        </w:tc>
        <w:tc>
          <w:tcPr>
            <w:tcW w:w="11658" w:type="dxa"/>
            <w:vAlign w:val="center"/>
          </w:tcPr>
          <w:p w14:paraId="7E188D7B" w14:textId="48B44CAF" w:rsidR="00066B18" w:rsidRPr="00B75C7C" w:rsidRDefault="00007F2D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NIE</w:t>
            </w:r>
          </w:p>
          <w:p w14:paraId="0EF89BFA" w14:textId="368B069C" w:rsidR="00B33958" w:rsidRPr="00B75C7C" w:rsidRDefault="003547B9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Projekty grantowe realizowane przez LGD, obok stawki ryczałtowej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, będą obejmować wydatki związane z realizacją grantów, które będą udzielane przez LGD na działania wynikające ze strategii LSR. </w:t>
            </w:r>
          </w:p>
        </w:tc>
      </w:tr>
      <w:tr w:rsidR="00066B18" w:rsidRPr="00B75C7C" w14:paraId="7CE1B017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5EA4307D" w14:textId="77777777" w:rsidR="00066B18" w:rsidRPr="00B75C7C" w:rsidRDefault="00066B18" w:rsidP="00066B1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t xml:space="preserve">1.9 </w:t>
            </w:r>
            <w:r w:rsidRPr="00B75C7C">
              <w:rPr>
                <w:rFonts w:ascii="Arial" w:hAnsi="Arial" w:cs="Arial"/>
                <w:sz w:val="20"/>
                <w:szCs w:val="20"/>
              </w:rPr>
              <w:t>Metoda korekt(y)</w:t>
            </w:r>
            <w:r w:rsidRPr="00B75C7C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footnoteReference w:id="3"/>
            </w:r>
            <w:r w:rsidRPr="00B75C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58" w:type="dxa"/>
            <w:vAlign w:val="center"/>
          </w:tcPr>
          <w:p w14:paraId="5BE50AF1" w14:textId="77777777" w:rsidR="00066B18" w:rsidRPr="00B75C7C" w:rsidRDefault="00066B18" w:rsidP="00A11337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="00A11337" w:rsidRPr="00B75C7C">
              <w:rPr>
                <w:rFonts w:ascii="Arial" w:hAnsi="Arial" w:cs="Arial"/>
                <w:sz w:val="20"/>
                <w:szCs w:val="20"/>
              </w:rPr>
              <w:t xml:space="preserve">dotyczy </w:t>
            </w:r>
          </w:p>
        </w:tc>
      </w:tr>
      <w:tr w:rsidR="00066B18" w:rsidRPr="00B75C7C" w14:paraId="644D8937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792D5BD0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1.10 Weryfikacja osiągnięcia jednostek</w:t>
            </w:r>
          </w:p>
          <w:p w14:paraId="5C282555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 – należy opisać, jaki(e) dokument(y)/system będzie(-ą) wykorzystany(-e) w celu sprawdzenia, czy osiągnięto dostarczone jednostki</w:t>
            </w:r>
          </w:p>
          <w:p w14:paraId="0B2D27F1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 xml:space="preserve"> – należy opisać, co będzie sprawdzane w trakcie weryfikacji zarządczych i przez kogo </w:t>
            </w:r>
          </w:p>
          <w:p w14:paraId="5E61F7E7" w14:textId="77777777" w:rsidR="00066B18" w:rsidRPr="00B75C7C" w:rsidRDefault="00066B18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– należy opisać, jakie rozwiązania zostaną przyjęte w celu gromadzenia i przechowywania stosownych danych/dokumentów</w:t>
            </w:r>
          </w:p>
        </w:tc>
        <w:tc>
          <w:tcPr>
            <w:tcW w:w="11658" w:type="dxa"/>
            <w:shd w:val="clear" w:color="auto" w:fill="auto"/>
          </w:tcPr>
          <w:p w14:paraId="73CFAC08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 xml:space="preserve">Właściwa dla danego projektu stawka ryczałtowa będzie wskazywana w umowie o dofinansowanie. </w:t>
            </w:r>
          </w:p>
          <w:p w14:paraId="0107A49F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Weryfikacja wydatków w ramach projektu obejmuje:</w:t>
            </w:r>
          </w:p>
          <w:p w14:paraId="1D432907" w14:textId="77777777" w:rsidR="00777706" w:rsidRPr="00B75C7C" w:rsidRDefault="00777706" w:rsidP="00777706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weryfikację wniosków o płatność, w których LGD wykazuje postęp realizacji danego projektu, a tym samym LSR, poprzez kwoty wydatków kwalifikowalnych dokonanych na rzecz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w ramach przekazanych i rozliczonych grantów,  od wartości których naliczane będą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poświadcza zgodność realizacji projektu z pozostałymi zobowiązaniami zawartymi w umowie dotyczącymi zapewnienia odpowiedniej jakości zarządzania i animacji.  </w:t>
            </w:r>
          </w:p>
          <w:p w14:paraId="3489AD0A" w14:textId="77777777" w:rsidR="00777706" w:rsidRPr="00B75C7C" w:rsidRDefault="00777706" w:rsidP="00777706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etapie weryfikacji wniosków o płatność, przy ubieganiu się o kolejną transze w ramach projektu grantowego, LGD będą zobowiązane do przedłożenia stosownych dokumentów, określonych w Regulaminie wyboru projektów, </w:t>
            </w:r>
            <w:r w:rsidRPr="00B75C7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poświadczających zrealizowanie inicjatyw lokalnych o charakterze edukacyjnym (dla celu f i celu g) oraz o charakterze integracyjnym (dla celu l),  </w:t>
            </w:r>
          </w:p>
          <w:p w14:paraId="20C02027" w14:textId="77777777" w:rsidR="00777706" w:rsidRPr="00B75C7C" w:rsidRDefault="00777706" w:rsidP="00777706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kontrole projektu np. na miejscu lub wizyty monitoringowe (odbywają się na określonych próbach). Kontroli podlegać będą zarówno udzielone granty przez LGD, jak i kluczowe elementy związane z funkcjonowaniem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(np. funkcjonowanie biura). </w:t>
            </w:r>
          </w:p>
          <w:p w14:paraId="059E4D41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Powyższe czynności będą wykonywane przez pracowników IZ FE SL.</w:t>
            </w:r>
          </w:p>
          <w:p w14:paraId="408E80C4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Wnioski dotyczące realizacji projektów grantowych, a tym samych kosztów kwalifikowalnych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znajdować się będą w Centralnym Systemie Teleinformatycznym (CST2021). Potwierdzeniem dokonania płatności na rzecz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grantobiorcy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, zgodnie z wnioskiem o płatność, będzie wyciąg bankowy z rachunku LGD wraz ze sprawozdaniem z grantu i umową grantową. Dodatkowo, w przypadku zwrotów środków dokonanych przez beneficjentów – obniżenie wartości płatności będzie weryfikowane na podstawie wyciągu bankowego z rachunku IZ FESL i IP FESL wraz z ewentualnym dokumentem zawierającym wyjaśnienia co do przedmiotu zwrotu. Weryfikacja wskaźnika obejmie źródła danych będące w posiadaniu IZ FESL i IP FE SL. </w:t>
            </w:r>
          </w:p>
          <w:p w14:paraId="52C8F5DE" w14:textId="77777777" w:rsidR="008241DB" w:rsidRPr="00B75C7C" w:rsidRDefault="00777706" w:rsidP="00777706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Gromadzenie i przechowywanie stosownych danych/dokumentów będzie następowało zgodnie z obowiązującymi przepisami. Dokumenty związane z realizacją projektów z EFS+, wraz z środkami przekazywanymi na dofinansowanie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będą przechowywane zgodnie z zasadami obowiązującymi inne projekty dofinansowane ze środków EFS+. W LGD będzie przechowywana całość dokumentacji związanej z realizowanym projektem, tj. wydatkami poniesionym na realizację grantów oraz przyznaną pomocą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9F5EFCE" w14:textId="224882A7" w:rsidR="00777706" w:rsidRPr="00B75C7C" w:rsidRDefault="00777706" w:rsidP="00777706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706" w:rsidRPr="00B75C7C" w14:paraId="41AF5E0E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7BB71EA4" w14:textId="64DCC480" w:rsidR="00777706" w:rsidRPr="00B75C7C" w:rsidRDefault="00777706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1.11 Możliwe niepożądane zachęty, środki łagodzące</w:t>
            </w:r>
            <w:r w:rsidRPr="00B75C7C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"/>
            </w:r>
            <w:r w:rsidRPr="00B75C7C">
              <w:rPr>
                <w:rFonts w:ascii="Arial" w:hAnsi="Arial" w:cs="Arial"/>
                <w:sz w:val="20"/>
                <w:szCs w:val="20"/>
              </w:rPr>
              <w:t xml:space="preserve"> oraz szacowany poziom ryzyka (wysoki/średni/niski)</w:t>
            </w:r>
          </w:p>
        </w:tc>
        <w:tc>
          <w:tcPr>
            <w:tcW w:w="11658" w:type="dxa"/>
            <w:shd w:val="clear" w:color="auto" w:fill="auto"/>
          </w:tcPr>
          <w:p w14:paraId="6DD86999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Punktem wyjścia i podstawą przedstawionego mechanizmu finansowania wdrożenia i realizacji LSR jest dokument pn.: Zasady finansowania „Wsparcia przygotowawczego” i „Wsparcia na rzecz kosztów bieżących i aktywizacji” oraz ustalania alokacji środków na lokalną strategię rozwoju w ramach działania LEADER objętego Programem Rozwoju Obszarów Wiejskich na lata 2014-2020 (załącznik nr 1), który był efektywnie wykorzystywany w perspektywie finansowej 2014-2020. </w:t>
            </w:r>
          </w:p>
          <w:p w14:paraId="2257FC4F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 związku z tym, że przedmiotowe zapisy były już z powodzeniem wykorzystywane w PROW, z którego wywodzi się mechanizm RLKS uznano, że mogą one również stanowić podstawę do zastosowania stawek ryczałtowych przy finansowaniu LGD ze środków EFS+, co znacząco zmniejszy ewentualnie pojawiające się ryzyka i ułatwi wdrażanie. </w:t>
            </w:r>
          </w:p>
          <w:p w14:paraId="24772191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W dalszym ciągu jednak przewiduje się, że mogą wystąpić np.:</w:t>
            </w:r>
          </w:p>
          <w:p w14:paraId="094F7A5E" w14:textId="77777777" w:rsidR="00777706" w:rsidRPr="00B75C7C" w:rsidRDefault="00777706" w:rsidP="00777706">
            <w:pPr>
              <w:pStyle w:val="Akapitzlist"/>
              <w:numPr>
                <w:ilvl w:val="3"/>
                <w:numId w:val="1"/>
              </w:num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lastRenderedPageBreak/>
              <w:t>Brak znajomości mechanizmu stawek ryczałtowych przez LGD (poziom ryzyka: niski)</w:t>
            </w:r>
          </w:p>
          <w:p w14:paraId="49160E96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Mechanizm stawek ryczałtowych dla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jest znany LGD z PROW 2014-2020.  Jako działanie mające na celu przeciwdziałanie zidentyfikowanemu ryzyku IZ będzie prowadzić szkolenia dla LGD w zakresie zasad rozliczania stawek ryczałtowych.  </w:t>
            </w:r>
          </w:p>
          <w:p w14:paraId="6E3A714C" w14:textId="77777777" w:rsidR="00777706" w:rsidRPr="00B75C7C" w:rsidRDefault="00777706" w:rsidP="0077770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Ryzyko związane z przekroczeniem maksymalnej kwoty dofinansowania wypłaconej LGD w przypadku, gdy z związku z realizacją LSR pojawią się oszczędności/niewykorzystane kwoty (poziom ryzyka – niskie). </w:t>
            </w:r>
          </w:p>
          <w:p w14:paraId="53196486" w14:textId="77777777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 xml:space="preserve">Wystąpienie ryzyka określono jako niskie, gdyż wprowadzone zostaną procedury dotyczące wypłaty środków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w odniesieniu do rozliczonych grantów, a na etapie końcowego rozliczenia, LGD będzie zobowiązana do zwrotu środków nierozliczonych lub uznanych za niekwalifikowalne, w tym odpowiedniej wartości środków na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. Kluczowymi argumentami przemawiającymi za ww. rozwiązaniem jest konieczność stworzenia prostego, przejrzystego sposobu finansowania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przez cały okres wdrażania LSR. Dzięki stawkom zaczerpniętym z PROW 2014-2020, osiągnięte zostanie uproszczenie, ponieważ sposób finansowania </w:t>
            </w:r>
            <w:proofErr w:type="spellStart"/>
            <w:r w:rsidRPr="00B75C7C">
              <w:rPr>
                <w:rFonts w:ascii="Arial" w:hAnsi="Arial" w:cs="Arial"/>
                <w:sz w:val="20"/>
                <w:szCs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  <w:szCs w:val="20"/>
              </w:rPr>
              <w:t xml:space="preserve"> w każdym z funduszy będzie spójny.</w:t>
            </w:r>
          </w:p>
          <w:p w14:paraId="3B1F7A9B" w14:textId="10324286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Jednocześnie pozwoli to zlikwidować ewentualne niepożądane skutki związane z łączeniem wsparcia przy realizacji LSR z  dwóch odrębnych funduszy związane,  np. z występowaniem ryzyka podwójnego finansowania.</w:t>
            </w:r>
          </w:p>
        </w:tc>
      </w:tr>
      <w:tr w:rsidR="00777706" w:rsidRPr="00B75C7C" w14:paraId="2E69A007" w14:textId="77777777" w:rsidTr="008241DB">
        <w:trPr>
          <w:trHeight w:val="300"/>
          <w:jc w:val="center"/>
        </w:trPr>
        <w:tc>
          <w:tcPr>
            <w:tcW w:w="3397" w:type="dxa"/>
            <w:noWrap/>
            <w:vAlign w:val="center"/>
          </w:tcPr>
          <w:p w14:paraId="7ABF7045" w14:textId="096A14FB" w:rsidR="00777706" w:rsidRPr="00B75C7C" w:rsidRDefault="00777706" w:rsidP="00066B18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1.12 Planowana </w:t>
            </w:r>
            <w:r w:rsidRPr="00B75C7C">
              <w:rPr>
                <w:rFonts w:ascii="Arial" w:hAnsi="Arial" w:cs="Arial"/>
                <w:sz w:val="20"/>
                <w:szCs w:val="20"/>
              </w:rPr>
              <w:t>łączna kwota (krajowa i unijna) kosztów objętych metodyką</w:t>
            </w:r>
          </w:p>
        </w:tc>
        <w:tc>
          <w:tcPr>
            <w:tcW w:w="11658" w:type="dxa"/>
            <w:shd w:val="clear" w:color="auto" w:fill="auto"/>
          </w:tcPr>
          <w:p w14:paraId="1D430027" w14:textId="445CE55F" w:rsidR="00777706" w:rsidRPr="00B75C7C" w:rsidRDefault="00777706" w:rsidP="00777706">
            <w:pPr>
              <w:rPr>
                <w:rFonts w:ascii="Arial" w:hAnsi="Arial" w:cs="Arial"/>
                <w:sz w:val="20"/>
                <w:szCs w:val="20"/>
              </w:rPr>
            </w:pPr>
            <w:r w:rsidRPr="00B75C7C">
              <w:rPr>
                <w:rFonts w:ascii="Arial" w:hAnsi="Arial" w:cs="Arial"/>
                <w:sz w:val="20"/>
                <w:szCs w:val="20"/>
              </w:rPr>
              <w:t>4 028 tyś euro</w:t>
            </w:r>
          </w:p>
        </w:tc>
      </w:tr>
    </w:tbl>
    <w:p w14:paraId="429653C2" w14:textId="77777777" w:rsidR="00532D31" w:rsidRPr="00B75C7C" w:rsidRDefault="00532D31" w:rsidP="00532D3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2E42FE" w14:textId="77777777" w:rsidR="00066B18" w:rsidRPr="00B75C7C" w:rsidRDefault="00066B18" w:rsidP="00A41EFB">
      <w:pPr>
        <w:spacing w:after="0"/>
        <w:rPr>
          <w:rFonts w:ascii="Arial" w:hAnsi="Arial" w:cs="Arial"/>
          <w:b/>
        </w:rPr>
      </w:pPr>
    </w:p>
    <w:p w14:paraId="44CD1305" w14:textId="77777777" w:rsidR="00066B18" w:rsidRPr="00B75C7C" w:rsidRDefault="00066B18" w:rsidP="00066B18">
      <w:pPr>
        <w:rPr>
          <w:rFonts w:ascii="Arial" w:hAnsi="Arial" w:cs="Arial"/>
          <w:b/>
        </w:rPr>
      </w:pPr>
      <w:r w:rsidRPr="00B75C7C">
        <w:rPr>
          <w:rFonts w:ascii="Arial" w:hAnsi="Arial" w:cs="Arial"/>
          <w:b/>
        </w:rPr>
        <w:t xml:space="preserve">C: Obliczanie standardowych stawek jednostkowych, kwot ryczałtowych lub stawek ryczałtowych </w:t>
      </w:r>
      <w:r w:rsidRPr="00B75C7C">
        <w:rPr>
          <w:rFonts w:ascii="Arial" w:hAnsi="Arial" w:cs="Arial"/>
          <w:b/>
          <w:i/>
        </w:rPr>
        <w:t>*</w:t>
      </w:r>
    </w:p>
    <w:p w14:paraId="0A5F6D54" w14:textId="77777777" w:rsidR="00066B18" w:rsidRPr="00B75C7C" w:rsidRDefault="00066B18" w:rsidP="00A705D1">
      <w:pPr>
        <w:numPr>
          <w:ilvl w:val="0"/>
          <w:numId w:val="4"/>
        </w:numPr>
        <w:rPr>
          <w:rFonts w:ascii="Arial" w:hAnsi="Arial" w:cs="Arial"/>
        </w:rPr>
      </w:pPr>
      <w:r w:rsidRPr="00B75C7C">
        <w:rPr>
          <w:rFonts w:ascii="Arial" w:hAnsi="Arial" w:cs="Arial"/>
        </w:rPr>
        <w:t>Źródło danych wykorzystanych do obliczenia standardowych stawek jednostkowych, kwot ryczałtowych lub stawek ryczałtowych (kto przygotował, zgromadził i zapisał dane, miejsce przechowywania danych, daty graniczne, walidacja itd.).</w:t>
      </w:r>
    </w:p>
    <w:tbl>
      <w:tblPr>
        <w:tblStyle w:val="Tabela-Siatka"/>
        <w:tblW w:w="15055" w:type="dxa"/>
        <w:jc w:val="center"/>
        <w:tblLook w:val="04A0" w:firstRow="1" w:lastRow="0" w:firstColumn="1" w:lastColumn="0" w:noHBand="0" w:noVBand="1"/>
      </w:tblPr>
      <w:tblGrid>
        <w:gridCol w:w="15055"/>
      </w:tblGrid>
      <w:tr w:rsidR="00066B18" w:rsidRPr="00B75C7C" w14:paraId="1B7BA7F1" w14:textId="77777777" w:rsidTr="00066B18">
        <w:trPr>
          <w:jc w:val="center"/>
        </w:trPr>
        <w:tc>
          <w:tcPr>
            <w:tcW w:w="15055" w:type="dxa"/>
          </w:tcPr>
          <w:p w14:paraId="09F1E013" w14:textId="6CA5FF77" w:rsidR="00916427" w:rsidRPr="00B75C7C" w:rsidRDefault="00BC3EA4" w:rsidP="00916427">
            <w:pPr>
              <w:jc w:val="both"/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 xml:space="preserve">Punktem wyjścia i podstawą przedstawionego mechanizmu finansowania wdrożenia i realizacji LSR jest dokument pn.: Zasady finansowania „Wsparcia przygotowawczego” i „Wsparcia na rzecz kosztów bieżących i aktywizacji” oraz ustalania alokacji środków na lokalną strategię rozwoju w ramach działania LEADER objętego Programem Rozwoju Obszarów Wiejskich na lata 2014-2020, który był efektywnie wykorzystywany w perspektywie finansowej 2014-2020. </w:t>
            </w:r>
            <w:r w:rsidR="00916427" w:rsidRPr="00B75C7C">
              <w:rPr>
                <w:rFonts w:ascii="Arial" w:hAnsi="Arial" w:cs="Arial"/>
                <w:sz w:val="20"/>
              </w:rPr>
              <w:t>Pomoc na koszty zarządzania LSR ma formę finansowania w oparciu o stawki obliczone przez zastosowanie wartości procentowej do wy</w:t>
            </w:r>
            <w:r w:rsidR="00F35942" w:rsidRPr="00B75C7C">
              <w:rPr>
                <w:rFonts w:ascii="Arial" w:hAnsi="Arial" w:cs="Arial"/>
                <w:sz w:val="20"/>
              </w:rPr>
              <w:t>datków</w:t>
            </w:r>
            <w:r w:rsidR="00ED5C4F" w:rsidRPr="00B75C7C">
              <w:rPr>
                <w:rFonts w:ascii="Arial" w:hAnsi="Arial" w:cs="Arial"/>
                <w:sz w:val="20"/>
              </w:rPr>
              <w:t xml:space="preserve"> na wdrażanie</w:t>
            </w:r>
            <w:r w:rsidR="00916427" w:rsidRPr="00B75C7C">
              <w:rPr>
                <w:rFonts w:ascii="Arial" w:hAnsi="Arial" w:cs="Arial"/>
                <w:sz w:val="20"/>
              </w:rPr>
              <w:t xml:space="preserve"> LSR, poprzez przyjęcie analogicznej metody jak w ramach konkursu na wybór LSR w perspektywie finansowej 2014-2020.</w:t>
            </w:r>
          </w:p>
          <w:p w14:paraId="1F2DE0FE" w14:textId="77777777" w:rsidR="006C3192" w:rsidRPr="00B75C7C" w:rsidRDefault="00BC3EA4" w:rsidP="006C3192">
            <w:pPr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lastRenderedPageBreak/>
              <w:t>Przy realizacji PROW 2014-2020 zakładano, że wsparcie na rzecz kosztów bieżących i aktywizacji udzielane będzie w formach uproszczonych (zryczałtowanych), a wysokość zryczałtowanej płatności a także stawek ryczałtowych oraz maksymalna kwota wsparcia w przypadku wsparcia na rzecz kosztów bieżących i aktywizacji zostanie określona w oparciu o analizę wykorzystującą dane</w:t>
            </w:r>
            <w:r w:rsidR="00916427" w:rsidRPr="00B75C7C">
              <w:rPr>
                <w:rFonts w:ascii="Arial" w:hAnsi="Arial" w:cs="Arial"/>
                <w:sz w:val="20"/>
              </w:rPr>
              <w:t xml:space="preserve"> historyczne</w:t>
            </w:r>
            <w:r w:rsidRPr="00B75C7C">
              <w:rPr>
                <w:rFonts w:ascii="Arial" w:hAnsi="Arial" w:cs="Arial"/>
                <w:sz w:val="20"/>
              </w:rPr>
              <w:t xml:space="preserve"> z okresu 2007-2013. </w:t>
            </w:r>
          </w:p>
          <w:p w14:paraId="3E1D2A91" w14:textId="77777777" w:rsidR="00A14144" w:rsidRPr="00B75C7C" w:rsidRDefault="006C3192" w:rsidP="006C3192">
            <w:pPr>
              <w:ind w:left="360"/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 xml:space="preserve">1. </w:t>
            </w:r>
            <w:r w:rsidR="00BC3EA4" w:rsidRPr="00B75C7C">
              <w:rPr>
                <w:rFonts w:ascii="Arial" w:hAnsi="Arial" w:cs="Arial"/>
                <w:sz w:val="20"/>
              </w:rPr>
              <w:t xml:space="preserve">Celem wskazanego wyżej opracowania było wskazanie rekomendacji w zakresie: </w:t>
            </w:r>
          </w:p>
          <w:p w14:paraId="7FF6E2A6" w14:textId="77777777" w:rsidR="00A14144" w:rsidRPr="00B75C7C" w:rsidRDefault="00BC3EA4" w:rsidP="00A705D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>zasad ustalania wysokości środków PROW 2014-2020</w:t>
            </w:r>
            <w:r w:rsidR="00A14144" w:rsidRPr="00B75C7C">
              <w:rPr>
                <w:rFonts w:ascii="Arial" w:hAnsi="Arial" w:cs="Arial"/>
                <w:sz w:val="20"/>
              </w:rPr>
              <w:t xml:space="preserve"> na LSR, w tym konkretnych kwot;</w:t>
            </w:r>
            <w:r w:rsidRPr="00B75C7C">
              <w:rPr>
                <w:rFonts w:ascii="Arial" w:hAnsi="Arial" w:cs="Arial"/>
                <w:sz w:val="20"/>
              </w:rPr>
              <w:t xml:space="preserve"> </w:t>
            </w:r>
          </w:p>
          <w:p w14:paraId="3D6202AD" w14:textId="77777777" w:rsidR="00A14144" w:rsidRPr="00B75C7C" w:rsidRDefault="00BC3EA4" w:rsidP="00A705D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>form wsparcia na rzecz kosztów bieżących i aktywizacji</w:t>
            </w:r>
            <w:r w:rsidR="00970919" w:rsidRPr="00B75C7C">
              <w:rPr>
                <w:rFonts w:ascii="Arial" w:hAnsi="Arial" w:cs="Arial"/>
                <w:sz w:val="20"/>
              </w:rPr>
              <w:t xml:space="preserve"> udzielanych w ramach PROW 2014</w:t>
            </w:r>
            <w:r w:rsidR="007B1E5A" w:rsidRPr="00B75C7C">
              <w:rPr>
                <w:rFonts w:ascii="Arial" w:hAnsi="Arial" w:cs="Arial"/>
                <w:sz w:val="20"/>
              </w:rPr>
              <w:t>-2020</w:t>
            </w:r>
            <w:r w:rsidRPr="00B75C7C">
              <w:rPr>
                <w:rFonts w:ascii="Arial" w:hAnsi="Arial" w:cs="Arial"/>
                <w:sz w:val="20"/>
              </w:rPr>
              <w:t xml:space="preserve"> i sposobu ustalania wysokości tego wsparcia wraz z</w:t>
            </w:r>
            <w:r w:rsidR="00A14144" w:rsidRPr="00B75C7C">
              <w:rPr>
                <w:rFonts w:ascii="Arial" w:hAnsi="Arial" w:cs="Arial"/>
                <w:sz w:val="20"/>
              </w:rPr>
              <w:t xml:space="preserve"> konkretnymi kwotami / stawkami;</w:t>
            </w:r>
          </w:p>
          <w:p w14:paraId="740D70CD" w14:textId="77777777" w:rsidR="006C3192" w:rsidRPr="00B75C7C" w:rsidRDefault="00BC3EA4" w:rsidP="00A705D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>minimalnych wymagań i wskaźników, do osiągnięcia których powinny być zobowiązane L</w:t>
            </w:r>
            <w:r w:rsidR="00ED5C4F" w:rsidRPr="00B75C7C">
              <w:rPr>
                <w:rFonts w:ascii="Arial" w:hAnsi="Arial" w:cs="Arial"/>
                <w:sz w:val="20"/>
              </w:rPr>
              <w:t xml:space="preserve">GD korzystające z ww. wsparcia </w:t>
            </w:r>
            <w:r w:rsidRPr="00B75C7C">
              <w:rPr>
                <w:rFonts w:ascii="Arial" w:hAnsi="Arial" w:cs="Arial"/>
                <w:sz w:val="20"/>
              </w:rPr>
              <w:t>- z uwzględnieniem obowiązujących przepisów, zobowiązań podjętych przez Polskę w umowie partnerstwa i PROW 2014-2020 oraz wskazaniem przyjętych założeń i ich szczegółowego uzasadnienia.</w:t>
            </w:r>
          </w:p>
          <w:p w14:paraId="42AD4D07" w14:textId="77777777" w:rsidR="00916427" w:rsidRPr="00B75C7C" w:rsidRDefault="006C3192" w:rsidP="002D45F2">
            <w:pPr>
              <w:ind w:left="360"/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>2 .</w:t>
            </w:r>
            <w:r w:rsidR="00BC3EA4" w:rsidRPr="00B75C7C">
              <w:rPr>
                <w:rFonts w:ascii="Arial" w:hAnsi="Arial" w:cs="Arial"/>
                <w:sz w:val="20"/>
              </w:rPr>
              <w:t>W związku z tym, że przedmiotowe zapisy były już z powodzeniem wykorzystywane w PROW, z którego wywodzi się mechanizm RLKS uznano, że mogą one również stanowić podstawę do zastosowania stawek ryczałtowych również p</w:t>
            </w:r>
            <w:r w:rsidR="00152196" w:rsidRPr="00B75C7C">
              <w:rPr>
                <w:rFonts w:ascii="Arial" w:hAnsi="Arial" w:cs="Arial"/>
                <w:sz w:val="20"/>
              </w:rPr>
              <w:t xml:space="preserve">rzy </w:t>
            </w:r>
            <w:r w:rsidR="00A14144" w:rsidRPr="00B75C7C">
              <w:rPr>
                <w:rFonts w:ascii="Arial" w:hAnsi="Arial" w:cs="Arial"/>
                <w:sz w:val="20"/>
              </w:rPr>
              <w:t>finansowaniu LGD ze środków EFS+</w:t>
            </w:r>
            <w:r w:rsidR="00152196" w:rsidRPr="00B75C7C">
              <w:rPr>
                <w:rFonts w:ascii="Arial" w:hAnsi="Arial" w:cs="Arial"/>
                <w:sz w:val="20"/>
              </w:rPr>
              <w:t>.</w:t>
            </w:r>
            <w:r w:rsidR="00A14144" w:rsidRPr="00B75C7C">
              <w:rPr>
                <w:rFonts w:ascii="Arial" w:hAnsi="Arial" w:cs="Arial"/>
                <w:sz w:val="20"/>
              </w:rPr>
              <w:t xml:space="preserve"> </w:t>
            </w:r>
            <w:r w:rsidR="00BC3EA4" w:rsidRPr="00B75C7C">
              <w:rPr>
                <w:rFonts w:ascii="Arial" w:hAnsi="Arial" w:cs="Arial"/>
                <w:sz w:val="20"/>
              </w:rPr>
              <w:t>Finansowanie realizacji LSR</w:t>
            </w:r>
            <w:r w:rsidR="00E56792" w:rsidRPr="00B75C7C">
              <w:rPr>
                <w:rFonts w:ascii="Arial" w:hAnsi="Arial" w:cs="Arial"/>
                <w:sz w:val="20"/>
              </w:rPr>
              <w:t xml:space="preserve"> będzie zgodne z zapisami</w:t>
            </w:r>
            <w:r w:rsidR="00BC3EA4" w:rsidRPr="00B75C7C">
              <w:rPr>
                <w:rFonts w:ascii="Arial" w:hAnsi="Arial" w:cs="Arial"/>
                <w:sz w:val="20"/>
              </w:rPr>
              <w:t xml:space="preserve"> </w:t>
            </w:r>
            <w:r w:rsidR="00F76156" w:rsidRPr="00B75C7C">
              <w:rPr>
                <w:rFonts w:ascii="Arial" w:hAnsi="Arial" w:cs="Arial"/>
                <w:sz w:val="20"/>
              </w:rPr>
              <w:t xml:space="preserve">art. 34 ust. 1 lit. c) </w:t>
            </w:r>
            <w:r w:rsidR="00BC3EA4" w:rsidRPr="00B75C7C">
              <w:rPr>
                <w:rFonts w:ascii="Arial" w:hAnsi="Arial" w:cs="Arial"/>
                <w:sz w:val="20"/>
              </w:rPr>
              <w:t>rozporządzenia ogólnego</w:t>
            </w:r>
            <w:r w:rsidR="00E56792" w:rsidRPr="00B75C7C">
              <w:rPr>
                <w:rFonts w:ascii="Arial" w:hAnsi="Arial" w:cs="Arial"/>
                <w:sz w:val="20"/>
              </w:rPr>
              <w:t xml:space="preserve"> i obejmować będzie</w:t>
            </w:r>
            <w:r w:rsidR="00A14144" w:rsidRPr="00B75C7C">
              <w:rPr>
                <w:rFonts w:ascii="Arial" w:hAnsi="Arial" w:cs="Arial"/>
                <w:sz w:val="20"/>
              </w:rPr>
              <w:t xml:space="preserve"> </w:t>
            </w:r>
            <w:r w:rsidR="00BC3EA4" w:rsidRPr="00B75C7C">
              <w:rPr>
                <w:rFonts w:ascii="Arial" w:hAnsi="Arial" w:cs="Arial"/>
                <w:sz w:val="20"/>
                <w:szCs w:val="24"/>
                <w:lang w:eastAsia="pl-PL"/>
              </w:rPr>
              <w:t>zarządzanie strategią, jej monitorowanie i ewaluację oraz jej animowanie, w tym ułatwianie wymiany między zainteresowanymi stronami</w:t>
            </w:r>
            <w:r w:rsidR="00E56792" w:rsidRPr="00B75C7C">
              <w:rPr>
                <w:rFonts w:ascii="Arial" w:hAnsi="Arial" w:cs="Arial"/>
                <w:sz w:val="20"/>
                <w:szCs w:val="24"/>
                <w:lang w:eastAsia="pl-PL"/>
              </w:rPr>
              <w:t>.</w:t>
            </w:r>
          </w:p>
          <w:p w14:paraId="0D70D665" w14:textId="45206859" w:rsidR="00F11E51" w:rsidRPr="00B75C7C" w:rsidRDefault="00F11E51" w:rsidP="00F11E51">
            <w:pPr>
              <w:jc w:val="both"/>
              <w:rPr>
                <w:rFonts w:ascii="Arial" w:hAnsi="Arial" w:cs="Arial"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>Planując podział środków na koszty wdrażania LSR</w:t>
            </w:r>
            <w:r w:rsidR="008C07C1" w:rsidRPr="00B75C7C">
              <w:rPr>
                <w:rFonts w:ascii="Arial" w:hAnsi="Arial" w:cs="Arial"/>
                <w:sz w:val="20"/>
              </w:rPr>
              <w:t xml:space="preserve"> w województwie </w:t>
            </w:r>
            <w:r w:rsidR="004C0064" w:rsidRPr="00B75C7C">
              <w:rPr>
                <w:rFonts w:ascii="Arial" w:hAnsi="Arial" w:cs="Arial"/>
                <w:sz w:val="20"/>
              </w:rPr>
              <w:t xml:space="preserve">śląskim </w:t>
            </w:r>
            <w:r w:rsidRPr="00B75C7C">
              <w:rPr>
                <w:rFonts w:ascii="Arial" w:hAnsi="Arial" w:cs="Arial"/>
                <w:sz w:val="20"/>
              </w:rPr>
              <w:t xml:space="preserve">przede wszystkim starano się zagwarantować LGD budżet porównywalny z dostępnym w </w:t>
            </w:r>
            <w:r w:rsidR="00F77CAE" w:rsidRPr="00B75C7C">
              <w:rPr>
                <w:rFonts w:ascii="Arial" w:hAnsi="Arial" w:cs="Arial"/>
                <w:sz w:val="20"/>
              </w:rPr>
              <w:t>PROW 2014-2020.</w:t>
            </w:r>
            <w:r w:rsidRPr="00B75C7C">
              <w:rPr>
                <w:rFonts w:ascii="Arial" w:hAnsi="Arial" w:cs="Arial"/>
                <w:sz w:val="20"/>
              </w:rPr>
              <w:t xml:space="preserve"> </w:t>
            </w:r>
            <w:r w:rsidR="006A39F7" w:rsidRPr="00B75C7C">
              <w:rPr>
                <w:rFonts w:ascii="Arial" w:hAnsi="Arial" w:cs="Arial"/>
                <w:sz w:val="20"/>
              </w:rPr>
              <w:t xml:space="preserve">Mając informacje dotyczące obniżenia wartości </w:t>
            </w:r>
            <w:r w:rsidRPr="00B75C7C">
              <w:rPr>
                <w:rFonts w:ascii="Arial" w:hAnsi="Arial" w:cs="Arial"/>
                <w:sz w:val="20"/>
              </w:rPr>
              <w:t>koperty wojewódzkiej EFRROW dla województw wielofunduszowych, brak wyznaczenia funduszu wiodącego dla wsparcia kosztów zarządzania i animacji, dokonano oszacowania obszaru planowanego do objęcia LSR, z uwzględnieniem zmian w strukturze obszarowej LGD oraz zmian demograficznych (do obliczeń przyjęto dane GUS z grudnia 2020 r.</w:t>
            </w:r>
            <w:r w:rsidR="00B345B7" w:rsidRPr="00B75C7C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  <w:r w:rsidRPr="00B75C7C">
              <w:rPr>
                <w:rFonts w:ascii="Arial" w:hAnsi="Arial" w:cs="Arial"/>
                <w:sz w:val="20"/>
              </w:rPr>
              <w:t xml:space="preserve"> – zgodnie z założeniami projektowanego regulaminu konkursu na wybór LSR). Znajomość potencjalnej liczby LSR jakie mogą zostać złożone w konkursie, a także liczby mieszkańców obszaru planowanego do objęcia LSR pozwoliła na taki podział kwot, który zapewniłby LGD budżet zbliżony do dostępnego obecnie, z zachowaniem proporcji stosowanych przez </w:t>
            </w:r>
            <w:proofErr w:type="spellStart"/>
            <w:r w:rsidRPr="00B75C7C">
              <w:rPr>
                <w:rFonts w:ascii="Arial" w:hAnsi="Arial" w:cs="Arial"/>
                <w:sz w:val="20"/>
              </w:rPr>
              <w:t>MRiRW</w:t>
            </w:r>
            <w:proofErr w:type="spellEnd"/>
            <w:r w:rsidRPr="00B75C7C">
              <w:rPr>
                <w:rFonts w:ascii="Arial" w:hAnsi="Arial" w:cs="Arial"/>
                <w:sz w:val="20"/>
              </w:rPr>
              <w:t xml:space="preserve"> dla EFRROW. W efekcie - zastosowanie stawek procentowych stosowanych w poprzedniej perspektywie jest </w:t>
            </w:r>
            <w:r w:rsidR="006D52D1" w:rsidRPr="00B75C7C">
              <w:rPr>
                <w:rFonts w:ascii="Arial" w:hAnsi="Arial" w:cs="Arial"/>
                <w:sz w:val="20"/>
              </w:rPr>
              <w:t>uzasadnione</w:t>
            </w:r>
            <w:r w:rsidRPr="00B75C7C">
              <w:rPr>
                <w:rFonts w:ascii="Arial" w:hAnsi="Arial" w:cs="Arial"/>
                <w:sz w:val="20"/>
              </w:rPr>
              <w:t xml:space="preserve"> </w:t>
            </w:r>
            <w:r w:rsidR="006D52D1" w:rsidRPr="00B75C7C">
              <w:rPr>
                <w:rFonts w:ascii="Arial" w:hAnsi="Arial" w:cs="Arial"/>
                <w:sz w:val="20"/>
              </w:rPr>
              <w:t xml:space="preserve">i spójne z dotychczasowym systemem wsparcia LGD. </w:t>
            </w:r>
          </w:p>
          <w:p w14:paraId="3CDD93CB" w14:textId="2A5799DF" w:rsidR="00066B18" w:rsidRPr="00B75C7C" w:rsidRDefault="00066B18" w:rsidP="00532D31">
            <w:pPr>
              <w:pStyle w:val="Default"/>
              <w:rPr>
                <w:rFonts w:ascii="Arial" w:hAnsi="Arial" w:cs="Arial"/>
                <w:bCs/>
                <w:sz w:val="20"/>
              </w:rPr>
            </w:pPr>
            <w:r w:rsidRPr="00B75C7C">
              <w:rPr>
                <w:rFonts w:ascii="Arial" w:hAnsi="Arial" w:cs="Arial"/>
                <w:bCs/>
                <w:color w:val="auto"/>
                <w:sz w:val="20"/>
              </w:rPr>
              <w:t>D</w:t>
            </w:r>
            <w:r w:rsidR="00DD1F9D" w:rsidRPr="00B75C7C">
              <w:rPr>
                <w:rFonts w:ascii="Arial" w:hAnsi="Arial" w:cs="Arial"/>
                <w:bCs/>
                <w:color w:val="auto"/>
                <w:sz w:val="20"/>
              </w:rPr>
              <w:t>ane przechowywane są w podmiocie odpowiedzialnym za przygotowanie wyżej opisanego dokumentu</w:t>
            </w:r>
            <w:r w:rsidR="00ED5C4F" w:rsidRPr="00B75C7C">
              <w:rPr>
                <w:rFonts w:ascii="Arial" w:hAnsi="Arial" w:cs="Arial"/>
                <w:bCs/>
                <w:color w:val="auto"/>
                <w:sz w:val="20"/>
              </w:rPr>
              <w:t>,</w:t>
            </w:r>
            <w:r w:rsidR="00DD1F9D" w:rsidRPr="00B75C7C">
              <w:rPr>
                <w:rFonts w:ascii="Arial" w:hAnsi="Arial" w:cs="Arial"/>
                <w:bCs/>
                <w:color w:val="auto"/>
                <w:sz w:val="20"/>
              </w:rPr>
              <w:t xml:space="preserve"> tj. w </w:t>
            </w:r>
            <w:r w:rsidR="00DE1E1A" w:rsidRPr="00B75C7C">
              <w:rPr>
                <w:rFonts w:ascii="Arial" w:hAnsi="Arial" w:cs="Arial"/>
                <w:bCs/>
                <w:color w:val="auto"/>
                <w:sz w:val="20"/>
              </w:rPr>
              <w:t>Ministerstwie Rolnictwa i Rozwoju Wsi</w:t>
            </w:r>
            <w:r w:rsidR="008C11AE" w:rsidRPr="00B75C7C">
              <w:rPr>
                <w:rFonts w:ascii="Arial" w:hAnsi="Arial" w:cs="Arial"/>
                <w:bCs/>
                <w:color w:val="auto"/>
                <w:sz w:val="20"/>
              </w:rPr>
              <w:t xml:space="preserve"> oraz IZ FE</w:t>
            </w:r>
            <w:r w:rsidR="004C0064" w:rsidRPr="00B75C7C">
              <w:rPr>
                <w:rFonts w:ascii="Arial" w:hAnsi="Arial" w:cs="Arial"/>
                <w:bCs/>
                <w:color w:val="auto"/>
                <w:sz w:val="20"/>
              </w:rPr>
              <w:t>SL</w:t>
            </w:r>
            <w:r w:rsidR="00532D31" w:rsidRPr="00B75C7C">
              <w:rPr>
                <w:rFonts w:ascii="Arial" w:hAnsi="Arial" w:cs="Arial"/>
                <w:bCs/>
                <w:color w:val="auto"/>
                <w:sz w:val="20"/>
              </w:rPr>
              <w:t>.</w:t>
            </w:r>
            <w:r w:rsidR="00DE1E1A" w:rsidRPr="00B75C7C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71E6902E" w14:textId="77777777" w:rsidR="00066B18" w:rsidRPr="00B75C7C" w:rsidRDefault="00066B18" w:rsidP="00066B18">
      <w:pPr>
        <w:rPr>
          <w:rFonts w:ascii="Arial" w:hAnsi="Arial" w:cs="Arial"/>
          <w:bCs/>
        </w:rPr>
      </w:pPr>
    </w:p>
    <w:p w14:paraId="3536276D" w14:textId="25A673EE" w:rsidR="00066B18" w:rsidRPr="00B75C7C" w:rsidRDefault="00066B18" w:rsidP="00A705D1">
      <w:pPr>
        <w:numPr>
          <w:ilvl w:val="0"/>
          <w:numId w:val="3"/>
        </w:numPr>
        <w:rPr>
          <w:rFonts w:ascii="Arial" w:hAnsi="Arial" w:cs="Arial"/>
        </w:rPr>
      </w:pPr>
      <w:r w:rsidRPr="00B75C7C">
        <w:rPr>
          <w:rFonts w:ascii="Arial" w:hAnsi="Arial" w:cs="Arial"/>
        </w:rPr>
        <w:lastRenderedPageBreak/>
        <w:t>Proszę określić, dlaczego proponowana metoda i obliczenia są właściwe dla danego rodzaju operacji.</w:t>
      </w:r>
    </w:p>
    <w:tbl>
      <w:tblPr>
        <w:tblStyle w:val="Tabela-Siatka"/>
        <w:tblW w:w="15055" w:type="dxa"/>
        <w:jc w:val="center"/>
        <w:tblLook w:val="04A0" w:firstRow="1" w:lastRow="0" w:firstColumn="1" w:lastColumn="0" w:noHBand="0" w:noVBand="1"/>
      </w:tblPr>
      <w:tblGrid>
        <w:gridCol w:w="15055"/>
      </w:tblGrid>
      <w:tr w:rsidR="00066B18" w:rsidRPr="00B75C7C" w14:paraId="6B0F19B6" w14:textId="77777777" w:rsidTr="00066B18">
        <w:trPr>
          <w:jc w:val="center"/>
        </w:trPr>
        <w:tc>
          <w:tcPr>
            <w:tcW w:w="15055" w:type="dxa"/>
          </w:tcPr>
          <w:p w14:paraId="79935E08" w14:textId="77777777" w:rsidR="00066B18" w:rsidRPr="00B75C7C" w:rsidRDefault="00066B18" w:rsidP="00066B18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t xml:space="preserve">Metoda kalkulacji stawki ryczałtowej została szczegółowo opisana w </w:t>
            </w:r>
            <w:r w:rsidR="00E56792" w:rsidRPr="00B75C7C">
              <w:rPr>
                <w:rFonts w:ascii="Arial" w:hAnsi="Arial" w:cs="Arial"/>
                <w:sz w:val="20"/>
                <w:szCs w:val="20"/>
              </w:rPr>
              <w:t xml:space="preserve">dokumencie pn.: Zasady finansowania „Wsparcia przygotowawczego” i „Wsparcia na rzecz kosztów bieżących i aktywizacji” oraz ustalania alokacji środków na lokalną strategię rozwoju w ramach działania LEADER objętego Programem Rozwoju Obszarów Wiejskich na lata 2014-2020, który był efektywnie i skutecznie wykorzystywany w perspektywie finansowej 2014-2020. </w:t>
            </w:r>
          </w:p>
          <w:p w14:paraId="258B4627" w14:textId="77777777" w:rsidR="00066B18" w:rsidRPr="00B75C7C" w:rsidRDefault="00E56792" w:rsidP="00321A6B">
            <w:pPr>
              <w:rPr>
                <w:rFonts w:ascii="Arial" w:hAnsi="Arial" w:cs="Arial"/>
                <w:bCs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  <w:szCs w:val="20"/>
              </w:rPr>
              <w:t>Przedmiotowe s</w:t>
            </w:r>
            <w:r w:rsidR="00066B18" w:rsidRPr="00B75C7C">
              <w:rPr>
                <w:rFonts w:ascii="Arial" w:hAnsi="Arial" w:cs="Arial"/>
                <w:bCs/>
                <w:sz w:val="20"/>
                <w:szCs w:val="20"/>
              </w:rPr>
              <w:t>tawki</w:t>
            </w:r>
            <w:r w:rsidR="00321A6B" w:rsidRPr="00B75C7C">
              <w:rPr>
                <w:rFonts w:ascii="Arial" w:hAnsi="Arial" w:cs="Arial"/>
                <w:bCs/>
                <w:sz w:val="20"/>
                <w:szCs w:val="20"/>
              </w:rPr>
              <w:t xml:space="preserve"> ryczałtowe</w:t>
            </w:r>
            <w:r w:rsidR="00066B18" w:rsidRPr="00B75C7C">
              <w:rPr>
                <w:rFonts w:ascii="Arial" w:hAnsi="Arial" w:cs="Arial"/>
                <w:bCs/>
                <w:sz w:val="20"/>
                <w:szCs w:val="20"/>
              </w:rPr>
              <w:t xml:space="preserve"> są stosowane z sukcesem w </w:t>
            </w:r>
            <w:r w:rsidRPr="00B75C7C">
              <w:rPr>
                <w:rFonts w:ascii="Arial" w:hAnsi="Arial" w:cs="Arial"/>
                <w:bCs/>
                <w:sz w:val="20"/>
                <w:szCs w:val="20"/>
              </w:rPr>
              <w:t>perspektywie</w:t>
            </w:r>
            <w:r w:rsidR="00066B18" w:rsidRPr="00B75C7C">
              <w:rPr>
                <w:rFonts w:ascii="Arial" w:hAnsi="Arial" w:cs="Arial"/>
                <w:bCs/>
                <w:sz w:val="20"/>
                <w:szCs w:val="20"/>
              </w:rPr>
              <w:t xml:space="preserve"> finansowej</w:t>
            </w:r>
            <w:r w:rsidR="00321A6B" w:rsidRPr="00B75C7C">
              <w:rPr>
                <w:rFonts w:ascii="Arial" w:hAnsi="Arial" w:cs="Arial"/>
                <w:bCs/>
                <w:sz w:val="20"/>
                <w:szCs w:val="20"/>
              </w:rPr>
              <w:t xml:space="preserve"> 2014-2020</w:t>
            </w:r>
            <w:r w:rsidR="00066B18" w:rsidRPr="00B75C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75C7C">
              <w:rPr>
                <w:rFonts w:ascii="Arial" w:hAnsi="Arial" w:cs="Arial"/>
                <w:bCs/>
                <w:sz w:val="20"/>
                <w:szCs w:val="20"/>
              </w:rPr>
              <w:t xml:space="preserve">finansowanej </w:t>
            </w:r>
            <w:r w:rsidR="00C77E28" w:rsidRPr="00B75C7C">
              <w:rPr>
                <w:rFonts w:ascii="Arial" w:hAnsi="Arial" w:cs="Arial"/>
                <w:bCs/>
                <w:sz w:val="20"/>
                <w:szCs w:val="20"/>
              </w:rPr>
              <w:t>przy realizacji mechanizmu RLKS ze środków EFR</w:t>
            </w:r>
            <w:r w:rsidR="00D93E88" w:rsidRPr="00B75C7C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C77E28" w:rsidRPr="00B75C7C">
              <w:rPr>
                <w:rFonts w:ascii="Arial" w:hAnsi="Arial" w:cs="Arial"/>
                <w:bCs/>
                <w:sz w:val="20"/>
                <w:szCs w:val="20"/>
              </w:rPr>
              <w:t>OW, a w konsekwencji przy zastosowaniu niewielkich modyfikacji obejmujących specyfikę poszczególnych funduszy uznaje się za zasadne ich analogiczne zastosowanie z części finansowania LSR, któr</w:t>
            </w:r>
            <w:r w:rsidR="00152196" w:rsidRPr="00B75C7C">
              <w:rPr>
                <w:rFonts w:ascii="Arial" w:hAnsi="Arial" w:cs="Arial"/>
                <w:bCs/>
                <w:sz w:val="20"/>
                <w:szCs w:val="20"/>
              </w:rPr>
              <w:t>a pochodzić będzie ze środków EFS+.</w:t>
            </w:r>
          </w:p>
        </w:tc>
      </w:tr>
    </w:tbl>
    <w:p w14:paraId="045678D0" w14:textId="77777777" w:rsidR="00A41EFB" w:rsidRPr="00B75C7C" w:rsidRDefault="00A41EFB" w:rsidP="008241DB">
      <w:pPr>
        <w:spacing w:after="0"/>
        <w:rPr>
          <w:rFonts w:ascii="Arial" w:hAnsi="Arial" w:cs="Arial"/>
        </w:rPr>
      </w:pPr>
    </w:p>
    <w:p w14:paraId="3D5A4943" w14:textId="6E27112E" w:rsidR="00066B18" w:rsidRPr="00B75C7C" w:rsidRDefault="00066B18" w:rsidP="00A705D1">
      <w:pPr>
        <w:numPr>
          <w:ilvl w:val="0"/>
          <w:numId w:val="6"/>
        </w:numPr>
        <w:ind w:left="709"/>
        <w:rPr>
          <w:rFonts w:ascii="Arial" w:hAnsi="Arial" w:cs="Arial"/>
        </w:rPr>
      </w:pPr>
      <w:r w:rsidRPr="00B75C7C">
        <w:rPr>
          <w:rFonts w:ascii="Arial" w:hAnsi="Arial" w:cs="Arial"/>
        </w:rPr>
        <w:t>Proszę określić sposób dokonania obliczeń, w tym w szczególności założenia przyjęte w odniesieniu do jakości lub ilości danych. W stosownych przypadkach należy zastosować dane statystyczne i poziomy odniesienia oraz przedstawić je – na wniosek – w formacie pozwalającym na wykorzystanie</w:t>
      </w:r>
      <w:r w:rsidR="00D247A2" w:rsidRPr="00B75C7C">
        <w:rPr>
          <w:rFonts w:ascii="Arial" w:hAnsi="Arial" w:cs="Arial"/>
        </w:rPr>
        <w:t>.</w:t>
      </w:r>
    </w:p>
    <w:tbl>
      <w:tblPr>
        <w:tblStyle w:val="Tabela-Siatka"/>
        <w:tblW w:w="15055" w:type="dxa"/>
        <w:jc w:val="center"/>
        <w:tblLook w:val="04A0" w:firstRow="1" w:lastRow="0" w:firstColumn="1" w:lastColumn="0" w:noHBand="0" w:noVBand="1"/>
      </w:tblPr>
      <w:tblGrid>
        <w:gridCol w:w="15055"/>
      </w:tblGrid>
      <w:tr w:rsidR="00066B18" w:rsidRPr="00B75C7C" w14:paraId="3F1BF298" w14:textId="77777777" w:rsidTr="00066B18">
        <w:trPr>
          <w:jc w:val="center"/>
        </w:trPr>
        <w:tc>
          <w:tcPr>
            <w:tcW w:w="15055" w:type="dxa"/>
          </w:tcPr>
          <w:p w14:paraId="4BB969C7" w14:textId="77777777" w:rsidR="00B25A2A" w:rsidRPr="00B75C7C" w:rsidRDefault="00066B18" w:rsidP="00B25A2A">
            <w:pPr>
              <w:rPr>
                <w:rFonts w:ascii="Arial" w:hAnsi="Arial" w:cs="Arial"/>
                <w:bCs/>
                <w:i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</w:rPr>
              <w:t xml:space="preserve">Sposób kalkulacji stawek ryczałtowych został szczegółowo opisany w </w:t>
            </w:r>
            <w:r w:rsidR="00B25A2A" w:rsidRPr="00B75C7C">
              <w:rPr>
                <w:rFonts w:ascii="Arial" w:hAnsi="Arial" w:cs="Arial"/>
                <w:sz w:val="20"/>
              </w:rPr>
              <w:t xml:space="preserve">dokumencie pn.: Zasady finansowania „Wsparcia przygotowawczego” i „Wsparcia na rzecz kosztów bieżących i aktywizacji” oraz ustalania alokacji środków na lokalną strategię rozwoju w ramach działania LEADER objętego Programem Rozwoju Obszarów Wiejskich na lata 2014-2020, który był efektywnie i skutecznie wykorzystywany w perspektywie finansowej 2014-2020. </w:t>
            </w:r>
          </w:p>
          <w:p w14:paraId="231BDA5A" w14:textId="1F517F6B" w:rsidR="00B25A2A" w:rsidRPr="00B75C7C" w:rsidRDefault="00A757AE" w:rsidP="00A757AE">
            <w:pPr>
              <w:rPr>
                <w:rFonts w:ascii="Arial" w:hAnsi="Arial" w:cs="Arial"/>
                <w:bCs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</w:rPr>
              <w:t>Zgodnie z Zasadami realizacji instrumentów terytorialnych w Polsce w perspektywie finansowej UE na lata 2021-2027, RLKS jest kierowany przez LGD i ma na celu realizację zaplanowanych w strategii projektów, które przyczyniają się do zintegrowanego rozwoju terytorialnego. Efektem oddolnego planowania jest realizacja projektów dopasowanych do miejscowych potrzeb a dodatkowo – wzmacnianie kapitału społecznego. W związku z tym, wskaźnik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i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przyjęt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e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dla rozliczenia staw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 xml:space="preserve">ek </w:t>
            </w:r>
            <w:r w:rsidRPr="00B75C7C">
              <w:rPr>
                <w:rFonts w:ascii="Arial" w:hAnsi="Arial" w:cs="Arial"/>
                <w:bCs/>
                <w:sz w:val="20"/>
              </w:rPr>
              <w:t>ryczałtow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ych w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opa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rciu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o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</w:t>
            </w:r>
            <w:r w:rsidR="00BF61E8" w:rsidRPr="00B75C7C">
              <w:rPr>
                <w:rFonts w:ascii="Arial" w:hAnsi="Arial" w:cs="Arial"/>
                <w:bCs/>
                <w:sz w:val="20"/>
              </w:rPr>
              <w:t>płatności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 xml:space="preserve"> na zrealizowane inicjatywy (granty) są </w:t>
            </w:r>
            <w:r w:rsidRPr="00B75C7C">
              <w:rPr>
                <w:rFonts w:ascii="Arial" w:hAnsi="Arial" w:cs="Arial"/>
                <w:bCs/>
                <w:sz w:val="20"/>
              </w:rPr>
              <w:t>adekwatn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e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dla projektów </w:t>
            </w:r>
            <w:r w:rsidR="0053221B" w:rsidRPr="00B75C7C">
              <w:rPr>
                <w:rFonts w:ascii="Arial" w:hAnsi="Arial" w:cs="Arial"/>
                <w:bCs/>
                <w:sz w:val="20"/>
              </w:rPr>
              <w:t xml:space="preserve">LGD 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w zakresie </w:t>
            </w:r>
            <w:proofErr w:type="spellStart"/>
            <w:r w:rsidRPr="00B75C7C">
              <w:rPr>
                <w:rFonts w:ascii="Arial" w:hAnsi="Arial" w:cs="Arial"/>
                <w:bCs/>
                <w:sz w:val="20"/>
              </w:rPr>
              <w:t>KZiA</w:t>
            </w:r>
            <w:proofErr w:type="spellEnd"/>
            <w:r w:rsidR="006A39F7" w:rsidRPr="00B75C7C">
              <w:rPr>
                <w:rFonts w:ascii="Arial" w:hAnsi="Arial" w:cs="Arial"/>
                <w:bCs/>
                <w:sz w:val="20"/>
              </w:rPr>
              <w:t>,</w:t>
            </w:r>
            <w:r w:rsidR="0053221B" w:rsidRPr="00B75C7C">
              <w:rPr>
                <w:rFonts w:ascii="Arial" w:hAnsi="Arial" w:cs="Arial"/>
                <w:bCs/>
                <w:sz w:val="20"/>
              </w:rPr>
              <w:t xml:space="preserve"> gdyż odnos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zą</w:t>
            </w:r>
            <w:r w:rsidR="0053221B" w:rsidRPr="00B75C7C">
              <w:rPr>
                <w:rFonts w:ascii="Arial" w:hAnsi="Arial" w:cs="Arial"/>
                <w:bCs/>
                <w:sz w:val="20"/>
              </w:rPr>
              <w:t xml:space="preserve"> się do głównego celu RLKS oraz stanowi</w:t>
            </w:r>
            <w:r w:rsidR="006A39F7" w:rsidRPr="00B75C7C">
              <w:rPr>
                <w:rFonts w:ascii="Arial" w:hAnsi="Arial" w:cs="Arial"/>
                <w:bCs/>
                <w:sz w:val="20"/>
              </w:rPr>
              <w:t>ą</w:t>
            </w:r>
            <w:r w:rsidR="0053221B" w:rsidRPr="00B75C7C">
              <w:rPr>
                <w:rFonts w:ascii="Arial" w:hAnsi="Arial" w:cs="Arial"/>
                <w:bCs/>
                <w:sz w:val="20"/>
              </w:rPr>
              <w:t xml:space="preserve"> rezultat</w:t>
            </w:r>
            <w:r w:rsidR="003C6A58" w:rsidRPr="00B75C7C">
              <w:rPr>
                <w:rFonts w:ascii="Arial" w:hAnsi="Arial" w:cs="Arial"/>
                <w:bCs/>
                <w:sz w:val="20"/>
              </w:rPr>
              <w:t xml:space="preserve"> dla</w:t>
            </w:r>
            <w:r w:rsidR="0053221B" w:rsidRPr="00B75C7C">
              <w:rPr>
                <w:rFonts w:ascii="Arial" w:hAnsi="Arial" w:cs="Arial"/>
                <w:bCs/>
                <w:sz w:val="20"/>
              </w:rPr>
              <w:t xml:space="preserve"> głównych zadań LGD polegających na rozwijaniu potencjału lokalnych podmiotów do opracowywania i wdrażania projektów oraz</w:t>
            </w:r>
            <w:r w:rsidR="003C6A58" w:rsidRPr="00B75C7C">
              <w:rPr>
                <w:rFonts w:ascii="Arial" w:hAnsi="Arial" w:cs="Arial"/>
                <w:bCs/>
                <w:sz w:val="20"/>
              </w:rPr>
              <w:t xml:space="preserve"> na</w:t>
            </w:r>
            <w:r w:rsidR="0053221B" w:rsidRPr="00B75C7C">
              <w:rPr>
                <w:rFonts w:ascii="Arial" w:hAnsi="Arial" w:cs="Arial"/>
                <w:bCs/>
                <w:sz w:val="20"/>
              </w:rPr>
              <w:t xml:space="preserve"> wyborze projektów</w:t>
            </w:r>
            <w:r w:rsidR="004C0064" w:rsidRPr="00B75C7C">
              <w:rPr>
                <w:rFonts w:ascii="Arial" w:hAnsi="Arial" w:cs="Arial"/>
                <w:bCs/>
                <w:sz w:val="20"/>
              </w:rPr>
              <w:t xml:space="preserve"> w ramach formuły grantowej</w:t>
            </w:r>
            <w:r w:rsidR="0053221B" w:rsidRPr="00B75C7C">
              <w:rPr>
                <w:rFonts w:ascii="Arial" w:hAnsi="Arial" w:cs="Arial"/>
                <w:bCs/>
                <w:sz w:val="20"/>
              </w:rPr>
              <w:t>.</w:t>
            </w:r>
          </w:p>
          <w:p w14:paraId="6E62CD0C" w14:textId="2A163C0A" w:rsidR="008810B4" w:rsidRPr="00B75C7C" w:rsidRDefault="007C5636" w:rsidP="0035449A">
            <w:pPr>
              <w:rPr>
                <w:rFonts w:ascii="Arial" w:hAnsi="Arial" w:cs="Arial"/>
                <w:bCs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</w:rPr>
              <w:t xml:space="preserve">W odpowiedzi na oczekiwania </w:t>
            </w:r>
            <w:r w:rsidR="004C0064" w:rsidRPr="00B75C7C">
              <w:rPr>
                <w:rFonts w:ascii="Arial" w:hAnsi="Arial" w:cs="Arial"/>
                <w:bCs/>
                <w:sz w:val="20"/>
              </w:rPr>
              <w:t>śląskich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LGD IZ postanowiła włączyć fundusze regionalne</w:t>
            </w:r>
            <w:r w:rsidR="008241DB" w:rsidRPr="00B75C7C">
              <w:rPr>
                <w:rFonts w:ascii="Arial" w:hAnsi="Arial" w:cs="Arial"/>
                <w:bCs/>
                <w:sz w:val="20"/>
              </w:rPr>
              <w:t xml:space="preserve"> do realizacji instrumentu RLKS</w:t>
            </w:r>
            <w:r w:rsidR="004C0064" w:rsidRPr="00B75C7C">
              <w:rPr>
                <w:rFonts w:ascii="Arial" w:hAnsi="Arial" w:cs="Arial"/>
                <w:bCs/>
                <w:sz w:val="20"/>
              </w:rPr>
              <w:t xml:space="preserve">, </w:t>
            </w:r>
            <w:r w:rsidRPr="00B75C7C">
              <w:rPr>
                <w:rFonts w:ascii="Arial" w:hAnsi="Arial" w:cs="Arial"/>
                <w:bCs/>
                <w:sz w:val="20"/>
              </w:rPr>
              <w:t>aby w pełni wykorzystać możliwości instrumentu RLKS a także umożliwić realizację LSR na jak największym obszarze województwa. W wyniku podjęte</w:t>
            </w:r>
            <w:r w:rsidR="00D331C9" w:rsidRPr="00B75C7C">
              <w:rPr>
                <w:rFonts w:ascii="Arial" w:hAnsi="Arial" w:cs="Arial"/>
                <w:bCs/>
                <w:sz w:val="20"/>
              </w:rPr>
              <w:t>j decyzji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postanowiono z funduszu EFS+ przeznaczyć </w:t>
            </w:r>
            <w:r w:rsidR="004C0064" w:rsidRPr="00B75C7C">
              <w:rPr>
                <w:rFonts w:ascii="Arial" w:hAnsi="Arial" w:cs="Arial"/>
                <w:bCs/>
                <w:sz w:val="20"/>
              </w:rPr>
              <w:t>16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mln EUR na instrument RLKS. Ww. alokacje podzielono na LSR z zachowaniem % proporcji pomiędzy poszczególnymi grupami LSR zależnymi od wielkości ludności wiejskiej zamieszkującej na obszarze objętym LSR oraz zasady, że im większa LSR tym większa kwota środków na realizację LSR, w tym także na koszty zarządzania i aktywizację. Metodologia ta została zaczerpnięta z PROW 2014-2020, której dane źródłowe pochodzą z opracowania </w:t>
            </w:r>
            <w:proofErr w:type="spellStart"/>
            <w:r w:rsidRPr="00B75C7C">
              <w:rPr>
                <w:rFonts w:ascii="Arial" w:hAnsi="Arial" w:cs="Arial"/>
                <w:bCs/>
                <w:sz w:val="20"/>
              </w:rPr>
              <w:t>MRiRW</w:t>
            </w:r>
            <w:proofErr w:type="spellEnd"/>
            <w:r w:rsidRPr="00B75C7C">
              <w:rPr>
                <w:rFonts w:ascii="Arial" w:hAnsi="Arial" w:cs="Arial"/>
                <w:bCs/>
                <w:sz w:val="20"/>
              </w:rPr>
              <w:t xml:space="preserve"> dotyczącego okresu programowania 2007-2013.</w:t>
            </w:r>
          </w:p>
          <w:p w14:paraId="6449E8BC" w14:textId="1961AAA5" w:rsidR="0035449A" w:rsidRPr="00B75C7C" w:rsidRDefault="004C0064" w:rsidP="0035449A">
            <w:pPr>
              <w:rPr>
                <w:rFonts w:ascii="Arial" w:hAnsi="Arial" w:cs="Arial"/>
                <w:bCs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</w:rPr>
              <w:lastRenderedPageBreak/>
              <w:t xml:space="preserve">W związku z brakiem </w:t>
            </w:r>
            <w:r w:rsidR="0035449A" w:rsidRPr="00B75C7C">
              <w:rPr>
                <w:rFonts w:ascii="Arial" w:hAnsi="Arial" w:cs="Arial"/>
                <w:bCs/>
                <w:sz w:val="20"/>
              </w:rPr>
              <w:t>wyznacz</w:t>
            </w:r>
            <w:r w:rsidRPr="00B75C7C">
              <w:rPr>
                <w:rFonts w:ascii="Arial" w:hAnsi="Arial" w:cs="Arial"/>
                <w:bCs/>
                <w:sz w:val="20"/>
              </w:rPr>
              <w:t>enia</w:t>
            </w:r>
            <w:r w:rsidR="0035449A" w:rsidRPr="00B75C7C">
              <w:rPr>
                <w:rFonts w:ascii="Arial" w:hAnsi="Arial" w:cs="Arial"/>
                <w:bCs/>
                <w:sz w:val="20"/>
              </w:rPr>
              <w:t xml:space="preserve"> fundusz</w:t>
            </w:r>
            <w:r w:rsidRPr="00B75C7C">
              <w:rPr>
                <w:rFonts w:ascii="Arial" w:hAnsi="Arial" w:cs="Arial"/>
                <w:bCs/>
                <w:sz w:val="20"/>
              </w:rPr>
              <w:t>u</w:t>
            </w:r>
            <w:r w:rsidR="0035449A" w:rsidRPr="00B75C7C">
              <w:rPr>
                <w:rFonts w:ascii="Arial" w:hAnsi="Arial" w:cs="Arial"/>
                <w:bCs/>
                <w:sz w:val="20"/>
              </w:rPr>
              <w:t xml:space="preserve"> wiodąc</w:t>
            </w:r>
            <w:r w:rsidRPr="00B75C7C">
              <w:rPr>
                <w:rFonts w:ascii="Arial" w:hAnsi="Arial" w:cs="Arial"/>
                <w:bCs/>
                <w:sz w:val="20"/>
              </w:rPr>
              <w:t>ego</w:t>
            </w:r>
            <w:r w:rsidR="0035449A" w:rsidRPr="00B75C7C">
              <w:rPr>
                <w:rFonts w:ascii="Arial" w:hAnsi="Arial" w:cs="Arial"/>
                <w:bCs/>
                <w:sz w:val="20"/>
              </w:rPr>
              <w:t>, finansowanie kosztów zarządzania i animacji musi odbyć się z udziałem wszystkich funduszy finansujących RLKS</w:t>
            </w:r>
            <w:r w:rsidR="009F72E3" w:rsidRPr="00B75C7C">
              <w:rPr>
                <w:rFonts w:ascii="Arial" w:hAnsi="Arial" w:cs="Arial"/>
                <w:bCs/>
                <w:sz w:val="20"/>
              </w:rPr>
              <w:t>.</w:t>
            </w:r>
            <w:r w:rsidR="00091CBC" w:rsidRPr="00B75C7C">
              <w:rPr>
                <w:rFonts w:ascii="Arial" w:hAnsi="Arial" w:cs="Arial"/>
                <w:bCs/>
                <w:sz w:val="20"/>
              </w:rPr>
              <w:t xml:space="preserve"> </w:t>
            </w:r>
            <w:r w:rsidR="00594E72" w:rsidRPr="00B75C7C">
              <w:rPr>
                <w:rFonts w:ascii="Arial" w:hAnsi="Arial" w:cs="Arial"/>
                <w:bCs/>
                <w:sz w:val="20"/>
              </w:rPr>
              <w:t xml:space="preserve">W ramach FE SL 2021-2027 środki na </w:t>
            </w:r>
            <w:proofErr w:type="spellStart"/>
            <w:r w:rsidR="00594E72" w:rsidRPr="00B75C7C">
              <w:rPr>
                <w:rFonts w:ascii="Arial" w:hAnsi="Arial" w:cs="Arial"/>
                <w:bCs/>
                <w:sz w:val="20"/>
              </w:rPr>
              <w:t>KZiA</w:t>
            </w:r>
            <w:proofErr w:type="spellEnd"/>
            <w:r w:rsidR="00594E72" w:rsidRPr="00B75C7C">
              <w:rPr>
                <w:rFonts w:ascii="Arial" w:hAnsi="Arial" w:cs="Arial"/>
                <w:bCs/>
                <w:sz w:val="20"/>
              </w:rPr>
              <w:t xml:space="preserve"> będą wypłacane proporcjonalnie, zgodnie z założeniami przedmiotowej metodyki,  z EFS+ w ramach realizowanych projektów grantowych (w trzech celach szczegółowych) </w:t>
            </w:r>
            <w:r w:rsidR="00594E72" w:rsidRPr="00B75C7C">
              <w:rPr>
                <w:rFonts w:ascii="Arial" w:hAnsi="Arial" w:cs="Arial"/>
                <w:sz w:val="20"/>
                <w:szCs w:val="20"/>
              </w:rPr>
              <w:t xml:space="preserve">oraz ze środków Europejskiego Funduszu Rolnego na rzecz Rozwoju Obszarów Wiejskich (PS WPR). </w:t>
            </w:r>
            <w:r w:rsidR="00594E72" w:rsidRPr="00B75C7C">
              <w:rPr>
                <w:rFonts w:ascii="Arial" w:hAnsi="Arial" w:cs="Arial"/>
                <w:sz w:val="20"/>
                <w:szCs w:val="20"/>
              </w:rPr>
              <w:br/>
            </w:r>
            <w:r w:rsidR="00091CBC" w:rsidRPr="00B75C7C">
              <w:rPr>
                <w:rFonts w:ascii="Arial" w:hAnsi="Arial" w:cs="Arial"/>
                <w:bCs/>
                <w:sz w:val="20"/>
              </w:rPr>
              <w:t xml:space="preserve">Włączenie wszystkich funduszy w finansowanie kosztów zarządzania umożliwi sprawną realizację RLKS a także pozwoli LGD zbudować kapitał społeczny konieczny do realizacji LSR. Zastosowanie ww. metodologii zapewni także zachowanie zasady określonej w art. 34 ust. 2 </w:t>
            </w:r>
            <w:proofErr w:type="spellStart"/>
            <w:r w:rsidR="00091CBC" w:rsidRPr="00B75C7C">
              <w:rPr>
                <w:rFonts w:ascii="Arial" w:hAnsi="Arial" w:cs="Arial"/>
                <w:bCs/>
                <w:sz w:val="20"/>
              </w:rPr>
              <w:t>rozp</w:t>
            </w:r>
            <w:proofErr w:type="spellEnd"/>
            <w:r w:rsidR="00091CBC" w:rsidRPr="00B75C7C">
              <w:rPr>
                <w:rFonts w:ascii="Arial" w:hAnsi="Arial" w:cs="Arial"/>
                <w:bCs/>
                <w:sz w:val="20"/>
              </w:rPr>
              <w:t>. UE 2021/1060.</w:t>
            </w:r>
            <w:r w:rsidR="0035449A" w:rsidRPr="00B75C7C">
              <w:rPr>
                <w:rFonts w:ascii="Arial" w:hAnsi="Arial" w:cs="Arial"/>
                <w:bCs/>
                <w:sz w:val="20"/>
              </w:rPr>
              <w:t xml:space="preserve"> Ponadto województwa wielofunduszowe nie otrzymają 100% stawek EFRROW, o których mowa w dokumencie opracowanym przez </w:t>
            </w:r>
            <w:proofErr w:type="spellStart"/>
            <w:r w:rsidR="0035449A" w:rsidRPr="00B75C7C">
              <w:rPr>
                <w:rFonts w:ascii="Arial" w:hAnsi="Arial" w:cs="Arial"/>
                <w:bCs/>
                <w:sz w:val="20"/>
              </w:rPr>
              <w:t>MRiRW</w:t>
            </w:r>
            <w:proofErr w:type="spellEnd"/>
            <w:r w:rsidR="0035449A" w:rsidRPr="00B75C7C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14:paraId="07C30CAF" w14:textId="2004DD8B" w:rsidR="004C0064" w:rsidRPr="00B75C7C" w:rsidRDefault="0035449A" w:rsidP="008810B4">
            <w:pPr>
              <w:rPr>
                <w:rFonts w:ascii="Arial" w:hAnsi="Arial" w:cs="Arial"/>
                <w:bCs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</w:rPr>
              <w:t xml:space="preserve">Przy obecnie zaproponowanym przez nasze województwo podziale kwot żadna z LGD nie otrzyma na funkcjonowanie więcej niż 25% środków przeznaczonych na wdrażanie LSR. </w:t>
            </w:r>
            <w:r w:rsidR="00594E72" w:rsidRPr="00B75C7C">
              <w:rPr>
                <w:rFonts w:ascii="Arial" w:hAnsi="Arial" w:cs="Arial"/>
                <w:bCs/>
                <w:sz w:val="20"/>
              </w:rPr>
              <w:t xml:space="preserve">Zgodnie ze wstępnym szacowaniem, mając na uwadze złożone do oceny Lokalne Strategie Rozwoju, wartość środków przekazanych na </w:t>
            </w:r>
            <w:proofErr w:type="spellStart"/>
            <w:r w:rsidR="00594E72" w:rsidRPr="00B75C7C">
              <w:rPr>
                <w:rFonts w:ascii="Arial" w:hAnsi="Arial" w:cs="Arial"/>
                <w:bCs/>
                <w:sz w:val="20"/>
              </w:rPr>
              <w:t>KZiA</w:t>
            </w:r>
            <w:proofErr w:type="spellEnd"/>
            <w:r w:rsidR="00594E72" w:rsidRPr="00B75C7C">
              <w:rPr>
                <w:rFonts w:ascii="Arial" w:hAnsi="Arial" w:cs="Arial"/>
                <w:bCs/>
                <w:sz w:val="20"/>
              </w:rPr>
              <w:t xml:space="preserve"> będzie oscylować na poziomie 21%. Ostateczna wartość środków</w:t>
            </w:r>
            <w:r w:rsidR="002515EB" w:rsidRPr="00B75C7C">
              <w:rPr>
                <w:rFonts w:ascii="Arial" w:hAnsi="Arial" w:cs="Arial"/>
                <w:bCs/>
                <w:sz w:val="20"/>
              </w:rPr>
              <w:t xml:space="preserve"> zostanie ustalona po zakończeniu prac związanych z oceną LSR w województwie śląskim i podpisaniem umowy ramowej dotyczącej realizacji strategii rozwoju lokalnego kierowanego przez społeczność, Przy założeniu, że wśród LGD zostanie ostatecznie rozdysponowana pełna kwota dofinansowania z UE przeznaczona na realizację LSR, tj. 16 mln euro. </w:t>
            </w:r>
          </w:p>
          <w:p w14:paraId="289389D8" w14:textId="3D6DEEF7" w:rsidR="00066B18" w:rsidRPr="00B75C7C" w:rsidRDefault="00D247A2" w:rsidP="001945C0">
            <w:pPr>
              <w:rPr>
                <w:rFonts w:ascii="Arial" w:hAnsi="Arial" w:cs="Arial"/>
                <w:bCs/>
                <w:sz w:val="20"/>
              </w:rPr>
            </w:pPr>
            <w:r w:rsidRPr="00B75C7C">
              <w:rPr>
                <w:rFonts w:ascii="Arial" w:hAnsi="Arial" w:cs="Arial"/>
                <w:sz w:val="20"/>
              </w:rPr>
              <w:t xml:space="preserve">W przypadku każdego funduszu finansującego LSR komponent na </w:t>
            </w:r>
            <w:proofErr w:type="spellStart"/>
            <w:r w:rsidRPr="00B75C7C">
              <w:rPr>
                <w:rFonts w:ascii="Arial" w:hAnsi="Arial" w:cs="Arial"/>
                <w:sz w:val="20"/>
              </w:rPr>
              <w:t>KZiA</w:t>
            </w:r>
            <w:proofErr w:type="spellEnd"/>
            <w:r w:rsidRPr="00B75C7C">
              <w:rPr>
                <w:rFonts w:ascii="Arial" w:hAnsi="Arial" w:cs="Arial"/>
                <w:sz w:val="20"/>
              </w:rPr>
              <w:t>  ustalony jest proporcjonalnie do udziału danego funduszu we wdrażaniu strategii, dlatego zastosowanie stawek ryczałtowych nie stwarza ryzyka podwójnego finansowania danego kosztu</w:t>
            </w:r>
            <w:r w:rsidR="000B437C" w:rsidRPr="00B75C7C">
              <w:rPr>
                <w:rFonts w:ascii="Arial" w:hAnsi="Arial" w:cs="Arial"/>
                <w:sz w:val="20"/>
              </w:rPr>
              <w:t>.</w:t>
            </w:r>
            <w:r w:rsidR="00286387" w:rsidRPr="00B75C7C">
              <w:rPr>
                <w:rFonts w:ascii="Arial" w:hAnsi="Arial" w:cs="Arial"/>
                <w:sz w:val="20"/>
              </w:rPr>
              <w:t xml:space="preserve"> Środki na </w:t>
            </w:r>
            <w:proofErr w:type="spellStart"/>
            <w:r w:rsidR="00286387" w:rsidRPr="00B75C7C">
              <w:rPr>
                <w:rFonts w:ascii="Arial" w:hAnsi="Arial" w:cs="Arial"/>
                <w:sz w:val="20"/>
              </w:rPr>
              <w:t>KZiA</w:t>
            </w:r>
            <w:proofErr w:type="spellEnd"/>
            <w:r w:rsidR="00286387" w:rsidRPr="00B75C7C">
              <w:rPr>
                <w:rFonts w:ascii="Arial" w:hAnsi="Arial" w:cs="Arial"/>
                <w:sz w:val="20"/>
              </w:rPr>
              <w:t xml:space="preserve"> w ramach EFS+ będą wypłacane proporcjonalnie </w:t>
            </w:r>
            <w:r w:rsidR="00027147" w:rsidRPr="00B75C7C">
              <w:rPr>
                <w:rFonts w:ascii="Arial" w:hAnsi="Arial" w:cs="Arial"/>
                <w:sz w:val="20"/>
              </w:rPr>
              <w:t>w ramach każdego z</w:t>
            </w:r>
            <w:r w:rsidR="00286387" w:rsidRPr="00B75C7C">
              <w:rPr>
                <w:rFonts w:ascii="Arial" w:hAnsi="Arial" w:cs="Arial"/>
                <w:sz w:val="20"/>
              </w:rPr>
              <w:t xml:space="preserve"> projektów grantowych (tj. w ramach celu f, g i l), o ile dana LGD będzie realizować projekt w określonym celu szczegółowym. Pomimo rozporoszonej interwencji, wartość procentowa komponentu na </w:t>
            </w:r>
            <w:proofErr w:type="spellStart"/>
            <w:r w:rsidR="00286387" w:rsidRPr="00B75C7C">
              <w:rPr>
                <w:rFonts w:ascii="Arial" w:hAnsi="Arial" w:cs="Arial"/>
                <w:sz w:val="20"/>
              </w:rPr>
              <w:t>KZiA</w:t>
            </w:r>
            <w:proofErr w:type="spellEnd"/>
            <w:r w:rsidR="00286387" w:rsidRPr="00B75C7C">
              <w:rPr>
                <w:rFonts w:ascii="Arial" w:hAnsi="Arial" w:cs="Arial"/>
                <w:sz w:val="20"/>
              </w:rPr>
              <w:t xml:space="preserve"> pozostanie każdorazowo </w:t>
            </w:r>
            <w:r w:rsidR="00027147" w:rsidRPr="00B75C7C">
              <w:rPr>
                <w:rFonts w:ascii="Arial" w:hAnsi="Arial" w:cs="Arial"/>
                <w:sz w:val="20"/>
              </w:rPr>
              <w:t xml:space="preserve">zgodna z metodyką i </w:t>
            </w:r>
            <w:r w:rsidR="00286387" w:rsidRPr="00B75C7C">
              <w:rPr>
                <w:rFonts w:ascii="Arial" w:hAnsi="Arial" w:cs="Arial"/>
                <w:sz w:val="20"/>
              </w:rPr>
              <w:t>niezmienna również w przypadku stosowania korekt lub zastosowania reguły proporcjonalności – tj. pozostanie na ustalonym w metodyce poziomie procentowym.</w:t>
            </w:r>
          </w:p>
        </w:tc>
      </w:tr>
    </w:tbl>
    <w:p w14:paraId="2E3683DE" w14:textId="77777777" w:rsidR="00066B18" w:rsidRPr="00B75C7C" w:rsidRDefault="00066B18" w:rsidP="00A41EFB">
      <w:pPr>
        <w:spacing w:after="0"/>
        <w:rPr>
          <w:rFonts w:ascii="Arial" w:hAnsi="Arial" w:cs="Arial"/>
          <w:bCs/>
          <w:i/>
        </w:rPr>
      </w:pPr>
    </w:p>
    <w:p w14:paraId="7C6D9C88" w14:textId="77777777" w:rsidR="00066B18" w:rsidRPr="00B75C7C" w:rsidRDefault="00066B18" w:rsidP="00A705D1">
      <w:pPr>
        <w:numPr>
          <w:ilvl w:val="0"/>
          <w:numId w:val="5"/>
        </w:numPr>
        <w:rPr>
          <w:rFonts w:ascii="Arial" w:hAnsi="Arial" w:cs="Arial"/>
        </w:rPr>
      </w:pPr>
      <w:r w:rsidRPr="00B75C7C">
        <w:rPr>
          <w:rFonts w:ascii="Arial" w:hAnsi="Arial" w:cs="Arial"/>
        </w:rPr>
        <w:t>Proszę wyjaśnić, w jaki sposób zapewniono, by jedynie wydatki kwalifikowalne były uwzględniane przy obliczaniu standardowych stawek jednostkowych, kwot ryczałtowych lub stawek ryczałtowych.</w:t>
      </w:r>
    </w:p>
    <w:tbl>
      <w:tblPr>
        <w:tblStyle w:val="Tabela-Siatka"/>
        <w:tblW w:w="15055" w:type="dxa"/>
        <w:jc w:val="center"/>
        <w:tblLook w:val="04A0" w:firstRow="1" w:lastRow="0" w:firstColumn="1" w:lastColumn="0" w:noHBand="0" w:noVBand="1"/>
      </w:tblPr>
      <w:tblGrid>
        <w:gridCol w:w="15055"/>
      </w:tblGrid>
      <w:tr w:rsidR="00066B18" w:rsidRPr="00B75C7C" w14:paraId="6EA09780" w14:textId="77777777" w:rsidTr="00066B18">
        <w:trPr>
          <w:jc w:val="center"/>
        </w:trPr>
        <w:tc>
          <w:tcPr>
            <w:tcW w:w="15055" w:type="dxa"/>
          </w:tcPr>
          <w:p w14:paraId="141B1927" w14:textId="33235956" w:rsidR="00066B18" w:rsidRPr="00B75C7C" w:rsidRDefault="00F76156" w:rsidP="00F76156">
            <w:pPr>
              <w:rPr>
                <w:rFonts w:ascii="Arial" w:hAnsi="Arial" w:cs="Arial"/>
                <w:bCs/>
                <w:color w:val="FF0000"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</w:rPr>
              <w:t>Finansowanie</w:t>
            </w:r>
            <w:r w:rsidR="008810B4" w:rsidRPr="00B75C7C">
              <w:rPr>
                <w:rFonts w:ascii="Arial" w:hAnsi="Arial" w:cs="Arial"/>
                <w:bCs/>
                <w:sz w:val="20"/>
              </w:rPr>
              <w:t xml:space="preserve"> </w:t>
            </w:r>
            <w:proofErr w:type="spellStart"/>
            <w:r w:rsidR="008810B4" w:rsidRPr="00B75C7C">
              <w:rPr>
                <w:rFonts w:ascii="Arial" w:hAnsi="Arial" w:cs="Arial"/>
                <w:bCs/>
                <w:sz w:val="20"/>
              </w:rPr>
              <w:t>KZiA</w:t>
            </w:r>
            <w:proofErr w:type="spellEnd"/>
            <w:r w:rsidR="008810B4" w:rsidRPr="00B75C7C">
              <w:rPr>
                <w:rFonts w:ascii="Arial" w:hAnsi="Arial" w:cs="Arial"/>
                <w:bCs/>
                <w:sz w:val="20"/>
              </w:rPr>
              <w:t xml:space="preserve"> w projektach z EFS+</w:t>
            </w:r>
            <w:r w:rsidRPr="00B75C7C">
              <w:rPr>
                <w:rFonts w:ascii="Arial" w:hAnsi="Arial" w:cs="Arial"/>
                <w:bCs/>
                <w:sz w:val="20"/>
              </w:rPr>
              <w:t xml:space="preserve"> zostanie zapewnione w</w:t>
            </w:r>
            <w:r w:rsidR="007B1E5A" w:rsidRPr="00B75C7C">
              <w:rPr>
                <w:rFonts w:ascii="Arial" w:hAnsi="Arial" w:cs="Arial"/>
                <w:bCs/>
                <w:sz w:val="20"/>
              </w:rPr>
              <w:t xml:space="preserve">yłącznie </w:t>
            </w:r>
            <w:r w:rsidRPr="00B75C7C">
              <w:rPr>
                <w:rFonts w:ascii="Arial" w:hAnsi="Arial" w:cs="Arial"/>
                <w:bCs/>
                <w:sz w:val="20"/>
              </w:rPr>
              <w:t>w oparciu o stawki ryczałtowe, a kategorie poszczególnych wydatków mieścić się będą w zakresie wspomnianego wcześniej artykułu. Ponadto, metodologia oparta została na danych historycznych, tj. rzeczywistych kosztach funkcjonowania LGD w perspektywie finansowej 2007-2013, co pozwoliło na prawidłowe oszacowanie wydatków kwalifikowalnych</w:t>
            </w:r>
            <w:r w:rsidR="00CD65AC" w:rsidRPr="00B75C7C">
              <w:rPr>
                <w:rFonts w:ascii="Arial" w:hAnsi="Arial" w:cs="Arial"/>
                <w:bCs/>
                <w:sz w:val="20"/>
              </w:rPr>
              <w:t>, których zakres pozostaje zgodny z danymi historycznymi</w:t>
            </w:r>
            <w:r w:rsidR="00532D31" w:rsidRPr="00B75C7C">
              <w:rPr>
                <w:rFonts w:ascii="Arial" w:hAnsi="Arial" w:cs="Arial"/>
                <w:bCs/>
                <w:sz w:val="20"/>
              </w:rPr>
              <w:t>.</w:t>
            </w:r>
          </w:p>
        </w:tc>
      </w:tr>
    </w:tbl>
    <w:p w14:paraId="21E0FB65" w14:textId="77777777" w:rsidR="00066B18" w:rsidRPr="00B75C7C" w:rsidRDefault="00066B18" w:rsidP="00A41EFB">
      <w:pPr>
        <w:spacing w:after="0"/>
        <w:rPr>
          <w:rFonts w:ascii="Arial" w:hAnsi="Arial" w:cs="Arial"/>
          <w:bCs/>
          <w:i/>
        </w:rPr>
      </w:pPr>
    </w:p>
    <w:p w14:paraId="4F1908C3" w14:textId="77777777" w:rsidR="00066B18" w:rsidRPr="00B75C7C" w:rsidRDefault="00066B18" w:rsidP="00A705D1">
      <w:pPr>
        <w:numPr>
          <w:ilvl w:val="0"/>
          <w:numId w:val="5"/>
        </w:numPr>
        <w:rPr>
          <w:rFonts w:ascii="Arial" w:hAnsi="Arial" w:cs="Arial"/>
          <w:bCs/>
          <w:i/>
          <w:iCs/>
        </w:rPr>
      </w:pPr>
      <w:r w:rsidRPr="00B75C7C">
        <w:rPr>
          <w:rFonts w:ascii="Arial" w:hAnsi="Arial" w:cs="Arial"/>
        </w:rPr>
        <w:t>Ocena przez instytucję(-e) audytową(-e) metody obliczania i kwot oraz rozwiązań mających zapewnić weryfikację danych, ich jakość, sposób gromadzenia i przechowywania.</w:t>
      </w:r>
    </w:p>
    <w:tbl>
      <w:tblPr>
        <w:tblStyle w:val="Tabela-Siatka"/>
        <w:tblW w:w="15055" w:type="dxa"/>
        <w:jc w:val="center"/>
        <w:tblLook w:val="04A0" w:firstRow="1" w:lastRow="0" w:firstColumn="1" w:lastColumn="0" w:noHBand="0" w:noVBand="1"/>
      </w:tblPr>
      <w:tblGrid>
        <w:gridCol w:w="15055"/>
      </w:tblGrid>
      <w:tr w:rsidR="00066B18" w:rsidRPr="00B75C7C" w14:paraId="48933563" w14:textId="77777777" w:rsidTr="00066B18">
        <w:trPr>
          <w:jc w:val="center"/>
        </w:trPr>
        <w:tc>
          <w:tcPr>
            <w:tcW w:w="15055" w:type="dxa"/>
          </w:tcPr>
          <w:p w14:paraId="0E720E17" w14:textId="185F22CB" w:rsidR="00066B18" w:rsidRPr="00B75C7C" w:rsidRDefault="00066B18" w:rsidP="00066B18">
            <w:pPr>
              <w:rPr>
                <w:rFonts w:ascii="Arial" w:hAnsi="Arial" w:cs="Arial"/>
                <w:i/>
                <w:sz w:val="20"/>
              </w:rPr>
            </w:pPr>
            <w:r w:rsidRPr="00B75C7C">
              <w:rPr>
                <w:rFonts w:ascii="Arial" w:hAnsi="Arial" w:cs="Arial"/>
                <w:bCs/>
                <w:sz w:val="20"/>
              </w:rPr>
              <w:t>Do uzupełnienia na późniejszym etapie</w:t>
            </w:r>
            <w:r w:rsidR="00532D31" w:rsidRPr="00B75C7C">
              <w:rPr>
                <w:rFonts w:ascii="Arial" w:hAnsi="Arial" w:cs="Arial"/>
                <w:bCs/>
                <w:sz w:val="20"/>
              </w:rPr>
              <w:t>.</w:t>
            </w:r>
          </w:p>
        </w:tc>
      </w:tr>
    </w:tbl>
    <w:p w14:paraId="6EE5310D" w14:textId="46B20257" w:rsidR="000D191D" w:rsidRPr="00B75C7C" w:rsidRDefault="000D191D" w:rsidP="00A41EFB">
      <w:pPr>
        <w:rPr>
          <w:rFonts w:ascii="Arial" w:hAnsi="Arial" w:cs="Arial"/>
        </w:rPr>
      </w:pPr>
    </w:p>
    <w:p w14:paraId="56C3FDF7" w14:textId="77777777" w:rsidR="000D191D" w:rsidRPr="00B75C7C" w:rsidRDefault="000D191D" w:rsidP="000D191D">
      <w:pPr>
        <w:spacing w:after="0" w:line="360" w:lineRule="auto"/>
        <w:jc w:val="both"/>
        <w:rPr>
          <w:rFonts w:ascii="Arial" w:hAnsi="Arial" w:cs="Arial"/>
          <w:b/>
          <w:noProof/>
          <w:sz w:val="21"/>
          <w:szCs w:val="21"/>
          <w:u w:val="single"/>
        </w:rPr>
      </w:pPr>
      <w:r w:rsidRPr="00B75C7C">
        <w:rPr>
          <w:rFonts w:ascii="Arial" w:hAnsi="Arial" w:cs="Arial"/>
          <w:b/>
          <w:noProof/>
          <w:sz w:val="21"/>
          <w:szCs w:val="21"/>
          <w:u w:val="single"/>
        </w:rPr>
        <w:lastRenderedPageBreak/>
        <w:t>Załączniki:</w:t>
      </w:r>
    </w:p>
    <w:p w14:paraId="37F2DB40" w14:textId="77777777" w:rsidR="000D191D" w:rsidRPr="00B75C7C" w:rsidRDefault="000D191D" w:rsidP="000D191D">
      <w:pPr>
        <w:spacing w:after="0" w:line="360" w:lineRule="auto"/>
        <w:jc w:val="both"/>
        <w:rPr>
          <w:rFonts w:ascii="Arial" w:hAnsi="Arial" w:cs="Arial"/>
          <w:b/>
          <w:noProof/>
          <w:sz w:val="21"/>
          <w:szCs w:val="21"/>
          <w:u w:val="single"/>
        </w:rPr>
      </w:pPr>
    </w:p>
    <w:p w14:paraId="4710F463" w14:textId="77777777" w:rsidR="00056591" w:rsidRPr="00B75C7C" w:rsidRDefault="00542033" w:rsidP="00542033">
      <w:pPr>
        <w:pStyle w:val="Akapitzlist"/>
        <w:numPr>
          <w:ilvl w:val="0"/>
          <w:numId w:val="12"/>
        </w:numPr>
        <w:rPr>
          <w:rFonts w:ascii="Arial" w:hAnsi="Arial" w:cs="Arial"/>
          <w:i/>
          <w:sz w:val="21"/>
          <w:szCs w:val="21"/>
        </w:rPr>
      </w:pPr>
      <w:r w:rsidRPr="00B75C7C">
        <w:rPr>
          <w:rFonts w:ascii="Arial" w:hAnsi="Arial" w:cs="Arial"/>
          <w:i/>
          <w:sz w:val="21"/>
          <w:szCs w:val="21"/>
        </w:rPr>
        <w:t>Zasady finansowania „wsparcia przygotowawczego” i „wsparcia na rzecz kosztów bieżących i aktywizacji” oraz ustalenia alokacji środków na lokalną strategię rozwoju w ramach działania LEADER objętego Programem Rozwoju Obszarów Wiejskich na lata 2014-2020.</w:t>
      </w:r>
      <w:r w:rsidR="00056591" w:rsidRPr="00B75C7C">
        <w:rPr>
          <w:rFonts w:ascii="Arial" w:hAnsi="Arial" w:cs="Arial"/>
          <w:i/>
          <w:sz w:val="21"/>
          <w:szCs w:val="21"/>
        </w:rPr>
        <w:t xml:space="preserve"> </w:t>
      </w:r>
    </w:p>
    <w:p w14:paraId="7C54A828" w14:textId="02886ED8" w:rsidR="000D191D" w:rsidRPr="00B75C7C" w:rsidRDefault="00056591" w:rsidP="00056591">
      <w:pPr>
        <w:pStyle w:val="Akapitzlist"/>
        <w:rPr>
          <w:rFonts w:ascii="Arial" w:hAnsi="Arial" w:cs="Arial"/>
          <w:i/>
          <w:sz w:val="21"/>
          <w:szCs w:val="21"/>
        </w:rPr>
      </w:pPr>
      <w:r w:rsidRPr="00B75C7C">
        <w:rPr>
          <w:rFonts w:ascii="Arial" w:hAnsi="Arial" w:cs="Arial"/>
          <w:i/>
          <w:sz w:val="21"/>
          <w:szCs w:val="21"/>
        </w:rPr>
        <w:t xml:space="preserve">- </w:t>
      </w:r>
      <w:r w:rsidRPr="00B75C7C">
        <w:rPr>
          <w:rFonts w:ascii="Arial" w:hAnsi="Arial" w:cs="Arial"/>
          <w:sz w:val="21"/>
          <w:szCs w:val="21"/>
        </w:rPr>
        <w:t>„LEADER 2014-2020.pdf”</w:t>
      </w:r>
    </w:p>
    <w:p w14:paraId="0748A9C7" w14:textId="75EAB183" w:rsidR="00056591" w:rsidRPr="00B75C7C" w:rsidRDefault="008D0620" w:rsidP="00542033">
      <w:pPr>
        <w:pStyle w:val="Akapitzlist"/>
        <w:numPr>
          <w:ilvl w:val="0"/>
          <w:numId w:val="12"/>
        </w:numPr>
        <w:rPr>
          <w:rFonts w:ascii="Arial" w:hAnsi="Arial" w:cs="Arial"/>
          <w:i/>
          <w:sz w:val="21"/>
          <w:szCs w:val="21"/>
        </w:rPr>
      </w:pPr>
      <w:r w:rsidRPr="00B75C7C">
        <w:rPr>
          <w:rFonts w:ascii="Arial" w:hAnsi="Arial" w:cs="Arial"/>
          <w:i/>
          <w:sz w:val="21"/>
          <w:szCs w:val="21"/>
        </w:rPr>
        <w:t xml:space="preserve">Sposób ustalania wysokości dostępnych środków przeznaczonych na realizację LSR – </w:t>
      </w:r>
      <w:r w:rsidRPr="00B75C7C">
        <w:rPr>
          <w:rFonts w:ascii="Arial" w:hAnsi="Arial" w:cs="Arial"/>
          <w:sz w:val="21"/>
          <w:szCs w:val="21"/>
        </w:rPr>
        <w:t>stanowiący załącznik nr 4 do Regulaminu konkursu na wybór strategii rozwoju lokalnego kierowanego przez społeczność</w:t>
      </w:r>
    </w:p>
    <w:p w14:paraId="47A8EE0B" w14:textId="2670036D" w:rsidR="008D0620" w:rsidRPr="00B75C7C" w:rsidRDefault="008D0620" w:rsidP="008D0620">
      <w:pPr>
        <w:pStyle w:val="Akapitzlist"/>
        <w:rPr>
          <w:rFonts w:ascii="Arial" w:hAnsi="Arial" w:cs="Arial"/>
          <w:sz w:val="21"/>
          <w:szCs w:val="21"/>
          <w:lang w:val="en-GB"/>
        </w:rPr>
      </w:pPr>
      <w:r w:rsidRPr="00B75C7C">
        <w:rPr>
          <w:rFonts w:ascii="Arial" w:hAnsi="Arial" w:cs="Arial"/>
          <w:sz w:val="21"/>
          <w:szCs w:val="21"/>
          <w:lang w:val="en-GB"/>
        </w:rPr>
        <w:t xml:space="preserve">Link: </w:t>
      </w:r>
      <w:hyperlink r:id="rId15" w:history="1">
        <w:r w:rsidRPr="00B75C7C">
          <w:rPr>
            <w:rStyle w:val="Hipercze"/>
            <w:rFonts w:ascii="Arial" w:hAnsi="Arial" w:cs="Arial"/>
            <w:sz w:val="21"/>
            <w:szCs w:val="21"/>
            <w:lang w:val="en-GB"/>
          </w:rPr>
          <w:t>https://prow.slaskie.pl/czytaj/wybor_strategii_rozwoju_lokalnego_kierowanego_przez_spolecznosc_na_nowy_okres_programowania</w:t>
        </w:r>
      </w:hyperlink>
    </w:p>
    <w:p w14:paraId="393454BB" w14:textId="77777777" w:rsidR="008D0620" w:rsidRPr="00B75C7C" w:rsidRDefault="008D0620" w:rsidP="008D0620">
      <w:pPr>
        <w:pStyle w:val="Akapitzlist"/>
        <w:rPr>
          <w:rFonts w:ascii="Arial" w:hAnsi="Arial" w:cs="Arial"/>
          <w:sz w:val="21"/>
          <w:szCs w:val="21"/>
          <w:lang w:val="en-GB"/>
        </w:rPr>
      </w:pPr>
    </w:p>
    <w:sectPr w:rsidR="008D0620" w:rsidRPr="00B75C7C" w:rsidSect="009B542B">
      <w:type w:val="continuous"/>
      <w:pgSz w:w="16838" w:h="11906" w:orient="landscape"/>
      <w:pgMar w:top="1418" w:right="1418" w:bottom="1418" w:left="1418" w:header="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880CD" w14:textId="77777777" w:rsidR="00E040CD" w:rsidRDefault="00E040CD" w:rsidP="009B542B">
      <w:pPr>
        <w:spacing w:after="0" w:line="240" w:lineRule="auto"/>
      </w:pPr>
      <w:r>
        <w:separator/>
      </w:r>
    </w:p>
  </w:endnote>
  <w:endnote w:type="continuationSeparator" w:id="0">
    <w:p w14:paraId="005061FE" w14:textId="77777777" w:rsidR="00E040CD" w:rsidRDefault="00E040CD" w:rsidP="009B5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consolata SemiExpanded Light">
    <w:charset w:val="EE"/>
    <w:family w:val="auto"/>
    <w:pitch w:val="variable"/>
    <w:sig w:usb0="A00000FF" w:usb1="0000F9EB" w:usb2="0000002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A958A" w14:textId="5A345B89" w:rsidR="006A39F7" w:rsidRDefault="006A39F7" w:rsidP="00B75C7C">
    <w:pPr>
      <w:pStyle w:val="Stopka"/>
      <w:jc w:val="center"/>
    </w:pPr>
    <w:r w:rsidRPr="00375F72">
      <w:fldChar w:fldCharType="begin"/>
    </w:r>
    <w:r w:rsidRPr="00375F72">
      <w:instrText xml:space="preserve"> PAGE   \* MERGEFORMAT </w:instrText>
    </w:r>
    <w:r w:rsidRPr="00375F72">
      <w:fldChar w:fldCharType="separate"/>
    </w:r>
    <w:r w:rsidR="00E22923">
      <w:rPr>
        <w:noProof/>
      </w:rPr>
      <w:t>1</w:t>
    </w:r>
    <w:r w:rsidRPr="00375F7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AE630" w14:textId="3A8DB6E0" w:rsidR="00B75C7C" w:rsidRDefault="00B75C7C" w:rsidP="00B75C7C">
    <w:pPr>
      <w:pStyle w:val="Stopka"/>
      <w:jc w:val="center"/>
    </w:pPr>
    <w:r>
      <w:rPr>
        <w:noProof/>
      </w:rPr>
      <w:drawing>
        <wp:inline distT="0" distB="0" distL="0" distR="0" wp14:anchorId="69AD7761" wp14:editId="3EC9B36F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878ED" w14:textId="32B5A314" w:rsidR="006A39F7" w:rsidRDefault="006A39F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2923">
      <w:rPr>
        <w:noProof/>
      </w:rPr>
      <w:t>17</w:t>
    </w:r>
    <w:r>
      <w:fldChar w:fldCharType="end"/>
    </w:r>
  </w:p>
  <w:p w14:paraId="629410D6" w14:textId="77777777" w:rsidR="006A39F7" w:rsidRPr="00A9326B" w:rsidRDefault="006A39F7" w:rsidP="00DB4932">
    <w:pPr>
      <w:pStyle w:val="FooterCounci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1F2BA" w14:textId="77777777" w:rsidR="00E040CD" w:rsidRDefault="00E040CD" w:rsidP="009B542B">
      <w:pPr>
        <w:spacing w:after="0" w:line="240" w:lineRule="auto"/>
      </w:pPr>
      <w:r>
        <w:separator/>
      </w:r>
    </w:p>
  </w:footnote>
  <w:footnote w:type="continuationSeparator" w:id="0">
    <w:p w14:paraId="13D82747" w14:textId="77777777" w:rsidR="00E040CD" w:rsidRDefault="00E040CD" w:rsidP="009B542B">
      <w:pPr>
        <w:spacing w:after="0" w:line="240" w:lineRule="auto"/>
      </w:pPr>
      <w:r>
        <w:continuationSeparator/>
      </w:r>
    </w:p>
  </w:footnote>
  <w:footnote w:id="1">
    <w:p w14:paraId="70090214" w14:textId="77777777" w:rsidR="006A39F7" w:rsidRDefault="006A39F7" w:rsidP="00066B18">
      <w:pPr>
        <w:pStyle w:val="Tekstprzypisudolnego"/>
      </w:pPr>
      <w:r w:rsidRPr="00C756E0">
        <w:rPr>
          <w:rStyle w:val="Odwoanieprzypisudolnego"/>
        </w:rPr>
        <w:footnoteRef/>
      </w:r>
      <w:r w:rsidRPr="00EC610E">
        <w:t xml:space="preserve"> Oznacza kod dla wymiaru „Zakres interwencji” w tabeli 1 załącznika I do rozporządzenia w sprawie wspólnych przepisów oraz w załączniku IV do rozporządzenia w sprawie EFMRA.</w:t>
      </w:r>
    </w:p>
  </w:footnote>
  <w:footnote w:id="2">
    <w:p w14:paraId="24A1AD1B" w14:textId="77777777" w:rsidR="006A39F7" w:rsidRDefault="006A39F7" w:rsidP="00066B18">
      <w:pPr>
        <w:pStyle w:val="Tekstprzypisudolnego"/>
      </w:pPr>
      <w:r w:rsidRPr="00C756E0">
        <w:rPr>
          <w:rStyle w:val="Odwoanieprzypisudolnego"/>
        </w:rPr>
        <w:footnoteRef/>
      </w:r>
      <w:r w:rsidRPr="00EC610E">
        <w:t xml:space="preserve"> Oznacza kod wspólnego wskaźnika, o ile ma zastosowanie.</w:t>
      </w:r>
    </w:p>
  </w:footnote>
  <w:footnote w:id="3">
    <w:p w14:paraId="697AB7C1" w14:textId="77777777" w:rsidR="006A39F7" w:rsidRDefault="006A39F7" w:rsidP="00066B18">
      <w:pPr>
        <w:pStyle w:val="Tekstprzypisudolnego"/>
        <w:ind w:left="142" w:hanging="142"/>
      </w:pPr>
      <w:r w:rsidRPr="00C756E0">
        <w:rPr>
          <w:rStyle w:val="Odwoanieprzypisudolnego"/>
        </w:rPr>
        <w:footnoteRef/>
      </w:r>
      <w:r w:rsidRPr="00EC610E">
        <w:t xml:space="preserve"> W stosownych przypadkach należy wskazać częstotliwość i termin korekty oraz wyraźne odniesienie do konkretnego wskaźnika (w tym, w stosownych przypadkach, link do strony internetowej, na której opublikowano ten wskaźnik).</w:t>
      </w:r>
    </w:p>
  </w:footnote>
  <w:footnote w:id="4">
    <w:p w14:paraId="046B5E83" w14:textId="77777777" w:rsidR="00777706" w:rsidRDefault="00777706" w:rsidP="00777706">
      <w:pPr>
        <w:pStyle w:val="Tekstprzypisudolnego"/>
      </w:pPr>
      <w:r w:rsidRPr="0062619E">
        <w:rPr>
          <w:rStyle w:val="Odwoanieprzypisudolnego"/>
        </w:rPr>
        <w:footnoteRef/>
      </w:r>
      <w:r w:rsidRPr="00EC610E">
        <w:t xml:space="preserve"> Czy istnieją jakiekolwiek potencjalne negatywne skutki dla jakości wspieranych operacji,</w:t>
      </w:r>
      <w:r>
        <w:t xml:space="preserve"> </w:t>
      </w:r>
      <w:r w:rsidRPr="00EC610E">
        <w:t>a jeśli tak, to jakie środki (np. zapewnienie jakości) zostaną podjęte w celu ograniczenia tego ryzyka?</w:t>
      </w:r>
    </w:p>
  </w:footnote>
  <w:footnote w:id="5">
    <w:p w14:paraId="2080BD45" w14:textId="77777777" w:rsidR="006A39F7" w:rsidRDefault="006A39F7">
      <w:pPr>
        <w:pStyle w:val="Tekstprzypisudolnego"/>
      </w:pPr>
      <w:r>
        <w:rPr>
          <w:rStyle w:val="Odwoanieprzypisudolnego"/>
        </w:rPr>
        <w:footnoteRef/>
      </w:r>
      <w:r>
        <w:t xml:space="preserve"> Przyjęto:</w:t>
      </w:r>
      <w:r w:rsidRPr="00B345B7">
        <w:t xml:space="preserve"> liczbę ludności według faktycznego miejsca zamieszkania z obszaru danej gminy, która jest objęta przez LSR. Liczbę tę </w:t>
      </w:r>
      <w:r>
        <w:t>ustalono</w:t>
      </w:r>
      <w:r w:rsidRPr="00B345B7">
        <w:t xml:space="preserve"> na podstawie wynikowych informacji statystycznych ogłoszonych w Banku Danych Lokalnych Głównego Urzędu Statystycznego, na stronie internetowej (http://stat.gov.pl/bdl). Zgodnie z klasyfikacją przyjętą w</w:t>
      </w:r>
      <w:r>
        <w:t xml:space="preserve"> Banku Danych Lokalnych, liczba ta znajduje się </w:t>
      </w:r>
      <w:r w:rsidRPr="00B345B7">
        <w:t>w katalogu danych rocznych, w kategorii „Ludność”, grupa „Stan ludności i prognozy”, podgrupa „Ludność według miejsca zameldowania/zamieszkania i płci”, dalej rozwijając odpowiedni region, województwo, podregion, powiat, zaznaczając odpowiednią gminę. Należy zwrócić uwagę, że dana gmina może kilkukrotnie występować w spisie, ze względu na objęcie obszaru i rodzaju gminy (metodologia wyświetlania jest opisana w objaśnieniach na stronie BDL). Dane zaciąga się na dzień 31.12.2020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8A094" w14:textId="77777777" w:rsidR="00B75C7C" w:rsidRPr="00B75C7C" w:rsidRDefault="00B75C7C" w:rsidP="00B75C7C">
    <w:pPr>
      <w:pStyle w:val="Nagwek"/>
      <w:rPr>
        <w:rFonts w:ascii="Arial" w:hAnsi="Arial" w:cs="Arial"/>
        <w:b/>
        <w:color w:val="4472C4" w:themeColor="accent5"/>
        <w:szCs w:val="24"/>
      </w:rPr>
    </w:pPr>
    <w:r w:rsidRPr="00B75C7C">
      <w:rPr>
        <w:rFonts w:ascii="Arial" w:eastAsiaTheme="minorHAnsi" w:hAnsi="Arial" w:cs="Arial"/>
        <w:b/>
        <w:color w:val="4472C4" w:themeColor="accent5"/>
        <w:szCs w:val="24"/>
      </w:rPr>
      <w:t>Załącznik nr 9 do Regulaminu wyboru projektów dla działania FESL.06.05</w:t>
    </w:r>
  </w:p>
  <w:p w14:paraId="56D27C29" w14:textId="43E88CDB" w:rsidR="00B75C7C" w:rsidRPr="00B75C7C" w:rsidRDefault="00B75C7C" w:rsidP="00B75C7C">
    <w:pPr>
      <w:pStyle w:val="Nagwek"/>
      <w:rPr>
        <w:rFonts w:ascii="Arial" w:eastAsiaTheme="minorHAnsi" w:hAnsi="Arial" w:cs="Arial"/>
        <w:b/>
        <w:szCs w:val="24"/>
      </w:rPr>
    </w:pPr>
    <w:r w:rsidRPr="00B75C7C">
      <w:rPr>
        <w:rFonts w:ascii="Arial" w:eastAsiaTheme="minorHAnsi" w:hAnsi="Arial" w:cs="Arial"/>
        <w:b/>
        <w:szCs w:val="24"/>
      </w:rPr>
      <w:t>Metodyka rozliczania kosztów zarządzania i animacji w instrumencie RLKS (EFS+)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4361"/>
    <w:multiLevelType w:val="hybridMultilevel"/>
    <w:tmpl w:val="4FF01B12"/>
    <w:lvl w:ilvl="0" w:tplc="0B5C435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17D"/>
    <w:multiLevelType w:val="hybridMultilevel"/>
    <w:tmpl w:val="3DCAF002"/>
    <w:lvl w:ilvl="0" w:tplc="C77C7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8D7316"/>
    <w:multiLevelType w:val="hybridMultilevel"/>
    <w:tmpl w:val="ADBC9ED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6355E"/>
    <w:multiLevelType w:val="hybridMultilevel"/>
    <w:tmpl w:val="06462C5A"/>
    <w:lvl w:ilvl="0" w:tplc="D70ED1C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254E89"/>
    <w:multiLevelType w:val="hybridMultilevel"/>
    <w:tmpl w:val="23920C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5A0473"/>
    <w:multiLevelType w:val="hybridMultilevel"/>
    <w:tmpl w:val="D556DEBE"/>
    <w:lvl w:ilvl="0" w:tplc="C77C7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F5AE8"/>
    <w:multiLevelType w:val="hybridMultilevel"/>
    <w:tmpl w:val="5DC4A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70FFC"/>
    <w:multiLevelType w:val="hybridMultilevel"/>
    <w:tmpl w:val="ABF8CA66"/>
    <w:lvl w:ilvl="0" w:tplc="5D389E3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A121C"/>
    <w:multiLevelType w:val="hybridMultilevel"/>
    <w:tmpl w:val="BFB4CF54"/>
    <w:lvl w:ilvl="0" w:tplc="34783E34">
      <w:start w:val="3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C37EC"/>
    <w:multiLevelType w:val="hybridMultilevel"/>
    <w:tmpl w:val="511ACF6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5DB24488"/>
    <w:multiLevelType w:val="hybridMultilevel"/>
    <w:tmpl w:val="B4106C6C"/>
    <w:lvl w:ilvl="0" w:tplc="383CA99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C404EA"/>
    <w:multiLevelType w:val="hybridMultilevel"/>
    <w:tmpl w:val="68064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F09"/>
    <w:multiLevelType w:val="hybridMultilevel"/>
    <w:tmpl w:val="555C2854"/>
    <w:lvl w:ilvl="0" w:tplc="89CE3D2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DE25B3"/>
    <w:multiLevelType w:val="hybridMultilevel"/>
    <w:tmpl w:val="091CEDF6"/>
    <w:lvl w:ilvl="0" w:tplc="E41ED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033D3"/>
    <w:multiLevelType w:val="hybridMultilevel"/>
    <w:tmpl w:val="0DC0C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B05E3"/>
    <w:multiLevelType w:val="hybridMultilevel"/>
    <w:tmpl w:val="9BB028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0"/>
  </w:num>
  <w:num w:numId="10">
    <w:abstractNumId w:val="12"/>
  </w:num>
  <w:num w:numId="11">
    <w:abstractNumId w:val="15"/>
  </w:num>
  <w:num w:numId="12">
    <w:abstractNumId w:val="7"/>
  </w:num>
  <w:num w:numId="13">
    <w:abstractNumId w:val="14"/>
  </w:num>
  <w:num w:numId="14">
    <w:abstractNumId w:val="9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42B"/>
    <w:rsid w:val="000001BF"/>
    <w:rsid w:val="00000691"/>
    <w:rsid w:val="0000252F"/>
    <w:rsid w:val="00003308"/>
    <w:rsid w:val="00004906"/>
    <w:rsid w:val="00004E3F"/>
    <w:rsid w:val="00005920"/>
    <w:rsid w:val="00005AD9"/>
    <w:rsid w:val="00006182"/>
    <w:rsid w:val="00006D7E"/>
    <w:rsid w:val="00007246"/>
    <w:rsid w:val="000075F7"/>
    <w:rsid w:val="00007861"/>
    <w:rsid w:val="00007ABB"/>
    <w:rsid w:val="00007F2D"/>
    <w:rsid w:val="00010513"/>
    <w:rsid w:val="00010E1A"/>
    <w:rsid w:val="0001114B"/>
    <w:rsid w:val="00011724"/>
    <w:rsid w:val="00011BB0"/>
    <w:rsid w:val="000140E7"/>
    <w:rsid w:val="00015D7A"/>
    <w:rsid w:val="00017014"/>
    <w:rsid w:val="000202D7"/>
    <w:rsid w:val="0002120F"/>
    <w:rsid w:val="00021538"/>
    <w:rsid w:val="000219AE"/>
    <w:rsid w:val="00021AC3"/>
    <w:rsid w:val="00021DF6"/>
    <w:rsid w:val="000221D2"/>
    <w:rsid w:val="00022667"/>
    <w:rsid w:val="0002491E"/>
    <w:rsid w:val="00025DFC"/>
    <w:rsid w:val="000261E6"/>
    <w:rsid w:val="0002621A"/>
    <w:rsid w:val="00027045"/>
    <w:rsid w:val="00027147"/>
    <w:rsid w:val="00027EC0"/>
    <w:rsid w:val="000307E0"/>
    <w:rsid w:val="00031621"/>
    <w:rsid w:val="00031ECD"/>
    <w:rsid w:val="0003207F"/>
    <w:rsid w:val="00032B8C"/>
    <w:rsid w:val="0003372A"/>
    <w:rsid w:val="000341C7"/>
    <w:rsid w:val="00034C42"/>
    <w:rsid w:val="00035121"/>
    <w:rsid w:val="00035728"/>
    <w:rsid w:val="00035D2F"/>
    <w:rsid w:val="00035EEE"/>
    <w:rsid w:val="000368F5"/>
    <w:rsid w:val="00036D1D"/>
    <w:rsid w:val="00036F05"/>
    <w:rsid w:val="00037DA4"/>
    <w:rsid w:val="00041F7A"/>
    <w:rsid w:val="00042911"/>
    <w:rsid w:val="000443D8"/>
    <w:rsid w:val="00045AAB"/>
    <w:rsid w:val="00046D6D"/>
    <w:rsid w:val="00046E3B"/>
    <w:rsid w:val="0004747D"/>
    <w:rsid w:val="0005022C"/>
    <w:rsid w:val="00051375"/>
    <w:rsid w:val="00051899"/>
    <w:rsid w:val="00052864"/>
    <w:rsid w:val="00052F41"/>
    <w:rsid w:val="00053A65"/>
    <w:rsid w:val="00053D9D"/>
    <w:rsid w:val="000541E8"/>
    <w:rsid w:val="00054CAE"/>
    <w:rsid w:val="000561C3"/>
    <w:rsid w:val="00056591"/>
    <w:rsid w:val="00056AF5"/>
    <w:rsid w:val="00056B33"/>
    <w:rsid w:val="00056F88"/>
    <w:rsid w:val="0005794E"/>
    <w:rsid w:val="00060B89"/>
    <w:rsid w:val="00060CFF"/>
    <w:rsid w:val="000611FC"/>
    <w:rsid w:val="000614C4"/>
    <w:rsid w:val="00062308"/>
    <w:rsid w:val="00062B89"/>
    <w:rsid w:val="00063B83"/>
    <w:rsid w:val="00065271"/>
    <w:rsid w:val="0006545A"/>
    <w:rsid w:val="00065926"/>
    <w:rsid w:val="0006644A"/>
    <w:rsid w:val="00066B18"/>
    <w:rsid w:val="00067E71"/>
    <w:rsid w:val="000701CA"/>
    <w:rsid w:val="000710A0"/>
    <w:rsid w:val="0007118E"/>
    <w:rsid w:val="0007128B"/>
    <w:rsid w:val="00071CF7"/>
    <w:rsid w:val="0007218D"/>
    <w:rsid w:val="0007341F"/>
    <w:rsid w:val="00073AB6"/>
    <w:rsid w:val="00074D3E"/>
    <w:rsid w:val="00075051"/>
    <w:rsid w:val="00075F7D"/>
    <w:rsid w:val="00076B2D"/>
    <w:rsid w:val="00077B83"/>
    <w:rsid w:val="00080488"/>
    <w:rsid w:val="00084363"/>
    <w:rsid w:val="00084A27"/>
    <w:rsid w:val="00084EE0"/>
    <w:rsid w:val="00085563"/>
    <w:rsid w:val="00085BD4"/>
    <w:rsid w:val="000866BC"/>
    <w:rsid w:val="0008795A"/>
    <w:rsid w:val="00087A03"/>
    <w:rsid w:val="00090BF0"/>
    <w:rsid w:val="00090F97"/>
    <w:rsid w:val="0009174B"/>
    <w:rsid w:val="000917EE"/>
    <w:rsid w:val="000919F8"/>
    <w:rsid w:val="00091CBC"/>
    <w:rsid w:val="00092C5D"/>
    <w:rsid w:val="00092FC4"/>
    <w:rsid w:val="000937E3"/>
    <w:rsid w:val="00095053"/>
    <w:rsid w:val="0009585B"/>
    <w:rsid w:val="00095A9A"/>
    <w:rsid w:val="00095D7A"/>
    <w:rsid w:val="0009664E"/>
    <w:rsid w:val="00096659"/>
    <w:rsid w:val="000A0036"/>
    <w:rsid w:val="000A039B"/>
    <w:rsid w:val="000A0632"/>
    <w:rsid w:val="000A191D"/>
    <w:rsid w:val="000A2ABF"/>
    <w:rsid w:val="000A2B74"/>
    <w:rsid w:val="000A2EC5"/>
    <w:rsid w:val="000B1B5E"/>
    <w:rsid w:val="000B25D9"/>
    <w:rsid w:val="000B2AEA"/>
    <w:rsid w:val="000B2F2C"/>
    <w:rsid w:val="000B2FAB"/>
    <w:rsid w:val="000B41A9"/>
    <w:rsid w:val="000B41FE"/>
    <w:rsid w:val="000B437C"/>
    <w:rsid w:val="000B488D"/>
    <w:rsid w:val="000B5CD3"/>
    <w:rsid w:val="000B73CD"/>
    <w:rsid w:val="000B7790"/>
    <w:rsid w:val="000C0807"/>
    <w:rsid w:val="000C081F"/>
    <w:rsid w:val="000C0B8F"/>
    <w:rsid w:val="000C0D19"/>
    <w:rsid w:val="000C0F88"/>
    <w:rsid w:val="000C11FD"/>
    <w:rsid w:val="000C12E5"/>
    <w:rsid w:val="000C1DDD"/>
    <w:rsid w:val="000C266F"/>
    <w:rsid w:val="000C2C45"/>
    <w:rsid w:val="000C31A4"/>
    <w:rsid w:val="000C3475"/>
    <w:rsid w:val="000C4148"/>
    <w:rsid w:val="000C5BE7"/>
    <w:rsid w:val="000C5C01"/>
    <w:rsid w:val="000C6524"/>
    <w:rsid w:val="000C66A9"/>
    <w:rsid w:val="000C6A73"/>
    <w:rsid w:val="000C6D6F"/>
    <w:rsid w:val="000C6E48"/>
    <w:rsid w:val="000C6F4B"/>
    <w:rsid w:val="000D13B9"/>
    <w:rsid w:val="000D191D"/>
    <w:rsid w:val="000D1F19"/>
    <w:rsid w:val="000D20E5"/>
    <w:rsid w:val="000D234A"/>
    <w:rsid w:val="000D27A2"/>
    <w:rsid w:val="000D34F9"/>
    <w:rsid w:val="000D4B88"/>
    <w:rsid w:val="000D591F"/>
    <w:rsid w:val="000D5EBF"/>
    <w:rsid w:val="000D75DB"/>
    <w:rsid w:val="000E0AE3"/>
    <w:rsid w:val="000E1325"/>
    <w:rsid w:val="000E17F2"/>
    <w:rsid w:val="000E17F7"/>
    <w:rsid w:val="000E2458"/>
    <w:rsid w:val="000E28AB"/>
    <w:rsid w:val="000E48FA"/>
    <w:rsid w:val="000E5328"/>
    <w:rsid w:val="000E66C6"/>
    <w:rsid w:val="000E6856"/>
    <w:rsid w:val="000E6C50"/>
    <w:rsid w:val="000E6E7B"/>
    <w:rsid w:val="000E71C4"/>
    <w:rsid w:val="000E7D56"/>
    <w:rsid w:val="000E7D67"/>
    <w:rsid w:val="000E7E31"/>
    <w:rsid w:val="000F0072"/>
    <w:rsid w:val="000F03EC"/>
    <w:rsid w:val="000F29FF"/>
    <w:rsid w:val="000F36BD"/>
    <w:rsid w:val="000F393E"/>
    <w:rsid w:val="000F3B90"/>
    <w:rsid w:val="000F3DEC"/>
    <w:rsid w:val="000F4505"/>
    <w:rsid w:val="000F4B63"/>
    <w:rsid w:val="000F569A"/>
    <w:rsid w:val="00100281"/>
    <w:rsid w:val="001011F1"/>
    <w:rsid w:val="001012DD"/>
    <w:rsid w:val="0010225D"/>
    <w:rsid w:val="00102700"/>
    <w:rsid w:val="001039A3"/>
    <w:rsid w:val="00105B8A"/>
    <w:rsid w:val="00107E8E"/>
    <w:rsid w:val="0011058D"/>
    <w:rsid w:val="001110D5"/>
    <w:rsid w:val="001119BF"/>
    <w:rsid w:val="00113546"/>
    <w:rsid w:val="001145F0"/>
    <w:rsid w:val="00114703"/>
    <w:rsid w:val="001157A2"/>
    <w:rsid w:val="0011586C"/>
    <w:rsid w:val="001158CA"/>
    <w:rsid w:val="00116A1D"/>
    <w:rsid w:val="00117DB3"/>
    <w:rsid w:val="001217D5"/>
    <w:rsid w:val="001219BD"/>
    <w:rsid w:val="00123640"/>
    <w:rsid w:val="00123DBC"/>
    <w:rsid w:val="00123E63"/>
    <w:rsid w:val="00124259"/>
    <w:rsid w:val="00124260"/>
    <w:rsid w:val="00124E1D"/>
    <w:rsid w:val="001258EE"/>
    <w:rsid w:val="00126277"/>
    <w:rsid w:val="00126666"/>
    <w:rsid w:val="001268F6"/>
    <w:rsid w:val="00126953"/>
    <w:rsid w:val="00130506"/>
    <w:rsid w:val="0013127A"/>
    <w:rsid w:val="00131623"/>
    <w:rsid w:val="00131E28"/>
    <w:rsid w:val="0013290E"/>
    <w:rsid w:val="00132E28"/>
    <w:rsid w:val="001335DC"/>
    <w:rsid w:val="00134756"/>
    <w:rsid w:val="0013485E"/>
    <w:rsid w:val="00135F34"/>
    <w:rsid w:val="00136ACE"/>
    <w:rsid w:val="0013777C"/>
    <w:rsid w:val="00140F88"/>
    <w:rsid w:val="001411FD"/>
    <w:rsid w:val="00141CCC"/>
    <w:rsid w:val="00142F2F"/>
    <w:rsid w:val="00143154"/>
    <w:rsid w:val="0014334C"/>
    <w:rsid w:val="0014431B"/>
    <w:rsid w:val="00145202"/>
    <w:rsid w:val="00145647"/>
    <w:rsid w:val="00146069"/>
    <w:rsid w:val="001461CF"/>
    <w:rsid w:val="00147EB0"/>
    <w:rsid w:val="00150087"/>
    <w:rsid w:val="00150AE5"/>
    <w:rsid w:val="00152196"/>
    <w:rsid w:val="00153128"/>
    <w:rsid w:val="00153259"/>
    <w:rsid w:val="001533F3"/>
    <w:rsid w:val="00153C87"/>
    <w:rsid w:val="00154408"/>
    <w:rsid w:val="00155304"/>
    <w:rsid w:val="00155AD6"/>
    <w:rsid w:val="001561D6"/>
    <w:rsid w:val="001563F3"/>
    <w:rsid w:val="00157A7C"/>
    <w:rsid w:val="00157C2C"/>
    <w:rsid w:val="00157C8F"/>
    <w:rsid w:val="001607AE"/>
    <w:rsid w:val="0016199D"/>
    <w:rsid w:val="001620C3"/>
    <w:rsid w:val="001623A5"/>
    <w:rsid w:val="00163CF9"/>
    <w:rsid w:val="001658EF"/>
    <w:rsid w:val="00165C66"/>
    <w:rsid w:val="00166485"/>
    <w:rsid w:val="00166E67"/>
    <w:rsid w:val="0017014D"/>
    <w:rsid w:val="0017038D"/>
    <w:rsid w:val="00170F43"/>
    <w:rsid w:val="00171AE9"/>
    <w:rsid w:val="00173693"/>
    <w:rsid w:val="00173F35"/>
    <w:rsid w:val="001761DE"/>
    <w:rsid w:val="00177987"/>
    <w:rsid w:val="00177D7B"/>
    <w:rsid w:val="00177E74"/>
    <w:rsid w:val="00181A0D"/>
    <w:rsid w:val="0018218F"/>
    <w:rsid w:val="001822D5"/>
    <w:rsid w:val="001828CA"/>
    <w:rsid w:val="0018453A"/>
    <w:rsid w:val="00184D51"/>
    <w:rsid w:val="00184F52"/>
    <w:rsid w:val="0018535C"/>
    <w:rsid w:val="001856A2"/>
    <w:rsid w:val="00186A67"/>
    <w:rsid w:val="001870F9"/>
    <w:rsid w:val="00190CF0"/>
    <w:rsid w:val="00191944"/>
    <w:rsid w:val="0019293E"/>
    <w:rsid w:val="00192944"/>
    <w:rsid w:val="00192EDF"/>
    <w:rsid w:val="001939B1"/>
    <w:rsid w:val="00194313"/>
    <w:rsid w:val="0019447D"/>
    <w:rsid w:val="001945C0"/>
    <w:rsid w:val="00195138"/>
    <w:rsid w:val="0019597E"/>
    <w:rsid w:val="00197416"/>
    <w:rsid w:val="00197A30"/>
    <w:rsid w:val="001A028F"/>
    <w:rsid w:val="001A3D72"/>
    <w:rsid w:val="001A432A"/>
    <w:rsid w:val="001A6675"/>
    <w:rsid w:val="001A671A"/>
    <w:rsid w:val="001A6F2C"/>
    <w:rsid w:val="001A7859"/>
    <w:rsid w:val="001B0CD3"/>
    <w:rsid w:val="001B11D2"/>
    <w:rsid w:val="001B1D12"/>
    <w:rsid w:val="001B1FA9"/>
    <w:rsid w:val="001B227B"/>
    <w:rsid w:val="001B3D99"/>
    <w:rsid w:val="001B747E"/>
    <w:rsid w:val="001B7EBD"/>
    <w:rsid w:val="001C0111"/>
    <w:rsid w:val="001C24ED"/>
    <w:rsid w:val="001C269B"/>
    <w:rsid w:val="001C3E8F"/>
    <w:rsid w:val="001C4A59"/>
    <w:rsid w:val="001C503C"/>
    <w:rsid w:val="001C62E1"/>
    <w:rsid w:val="001C68DC"/>
    <w:rsid w:val="001C74F2"/>
    <w:rsid w:val="001C782F"/>
    <w:rsid w:val="001C78AF"/>
    <w:rsid w:val="001D099F"/>
    <w:rsid w:val="001D1552"/>
    <w:rsid w:val="001D1973"/>
    <w:rsid w:val="001D2306"/>
    <w:rsid w:val="001D3A8D"/>
    <w:rsid w:val="001D3D35"/>
    <w:rsid w:val="001D3F39"/>
    <w:rsid w:val="001D6CEB"/>
    <w:rsid w:val="001D7355"/>
    <w:rsid w:val="001E1075"/>
    <w:rsid w:val="001E3E5E"/>
    <w:rsid w:val="001E5342"/>
    <w:rsid w:val="001E580A"/>
    <w:rsid w:val="001E627B"/>
    <w:rsid w:val="001E739C"/>
    <w:rsid w:val="001E7410"/>
    <w:rsid w:val="001E7C53"/>
    <w:rsid w:val="001E7C97"/>
    <w:rsid w:val="001F0142"/>
    <w:rsid w:val="001F0423"/>
    <w:rsid w:val="001F16D9"/>
    <w:rsid w:val="001F27F2"/>
    <w:rsid w:val="001F3916"/>
    <w:rsid w:val="001F3E5B"/>
    <w:rsid w:val="001F440E"/>
    <w:rsid w:val="001F6417"/>
    <w:rsid w:val="001F763D"/>
    <w:rsid w:val="001F782E"/>
    <w:rsid w:val="001F7D85"/>
    <w:rsid w:val="00200093"/>
    <w:rsid w:val="002004C5"/>
    <w:rsid w:val="00200AAB"/>
    <w:rsid w:val="0020107C"/>
    <w:rsid w:val="00201365"/>
    <w:rsid w:val="002021CF"/>
    <w:rsid w:val="00203CB9"/>
    <w:rsid w:val="00204879"/>
    <w:rsid w:val="00204D7D"/>
    <w:rsid w:val="00205285"/>
    <w:rsid w:val="0020588E"/>
    <w:rsid w:val="00205A0A"/>
    <w:rsid w:val="00207201"/>
    <w:rsid w:val="00207455"/>
    <w:rsid w:val="002075AB"/>
    <w:rsid w:val="00207A22"/>
    <w:rsid w:val="002110B6"/>
    <w:rsid w:val="00211806"/>
    <w:rsid w:val="0021184B"/>
    <w:rsid w:val="0021325E"/>
    <w:rsid w:val="0021332C"/>
    <w:rsid w:val="0021381B"/>
    <w:rsid w:val="0021510D"/>
    <w:rsid w:val="00216A23"/>
    <w:rsid w:val="002170F2"/>
    <w:rsid w:val="00220574"/>
    <w:rsid w:val="00220758"/>
    <w:rsid w:val="00220BD8"/>
    <w:rsid w:val="002214C8"/>
    <w:rsid w:val="00221FAF"/>
    <w:rsid w:val="002239B2"/>
    <w:rsid w:val="00224120"/>
    <w:rsid w:val="0022421E"/>
    <w:rsid w:val="00225400"/>
    <w:rsid w:val="00226684"/>
    <w:rsid w:val="00226891"/>
    <w:rsid w:val="002303EB"/>
    <w:rsid w:val="00230B01"/>
    <w:rsid w:val="002315D1"/>
    <w:rsid w:val="002332D4"/>
    <w:rsid w:val="002367E0"/>
    <w:rsid w:val="00236EEC"/>
    <w:rsid w:val="00237390"/>
    <w:rsid w:val="002377F6"/>
    <w:rsid w:val="002425E4"/>
    <w:rsid w:val="002428BF"/>
    <w:rsid w:val="00243643"/>
    <w:rsid w:val="00246B40"/>
    <w:rsid w:val="0024738C"/>
    <w:rsid w:val="0024772E"/>
    <w:rsid w:val="00250945"/>
    <w:rsid w:val="00250CB0"/>
    <w:rsid w:val="00251140"/>
    <w:rsid w:val="002515EB"/>
    <w:rsid w:val="00251B8E"/>
    <w:rsid w:val="00251E87"/>
    <w:rsid w:val="0025237F"/>
    <w:rsid w:val="002530E8"/>
    <w:rsid w:val="00255B7C"/>
    <w:rsid w:val="00256239"/>
    <w:rsid w:val="00256E4F"/>
    <w:rsid w:val="00257CE5"/>
    <w:rsid w:val="00260922"/>
    <w:rsid w:val="00260DEC"/>
    <w:rsid w:val="0026148B"/>
    <w:rsid w:val="00262243"/>
    <w:rsid w:val="00263175"/>
    <w:rsid w:val="0026341C"/>
    <w:rsid w:val="0026342B"/>
    <w:rsid w:val="00265B98"/>
    <w:rsid w:val="00266864"/>
    <w:rsid w:val="0026772A"/>
    <w:rsid w:val="0027153D"/>
    <w:rsid w:val="00271695"/>
    <w:rsid w:val="002717A4"/>
    <w:rsid w:val="00271C8C"/>
    <w:rsid w:val="00273C2D"/>
    <w:rsid w:val="00274362"/>
    <w:rsid w:val="00274972"/>
    <w:rsid w:val="00275100"/>
    <w:rsid w:val="00275A2B"/>
    <w:rsid w:val="00275ABB"/>
    <w:rsid w:val="00275F18"/>
    <w:rsid w:val="00276246"/>
    <w:rsid w:val="002764DA"/>
    <w:rsid w:val="00276BC6"/>
    <w:rsid w:val="00276C65"/>
    <w:rsid w:val="00276E7B"/>
    <w:rsid w:val="00277AFA"/>
    <w:rsid w:val="00280377"/>
    <w:rsid w:val="00280DB9"/>
    <w:rsid w:val="00280FD2"/>
    <w:rsid w:val="00281450"/>
    <w:rsid w:val="00281925"/>
    <w:rsid w:val="00281FEE"/>
    <w:rsid w:val="00282260"/>
    <w:rsid w:val="0028307F"/>
    <w:rsid w:val="0028337E"/>
    <w:rsid w:val="002837EF"/>
    <w:rsid w:val="002842E9"/>
    <w:rsid w:val="002847A2"/>
    <w:rsid w:val="00285518"/>
    <w:rsid w:val="00286387"/>
    <w:rsid w:val="00287C5C"/>
    <w:rsid w:val="00287C9F"/>
    <w:rsid w:val="00290673"/>
    <w:rsid w:val="00290F60"/>
    <w:rsid w:val="0029260D"/>
    <w:rsid w:val="00293387"/>
    <w:rsid w:val="00294044"/>
    <w:rsid w:val="00294349"/>
    <w:rsid w:val="0029557F"/>
    <w:rsid w:val="00295E94"/>
    <w:rsid w:val="002A0233"/>
    <w:rsid w:val="002A0CD1"/>
    <w:rsid w:val="002A1605"/>
    <w:rsid w:val="002A3A4C"/>
    <w:rsid w:val="002A3A6E"/>
    <w:rsid w:val="002A4925"/>
    <w:rsid w:val="002A4DF9"/>
    <w:rsid w:val="002A4EE6"/>
    <w:rsid w:val="002A56B6"/>
    <w:rsid w:val="002A5F40"/>
    <w:rsid w:val="002A6D35"/>
    <w:rsid w:val="002A6FE2"/>
    <w:rsid w:val="002A7704"/>
    <w:rsid w:val="002B21B9"/>
    <w:rsid w:val="002B2952"/>
    <w:rsid w:val="002B3D55"/>
    <w:rsid w:val="002B4533"/>
    <w:rsid w:val="002B521E"/>
    <w:rsid w:val="002B6635"/>
    <w:rsid w:val="002B6899"/>
    <w:rsid w:val="002B6A05"/>
    <w:rsid w:val="002B6C08"/>
    <w:rsid w:val="002B7994"/>
    <w:rsid w:val="002B7FB3"/>
    <w:rsid w:val="002C0952"/>
    <w:rsid w:val="002C0F23"/>
    <w:rsid w:val="002C1498"/>
    <w:rsid w:val="002C212D"/>
    <w:rsid w:val="002C21D2"/>
    <w:rsid w:val="002C2D4E"/>
    <w:rsid w:val="002C6771"/>
    <w:rsid w:val="002C6B4C"/>
    <w:rsid w:val="002C7128"/>
    <w:rsid w:val="002C71DF"/>
    <w:rsid w:val="002D0163"/>
    <w:rsid w:val="002D0DEF"/>
    <w:rsid w:val="002D21AC"/>
    <w:rsid w:val="002D236E"/>
    <w:rsid w:val="002D2976"/>
    <w:rsid w:val="002D3FF0"/>
    <w:rsid w:val="002D4334"/>
    <w:rsid w:val="002D45F2"/>
    <w:rsid w:val="002D4769"/>
    <w:rsid w:val="002D58BA"/>
    <w:rsid w:val="002D600A"/>
    <w:rsid w:val="002D64AE"/>
    <w:rsid w:val="002D6A72"/>
    <w:rsid w:val="002D6C62"/>
    <w:rsid w:val="002E0F3D"/>
    <w:rsid w:val="002E1071"/>
    <w:rsid w:val="002E2377"/>
    <w:rsid w:val="002E381E"/>
    <w:rsid w:val="002E4D01"/>
    <w:rsid w:val="002E62B5"/>
    <w:rsid w:val="002E6EB7"/>
    <w:rsid w:val="002E6FDA"/>
    <w:rsid w:val="002E727C"/>
    <w:rsid w:val="002E7DE6"/>
    <w:rsid w:val="002F0899"/>
    <w:rsid w:val="002F0969"/>
    <w:rsid w:val="002F0B15"/>
    <w:rsid w:val="002F1AE5"/>
    <w:rsid w:val="002F2676"/>
    <w:rsid w:val="002F3D5C"/>
    <w:rsid w:val="002F53B2"/>
    <w:rsid w:val="002F572B"/>
    <w:rsid w:val="002F6E6D"/>
    <w:rsid w:val="00300A2C"/>
    <w:rsid w:val="00300DD5"/>
    <w:rsid w:val="003015D0"/>
    <w:rsid w:val="0030210A"/>
    <w:rsid w:val="00302F0A"/>
    <w:rsid w:val="00303644"/>
    <w:rsid w:val="00303F1E"/>
    <w:rsid w:val="0030492D"/>
    <w:rsid w:val="003065D3"/>
    <w:rsid w:val="0030691A"/>
    <w:rsid w:val="003074F6"/>
    <w:rsid w:val="003079EF"/>
    <w:rsid w:val="00307AC4"/>
    <w:rsid w:val="00307CEA"/>
    <w:rsid w:val="0031091A"/>
    <w:rsid w:val="00310C09"/>
    <w:rsid w:val="003110B1"/>
    <w:rsid w:val="00311E35"/>
    <w:rsid w:val="00312B42"/>
    <w:rsid w:val="00313861"/>
    <w:rsid w:val="0031443E"/>
    <w:rsid w:val="00314D42"/>
    <w:rsid w:val="003151B8"/>
    <w:rsid w:val="00320223"/>
    <w:rsid w:val="00321A6B"/>
    <w:rsid w:val="003235D9"/>
    <w:rsid w:val="0032475E"/>
    <w:rsid w:val="0032482E"/>
    <w:rsid w:val="00324EE2"/>
    <w:rsid w:val="00327017"/>
    <w:rsid w:val="003312E3"/>
    <w:rsid w:val="00332217"/>
    <w:rsid w:val="0033296B"/>
    <w:rsid w:val="00332F68"/>
    <w:rsid w:val="003340DE"/>
    <w:rsid w:val="00334F36"/>
    <w:rsid w:val="00335482"/>
    <w:rsid w:val="0033622F"/>
    <w:rsid w:val="0033645E"/>
    <w:rsid w:val="00337D38"/>
    <w:rsid w:val="00344BD9"/>
    <w:rsid w:val="00345931"/>
    <w:rsid w:val="00346550"/>
    <w:rsid w:val="003466B1"/>
    <w:rsid w:val="003472AF"/>
    <w:rsid w:val="00347374"/>
    <w:rsid w:val="00351C4E"/>
    <w:rsid w:val="00352B3C"/>
    <w:rsid w:val="00353464"/>
    <w:rsid w:val="00353BAC"/>
    <w:rsid w:val="003540E8"/>
    <w:rsid w:val="0035449A"/>
    <w:rsid w:val="003547AC"/>
    <w:rsid w:val="003547B9"/>
    <w:rsid w:val="00355AB2"/>
    <w:rsid w:val="00357305"/>
    <w:rsid w:val="0036008C"/>
    <w:rsid w:val="003602D5"/>
    <w:rsid w:val="003614B2"/>
    <w:rsid w:val="00361AE9"/>
    <w:rsid w:val="003620F6"/>
    <w:rsid w:val="003629F1"/>
    <w:rsid w:val="003630D5"/>
    <w:rsid w:val="00364905"/>
    <w:rsid w:val="00365A9A"/>
    <w:rsid w:val="00366353"/>
    <w:rsid w:val="00366539"/>
    <w:rsid w:val="00366E5C"/>
    <w:rsid w:val="00367BD0"/>
    <w:rsid w:val="0037021E"/>
    <w:rsid w:val="00370F2E"/>
    <w:rsid w:val="00371941"/>
    <w:rsid w:val="0037194D"/>
    <w:rsid w:val="00374DAB"/>
    <w:rsid w:val="003758F1"/>
    <w:rsid w:val="003771C2"/>
    <w:rsid w:val="00377957"/>
    <w:rsid w:val="00377B10"/>
    <w:rsid w:val="00377F32"/>
    <w:rsid w:val="00380984"/>
    <w:rsid w:val="00380D77"/>
    <w:rsid w:val="00381950"/>
    <w:rsid w:val="00383679"/>
    <w:rsid w:val="00384C7C"/>
    <w:rsid w:val="003855E4"/>
    <w:rsid w:val="0038573E"/>
    <w:rsid w:val="003861F1"/>
    <w:rsid w:val="003863EB"/>
    <w:rsid w:val="00390276"/>
    <w:rsid w:val="0039037D"/>
    <w:rsid w:val="003903AA"/>
    <w:rsid w:val="0039049B"/>
    <w:rsid w:val="003920EC"/>
    <w:rsid w:val="00392F62"/>
    <w:rsid w:val="00393A7C"/>
    <w:rsid w:val="00393BA2"/>
    <w:rsid w:val="00394227"/>
    <w:rsid w:val="00394965"/>
    <w:rsid w:val="00394E66"/>
    <w:rsid w:val="00394F45"/>
    <w:rsid w:val="00395098"/>
    <w:rsid w:val="003953BB"/>
    <w:rsid w:val="00396151"/>
    <w:rsid w:val="003964A7"/>
    <w:rsid w:val="00396D96"/>
    <w:rsid w:val="003977C7"/>
    <w:rsid w:val="00397A0A"/>
    <w:rsid w:val="003A046A"/>
    <w:rsid w:val="003A14E8"/>
    <w:rsid w:val="003A1C19"/>
    <w:rsid w:val="003A1EEA"/>
    <w:rsid w:val="003A1FC0"/>
    <w:rsid w:val="003A2079"/>
    <w:rsid w:val="003A2B85"/>
    <w:rsid w:val="003A35FB"/>
    <w:rsid w:val="003A5909"/>
    <w:rsid w:val="003A5AE0"/>
    <w:rsid w:val="003A6303"/>
    <w:rsid w:val="003B200A"/>
    <w:rsid w:val="003B27EC"/>
    <w:rsid w:val="003B2FAC"/>
    <w:rsid w:val="003B38A3"/>
    <w:rsid w:val="003B3FAA"/>
    <w:rsid w:val="003B4A55"/>
    <w:rsid w:val="003B5D73"/>
    <w:rsid w:val="003B6A68"/>
    <w:rsid w:val="003B751B"/>
    <w:rsid w:val="003B7987"/>
    <w:rsid w:val="003C1426"/>
    <w:rsid w:val="003C2317"/>
    <w:rsid w:val="003C3A76"/>
    <w:rsid w:val="003C4AE6"/>
    <w:rsid w:val="003C6A58"/>
    <w:rsid w:val="003C6DCB"/>
    <w:rsid w:val="003C7658"/>
    <w:rsid w:val="003C7CEC"/>
    <w:rsid w:val="003D05F1"/>
    <w:rsid w:val="003D0F61"/>
    <w:rsid w:val="003D1EAE"/>
    <w:rsid w:val="003D2E98"/>
    <w:rsid w:val="003D31E5"/>
    <w:rsid w:val="003D4877"/>
    <w:rsid w:val="003D6A9B"/>
    <w:rsid w:val="003D6E9B"/>
    <w:rsid w:val="003E0196"/>
    <w:rsid w:val="003E04E7"/>
    <w:rsid w:val="003E0634"/>
    <w:rsid w:val="003E0896"/>
    <w:rsid w:val="003E0B54"/>
    <w:rsid w:val="003E0BB5"/>
    <w:rsid w:val="003E0BF8"/>
    <w:rsid w:val="003E0DE1"/>
    <w:rsid w:val="003E2147"/>
    <w:rsid w:val="003E368B"/>
    <w:rsid w:val="003E493B"/>
    <w:rsid w:val="003E553F"/>
    <w:rsid w:val="003E6503"/>
    <w:rsid w:val="003E675A"/>
    <w:rsid w:val="003E7639"/>
    <w:rsid w:val="003E7DBC"/>
    <w:rsid w:val="003F0A7A"/>
    <w:rsid w:val="003F1EB9"/>
    <w:rsid w:val="003F2F2A"/>
    <w:rsid w:val="003F3621"/>
    <w:rsid w:val="003F4462"/>
    <w:rsid w:val="003F4761"/>
    <w:rsid w:val="003F5021"/>
    <w:rsid w:val="003F503A"/>
    <w:rsid w:val="003F5E67"/>
    <w:rsid w:val="003F634D"/>
    <w:rsid w:val="003F68AB"/>
    <w:rsid w:val="003F7BC4"/>
    <w:rsid w:val="00401226"/>
    <w:rsid w:val="004012BC"/>
    <w:rsid w:val="004014FF"/>
    <w:rsid w:val="00401D17"/>
    <w:rsid w:val="00402F96"/>
    <w:rsid w:val="00404D93"/>
    <w:rsid w:val="00404DEC"/>
    <w:rsid w:val="0040508A"/>
    <w:rsid w:val="0040591E"/>
    <w:rsid w:val="004111E2"/>
    <w:rsid w:val="00411413"/>
    <w:rsid w:val="00411737"/>
    <w:rsid w:val="00411831"/>
    <w:rsid w:val="00411BF8"/>
    <w:rsid w:val="00411CFF"/>
    <w:rsid w:val="0041222C"/>
    <w:rsid w:val="0041332B"/>
    <w:rsid w:val="0041497F"/>
    <w:rsid w:val="00414F76"/>
    <w:rsid w:val="004153C1"/>
    <w:rsid w:val="00415A66"/>
    <w:rsid w:val="00416837"/>
    <w:rsid w:val="00416A5B"/>
    <w:rsid w:val="00420B47"/>
    <w:rsid w:val="00420EF2"/>
    <w:rsid w:val="00421574"/>
    <w:rsid w:val="00421EB7"/>
    <w:rsid w:val="004239FD"/>
    <w:rsid w:val="00424A76"/>
    <w:rsid w:val="00426129"/>
    <w:rsid w:val="0042689B"/>
    <w:rsid w:val="00426A01"/>
    <w:rsid w:val="00427195"/>
    <w:rsid w:val="00427449"/>
    <w:rsid w:val="004278CA"/>
    <w:rsid w:val="004305A2"/>
    <w:rsid w:val="00430BF2"/>
    <w:rsid w:val="00432E78"/>
    <w:rsid w:val="0043303C"/>
    <w:rsid w:val="004333C5"/>
    <w:rsid w:val="00434D87"/>
    <w:rsid w:val="00435FBA"/>
    <w:rsid w:val="004361FE"/>
    <w:rsid w:val="00436974"/>
    <w:rsid w:val="0043791E"/>
    <w:rsid w:val="00442194"/>
    <w:rsid w:val="00443595"/>
    <w:rsid w:val="004436CB"/>
    <w:rsid w:val="004452E9"/>
    <w:rsid w:val="00450B6F"/>
    <w:rsid w:val="00450E78"/>
    <w:rsid w:val="004511FD"/>
    <w:rsid w:val="00451C3E"/>
    <w:rsid w:val="00452028"/>
    <w:rsid w:val="004531A6"/>
    <w:rsid w:val="004545A0"/>
    <w:rsid w:val="0045499C"/>
    <w:rsid w:val="004550F6"/>
    <w:rsid w:val="00456F1C"/>
    <w:rsid w:val="0046134F"/>
    <w:rsid w:val="004625A7"/>
    <w:rsid w:val="00462C76"/>
    <w:rsid w:val="00462D78"/>
    <w:rsid w:val="004630E6"/>
    <w:rsid w:val="00463287"/>
    <w:rsid w:val="00465E5C"/>
    <w:rsid w:val="00466057"/>
    <w:rsid w:val="00466919"/>
    <w:rsid w:val="0047065C"/>
    <w:rsid w:val="004706EC"/>
    <w:rsid w:val="00470A87"/>
    <w:rsid w:val="004729CB"/>
    <w:rsid w:val="00472C1A"/>
    <w:rsid w:val="00474666"/>
    <w:rsid w:val="0047565B"/>
    <w:rsid w:val="00475C4D"/>
    <w:rsid w:val="00477335"/>
    <w:rsid w:val="004774D6"/>
    <w:rsid w:val="004804F9"/>
    <w:rsid w:val="00481715"/>
    <w:rsid w:val="00482B84"/>
    <w:rsid w:val="00483B30"/>
    <w:rsid w:val="00484ED4"/>
    <w:rsid w:val="00485B50"/>
    <w:rsid w:val="00486041"/>
    <w:rsid w:val="004861BC"/>
    <w:rsid w:val="004864D7"/>
    <w:rsid w:val="004872C4"/>
    <w:rsid w:val="00487859"/>
    <w:rsid w:val="0048787B"/>
    <w:rsid w:val="004879EA"/>
    <w:rsid w:val="004910BD"/>
    <w:rsid w:val="00491ADC"/>
    <w:rsid w:val="0049236E"/>
    <w:rsid w:val="00492969"/>
    <w:rsid w:val="00492EA4"/>
    <w:rsid w:val="00493A84"/>
    <w:rsid w:val="004945D4"/>
    <w:rsid w:val="004949F3"/>
    <w:rsid w:val="00494F1D"/>
    <w:rsid w:val="004955D9"/>
    <w:rsid w:val="004966BF"/>
    <w:rsid w:val="00496BBB"/>
    <w:rsid w:val="00496F89"/>
    <w:rsid w:val="00497A9C"/>
    <w:rsid w:val="004A0011"/>
    <w:rsid w:val="004A0DA3"/>
    <w:rsid w:val="004A198C"/>
    <w:rsid w:val="004A1DBF"/>
    <w:rsid w:val="004A2287"/>
    <w:rsid w:val="004A2750"/>
    <w:rsid w:val="004A3115"/>
    <w:rsid w:val="004A318A"/>
    <w:rsid w:val="004A334C"/>
    <w:rsid w:val="004A43BF"/>
    <w:rsid w:val="004A4E68"/>
    <w:rsid w:val="004A4F11"/>
    <w:rsid w:val="004A51E0"/>
    <w:rsid w:val="004A67EC"/>
    <w:rsid w:val="004A763F"/>
    <w:rsid w:val="004B0BE1"/>
    <w:rsid w:val="004B0FD0"/>
    <w:rsid w:val="004B11A0"/>
    <w:rsid w:val="004B15C5"/>
    <w:rsid w:val="004B246E"/>
    <w:rsid w:val="004B288E"/>
    <w:rsid w:val="004B4695"/>
    <w:rsid w:val="004B5CF8"/>
    <w:rsid w:val="004B6624"/>
    <w:rsid w:val="004B68D6"/>
    <w:rsid w:val="004B6DE8"/>
    <w:rsid w:val="004B79AE"/>
    <w:rsid w:val="004C0064"/>
    <w:rsid w:val="004C15FD"/>
    <w:rsid w:val="004C1AA6"/>
    <w:rsid w:val="004C2AE7"/>
    <w:rsid w:val="004C2AFD"/>
    <w:rsid w:val="004C2FB6"/>
    <w:rsid w:val="004C33D1"/>
    <w:rsid w:val="004C4A2E"/>
    <w:rsid w:val="004C4C8F"/>
    <w:rsid w:val="004C4D95"/>
    <w:rsid w:val="004C5AB9"/>
    <w:rsid w:val="004C633E"/>
    <w:rsid w:val="004C6E8D"/>
    <w:rsid w:val="004C7184"/>
    <w:rsid w:val="004C74E7"/>
    <w:rsid w:val="004C7C71"/>
    <w:rsid w:val="004D01D0"/>
    <w:rsid w:val="004D098C"/>
    <w:rsid w:val="004D0D90"/>
    <w:rsid w:val="004D16A4"/>
    <w:rsid w:val="004D2730"/>
    <w:rsid w:val="004D4906"/>
    <w:rsid w:val="004D6264"/>
    <w:rsid w:val="004D647B"/>
    <w:rsid w:val="004D70F4"/>
    <w:rsid w:val="004D7167"/>
    <w:rsid w:val="004E0793"/>
    <w:rsid w:val="004E0E02"/>
    <w:rsid w:val="004E0F80"/>
    <w:rsid w:val="004E104C"/>
    <w:rsid w:val="004E1539"/>
    <w:rsid w:val="004E18C2"/>
    <w:rsid w:val="004E2A41"/>
    <w:rsid w:val="004E3A7F"/>
    <w:rsid w:val="004E3F35"/>
    <w:rsid w:val="004E54D8"/>
    <w:rsid w:val="004E58F9"/>
    <w:rsid w:val="004E70FE"/>
    <w:rsid w:val="004E7462"/>
    <w:rsid w:val="004F0978"/>
    <w:rsid w:val="004F130C"/>
    <w:rsid w:val="004F1AD6"/>
    <w:rsid w:val="004F4DC0"/>
    <w:rsid w:val="004F5A65"/>
    <w:rsid w:val="004F5C19"/>
    <w:rsid w:val="004F6770"/>
    <w:rsid w:val="004F6F4D"/>
    <w:rsid w:val="004F70D9"/>
    <w:rsid w:val="004F7586"/>
    <w:rsid w:val="0050032E"/>
    <w:rsid w:val="005006C4"/>
    <w:rsid w:val="00501020"/>
    <w:rsid w:val="0050111A"/>
    <w:rsid w:val="0050255F"/>
    <w:rsid w:val="0050288F"/>
    <w:rsid w:val="00503C8E"/>
    <w:rsid w:val="0050403F"/>
    <w:rsid w:val="00504767"/>
    <w:rsid w:val="00505E51"/>
    <w:rsid w:val="005068F4"/>
    <w:rsid w:val="00506DA4"/>
    <w:rsid w:val="00507B06"/>
    <w:rsid w:val="00510118"/>
    <w:rsid w:val="00510EF0"/>
    <w:rsid w:val="00511BEE"/>
    <w:rsid w:val="00511DE9"/>
    <w:rsid w:val="0051202A"/>
    <w:rsid w:val="005132EB"/>
    <w:rsid w:val="005134E5"/>
    <w:rsid w:val="00513AD6"/>
    <w:rsid w:val="00513CA1"/>
    <w:rsid w:val="00513EC1"/>
    <w:rsid w:val="00514FDB"/>
    <w:rsid w:val="00515025"/>
    <w:rsid w:val="00515596"/>
    <w:rsid w:val="00515962"/>
    <w:rsid w:val="00516930"/>
    <w:rsid w:val="005178A7"/>
    <w:rsid w:val="00517F84"/>
    <w:rsid w:val="00520E47"/>
    <w:rsid w:val="00520F0D"/>
    <w:rsid w:val="00521900"/>
    <w:rsid w:val="005222B5"/>
    <w:rsid w:val="0052349E"/>
    <w:rsid w:val="00524015"/>
    <w:rsid w:val="00524444"/>
    <w:rsid w:val="00524C32"/>
    <w:rsid w:val="00524C65"/>
    <w:rsid w:val="00524F59"/>
    <w:rsid w:val="005258D2"/>
    <w:rsid w:val="0052632C"/>
    <w:rsid w:val="00526E9E"/>
    <w:rsid w:val="00526F5A"/>
    <w:rsid w:val="005277F1"/>
    <w:rsid w:val="0052799B"/>
    <w:rsid w:val="005301D1"/>
    <w:rsid w:val="00530702"/>
    <w:rsid w:val="005309E3"/>
    <w:rsid w:val="0053221B"/>
    <w:rsid w:val="00532709"/>
    <w:rsid w:val="00532C46"/>
    <w:rsid w:val="00532D31"/>
    <w:rsid w:val="00532F19"/>
    <w:rsid w:val="00537153"/>
    <w:rsid w:val="00541317"/>
    <w:rsid w:val="00542033"/>
    <w:rsid w:val="00542EB8"/>
    <w:rsid w:val="00543165"/>
    <w:rsid w:val="00543620"/>
    <w:rsid w:val="00544065"/>
    <w:rsid w:val="005442C8"/>
    <w:rsid w:val="00545EE0"/>
    <w:rsid w:val="005460C6"/>
    <w:rsid w:val="00547C80"/>
    <w:rsid w:val="00547D27"/>
    <w:rsid w:val="005506F3"/>
    <w:rsid w:val="00551F36"/>
    <w:rsid w:val="005522EA"/>
    <w:rsid w:val="00552A70"/>
    <w:rsid w:val="00552F11"/>
    <w:rsid w:val="00553A8A"/>
    <w:rsid w:val="00553B55"/>
    <w:rsid w:val="00553F54"/>
    <w:rsid w:val="0055606F"/>
    <w:rsid w:val="00556917"/>
    <w:rsid w:val="00556BE1"/>
    <w:rsid w:val="005578EB"/>
    <w:rsid w:val="005612CB"/>
    <w:rsid w:val="00561FBB"/>
    <w:rsid w:val="0056438B"/>
    <w:rsid w:val="00564E45"/>
    <w:rsid w:val="00564FEC"/>
    <w:rsid w:val="005660A3"/>
    <w:rsid w:val="0056633C"/>
    <w:rsid w:val="0056692F"/>
    <w:rsid w:val="00566C65"/>
    <w:rsid w:val="00566EFB"/>
    <w:rsid w:val="00566FAC"/>
    <w:rsid w:val="0057053D"/>
    <w:rsid w:val="00570C66"/>
    <w:rsid w:val="005710D2"/>
    <w:rsid w:val="00571D85"/>
    <w:rsid w:val="005723B7"/>
    <w:rsid w:val="00572ECD"/>
    <w:rsid w:val="00573EFA"/>
    <w:rsid w:val="005754BE"/>
    <w:rsid w:val="005757B9"/>
    <w:rsid w:val="005759BE"/>
    <w:rsid w:val="005769EE"/>
    <w:rsid w:val="005769FE"/>
    <w:rsid w:val="00576FB2"/>
    <w:rsid w:val="00577479"/>
    <w:rsid w:val="00582CEB"/>
    <w:rsid w:val="00583034"/>
    <w:rsid w:val="005839E9"/>
    <w:rsid w:val="00585CAE"/>
    <w:rsid w:val="00587FEA"/>
    <w:rsid w:val="005901E4"/>
    <w:rsid w:val="00590A3B"/>
    <w:rsid w:val="00592797"/>
    <w:rsid w:val="00593101"/>
    <w:rsid w:val="00593617"/>
    <w:rsid w:val="00593926"/>
    <w:rsid w:val="0059399C"/>
    <w:rsid w:val="00593CC1"/>
    <w:rsid w:val="00594D1A"/>
    <w:rsid w:val="00594E72"/>
    <w:rsid w:val="0059528C"/>
    <w:rsid w:val="00595733"/>
    <w:rsid w:val="005957E1"/>
    <w:rsid w:val="00595B4D"/>
    <w:rsid w:val="005A1AA9"/>
    <w:rsid w:val="005A22A8"/>
    <w:rsid w:val="005A2C90"/>
    <w:rsid w:val="005A3E36"/>
    <w:rsid w:val="005A6325"/>
    <w:rsid w:val="005A6723"/>
    <w:rsid w:val="005A68CF"/>
    <w:rsid w:val="005A6AC2"/>
    <w:rsid w:val="005A7802"/>
    <w:rsid w:val="005B170A"/>
    <w:rsid w:val="005B268C"/>
    <w:rsid w:val="005B504B"/>
    <w:rsid w:val="005B5EA5"/>
    <w:rsid w:val="005B7255"/>
    <w:rsid w:val="005C0A4F"/>
    <w:rsid w:val="005C2394"/>
    <w:rsid w:val="005C35B3"/>
    <w:rsid w:val="005C3893"/>
    <w:rsid w:val="005C3E4E"/>
    <w:rsid w:val="005C42B0"/>
    <w:rsid w:val="005C4B19"/>
    <w:rsid w:val="005C525D"/>
    <w:rsid w:val="005C61D3"/>
    <w:rsid w:val="005C7301"/>
    <w:rsid w:val="005C796F"/>
    <w:rsid w:val="005D0F84"/>
    <w:rsid w:val="005D2D5E"/>
    <w:rsid w:val="005D30F3"/>
    <w:rsid w:val="005D3471"/>
    <w:rsid w:val="005D3B6D"/>
    <w:rsid w:val="005D3D73"/>
    <w:rsid w:val="005D4257"/>
    <w:rsid w:val="005D4B1E"/>
    <w:rsid w:val="005D6D3C"/>
    <w:rsid w:val="005D7584"/>
    <w:rsid w:val="005D7685"/>
    <w:rsid w:val="005E0B7B"/>
    <w:rsid w:val="005E0DBB"/>
    <w:rsid w:val="005E136F"/>
    <w:rsid w:val="005E4BAC"/>
    <w:rsid w:val="005E5976"/>
    <w:rsid w:val="005E5A47"/>
    <w:rsid w:val="005E60E8"/>
    <w:rsid w:val="005E7813"/>
    <w:rsid w:val="005F138F"/>
    <w:rsid w:val="005F146E"/>
    <w:rsid w:val="005F2567"/>
    <w:rsid w:val="005F3101"/>
    <w:rsid w:val="005F51C5"/>
    <w:rsid w:val="005F55B5"/>
    <w:rsid w:val="005F6CEC"/>
    <w:rsid w:val="005F7790"/>
    <w:rsid w:val="005F7E60"/>
    <w:rsid w:val="00600271"/>
    <w:rsid w:val="00600AB9"/>
    <w:rsid w:val="00601519"/>
    <w:rsid w:val="00601BDA"/>
    <w:rsid w:val="00601D0D"/>
    <w:rsid w:val="0060229F"/>
    <w:rsid w:val="00603150"/>
    <w:rsid w:val="006032FA"/>
    <w:rsid w:val="00603A10"/>
    <w:rsid w:val="00603C78"/>
    <w:rsid w:val="00604C87"/>
    <w:rsid w:val="0060535F"/>
    <w:rsid w:val="00606F09"/>
    <w:rsid w:val="00607103"/>
    <w:rsid w:val="00607AAB"/>
    <w:rsid w:val="00611DBD"/>
    <w:rsid w:val="00612957"/>
    <w:rsid w:val="00612FCF"/>
    <w:rsid w:val="00613764"/>
    <w:rsid w:val="00614D64"/>
    <w:rsid w:val="00615483"/>
    <w:rsid w:val="006155E2"/>
    <w:rsid w:val="00615769"/>
    <w:rsid w:val="006158F8"/>
    <w:rsid w:val="00616239"/>
    <w:rsid w:val="00616491"/>
    <w:rsid w:val="00616C52"/>
    <w:rsid w:val="00616CDE"/>
    <w:rsid w:val="0061744F"/>
    <w:rsid w:val="006178C0"/>
    <w:rsid w:val="0062019A"/>
    <w:rsid w:val="00620797"/>
    <w:rsid w:val="00621AC4"/>
    <w:rsid w:val="00622DA9"/>
    <w:rsid w:val="00624BDE"/>
    <w:rsid w:val="006250CD"/>
    <w:rsid w:val="00625F6B"/>
    <w:rsid w:val="00626C87"/>
    <w:rsid w:val="00627025"/>
    <w:rsid w:val="006274A7"/>
    <w:rsid w:val="006313E8"/>
    <w:rsid w:val="00634198"/>
    <w:rsid w:val="0063435E"/>
    <w:rsid w:val="006346D4"/>
    <w:rsid w:val="006360D4"/>
    <w:rsid w:val="006372A3"/>
    <w:rsid w:val="006373A0"/>
    <w:rsid w:val="0063794F"/>
    <w:rsid w:val="00640369"/>
    <w:rsid w:val="0064215A"/>
    <w:rsid w:val="00643D09"/>
    <w:rsid w:val="0064449B"/>
    <w:rsid w:val="006451A7"/>
    <w:rsid w:val="006458AB"/>
    <w:rsid w:val="00646769"/>
    <w:rsid w:val="00646ABC"/>
    <w:rsid w:val="00647197"/>
    <w:rsid w:val="0064777E"/>
    <w:rsid w:val="006477F7"/>
    <w:rsid w:val="00647B46"/>
    <w:rsid w:val="00652102"/>
    <w:rsid w:val="00652BF4"/>
    <w:rsid w:val="00653669"/>
    <w:rsid w:val="00654D4A"/>
    <w:rsid w:val="006558A1"/>
    <w:rsid w:val="00655AAC"/>
    <w:rsid w:val="0065798C"/>
    <w:rsid w:val="00657F20"/>
    <w:rsid w:val="00657F44"/>
    <w:rsid w:val="00660008"/>
    <w:rsid w:val="006600D7"/>
    <w:rsid w:val="00661D20"/>
    <w:rsid w:val="00661DA4"/>
    <w:rsid w:val="006624D3"/>
    <w:rsid w:val="00662E8F"/>
    <w:rsid w:val="006640C5"/>
    <w:rsid w:val="0066485B"/>
    <w:rsid w:val="006648E3"/>
    <w:rsid w:val="006654F2"/>
    <w:rsid w:val="00666F1C"/>
    <w:rsid w:val="00667488"/>
    <w:rsid w:val="0066775E"/>
    <w:rsid w:val="00667923"/>
    <w:rsid w:val="00670724"/>
    <w:rsid w:val="00670ACC"/>
    <w:rsid w:val="00670AD0"/>
    <w:rsid w:val="00670DA9"/>
    <w:rsid w:val="0067136E"/>
    <w:rsid w:val="00671D66"/>
    <w:rsid w:val="00673685"/>
    <w:rsid w:val="00673ACC"/>
    <w:rsid w:val="00673C5C"/>
    <w:rsid w:val="00673C9D"/>
    <w:rsid w:val="00675324"/>
    <w:rsid w:val="00675453"/>
    <w:rsid w:val="00675544"/>
    <w:rsid w:val="00675932"/>
    <w:rsid w:val="00677142"/>
    <w:rsid w:val="0067735F"/>
    <w:rsid w:val="0068004E"/>
    <w:rsid w:val="00680170"/>
    <w:rsid w:val="00680D5C"/>
    <w:rsid w:val="00681A75"/>
    <w:rsid w:val="0068277C"/>
    <w:rsid w:val="006844F4"/>
    <w:rsid w:val="00684AA0"/>
    <w:rsid w:val="00685E1B"/>
    <w:rsid w:val="0068707A"/>
    <w:rsid w:val="0068747C"/>
    <w:rsid w:val="006909AD"/>
    <w:rsid w:val="0069186A"/>
    <w:rsid w:val="006922C4"/>
    <w:rsid w:val="006922E5"/>
    <w:rsid w:val="00692752"/>
    <w:rsid w:val="00693BF3"/>
    <w:rsid w:val="0069402C"/>
    <w:rsid w:val="00694354"/>
    <w:rsid w:val="006954F5"/>
    <w:rsid w:val="00695889"/>
    <w:rsid w:val="006979D6"/>
    <w:rsid w:val="006A0941"/>
    <w:rsid w:val="006A0F97"/>
    <w:rsid w:val="006A116B"/>
    <w:rsid w:val="006A1245"/>
    <w:rsid w:val="006A21D2"/>
    <w:rsid w:val="006A2CE4"/>
    <w:rsid w:val="006A2D50"/>
    <w:rsid w:val="006A39F7"/>
    <w:rsid w:val="006A47BA"/>
    <w:rsid w:val="006A62FF"/>
    <w:rsid w:val="006A72F6"/>
    <w:rsid w:val="006A73E7"/>
    <w:rsid w:val="006A7DB6"/>
    <w:rsid w:val="006B0437"/>
    <w:rsid w:val="006B26D9"/>
    <w:rsid w:val="006B4720"/>
    <w:rsid w:val="006B58B3"/>
    <w:rsid w:val="006B7738"/>
    <w:rsid w:val="006C02A2"/>
    <w:rsid w:val="006C07F6"/>
    <w:rsid w:val="006C0AB3"/>
    <w:rsid w:val="006C0D8F"/>
    <w:rsid w:val="006C0FC5"/>
    <w:rsid w:val="006C1BEE"/>
    <w:rsid w:val="006C239D"/>
    <w:rsid w:val="006C3192"/>
    <w:rsid w:val="006C38F0"/>
    <w:rsid w:val="006C6577"/>
    <w:rsid w:val="006C65C6"/>
    <w:rsid w:val="006C65FD"/>
    <w:rsid w:val="006C6A91"/>
    <w:rsid w:val="006C6BA0"/>
    <w:rsid w:val="006C7EC1"/>
    <w:rsid w:val="006D03A7"/>
    <w:rsid w:val="006D187F"/>
    <w:rsid w:val="006D2B50"/>
    <w:rsid w:val="006D39DF"/>
    <w:rsid w:val="006D52D1"/>
    <w:rsid w:val="006D5A7D"/>
    <w:rsid w:val="006D5AC6"/>
    <w:rsid w:val="006D5FE7"/>
    <w:rsid w:val="006D77AC"/>
    <w:rsid w:val="006D7C67"/>
    <w:rsid w:val="006E04AA"/>
    <w:rsid w:val="006E3563"/>
    <w:rsid w:val="006E3B7D"/>
    <w:rsid w:val="006E4099"/>
    <w:rsid w:val="006E461B"/>
    <w:rsid w:val="006E6C73"/>
    <w:rsid w:val="006E6E65"/>
    <w:rsid w:val="006E724C"/>
    <w:rsid w:val="006F276A"/>
    <w:rsid w:val="006F3463"/>
    <w:rsid w:val="006F3A87"/>
    <w:rsid w:val="006F3F7A"/>
    <w:rsid w:val="006F4525"/>
    <w:rsid w:val="006F4AED"/>
    <w:rsid w:val="006F5F3B"/>
    <w:rsid w:val="006F5FB5"/>
    <w:rsid w:val="006F65E1"/>
    <w:rsid w:val="006F6C66"/>
    <w:rsid w:val="006F747B"/>
    <w:rsid w:val="00700306"/>
    <w:rsid w:val="00703D8B"/>
    <w:rsid w:val="00705541"/>
    <w:rsid w:val="00705E16"/>
    <w:rsid w:val="00705FB9"/>
    <w:rsid w:val="00707871"/>
    <w:rsid w:val="0071052F"/>
    <w:rsid w:val="0071067E"/>
    <w:rsid w:val="00710839"/>
    <w:rsid w:val="007110BC"/>
    <w:rsid w:val="00711106"/>
    <w:rsid w:val="0071118D"/>
    <w:rsid w:val="00711709"/>
    <w:rsid w:val="00712B0F"/>
    <w:rsid w:val="007131F2"/>
    <w:rsid w:val="00714E0A"/>
    <w:rsid w:val="00715CEF"/>
    <w:rsid w:val="00720BD9"/>
    <w:rsid w:val="0072191B"/>
    <w:rsid w:val="0072256C"/>
    <w:rsid w:val="00722744"/>
    <w:rsid w:val="00723882"/>
    <w:rsid w:val="00723EDB"/>
    <w:rsid w:val="00724D28"/>
    <w:rsid w:val="00725502"/>
    <w:rsid w:val="00725FF8"/>
    <w:rsid w:val="00727035"/>
    <w:rsid w:val="007275B4"/>
    <w:rsid w:val="00730905"/>
    <w:rsid w:val="007314ED"/>
    <w:rsid w:val="0073215D"/>
    <w:rsid w:val="00732949"/>
    <w:rsid w:val="00733E5F"/>
    <w:rsid w:val="0073536F"/>
    <w:rsid w:val="00735A7C"/>
    <w:rsid w:val="00735E7F"/>
    <w:rsid w:val="00737977"/>
    <w:rsid w:val="00737C52"/>
    <w:rsid w:val="00740630"/>
    <w:rsid w:val="00741473"/>
    <w:rsid w:val="00742A34"/>
    <w:rsid w:val="00742A71"/>
    <w:rsid w:val="0074351C"/>
    <w:rsid w:val="00743AFD"/>
    <w:rsid w:val="007445E8"/>
    <w:rsid w:val="00744FC2"/>
    <w:rsid w:val="00745550"/>
    <w:rsid w:val="007456A9"/>
    <w:rsid w:val="00746C68"/>
    <w:rsid w:val="00747669"/>
    <w:rsid w:val="00751C83"/>
    <w:rsid w:val="00751E04"/>
    <w:rsid w:val="00752211"/>
    <w:rsid w:val="007528EB"/>
    <w:rsid w:val="0075293C"/>
    <w:rsid w:val="00752AE0"/>
    <w:rsid w:val="00752B3F"/>
    <w:rsid w:val="00753853"/>
    <w:rsid w:val="007560D0"/>
    <w:rsid w:val="00757F28"/>
    <w:rsid w:val="00761511"/>
    <w:rsid w:val="00761B57"/>
    <w:rsid w:val="00761E29"/>
    <w:rsid w:val="007624C4"/>
    <w:rsid w:val="007638B6"/>
    <w:rsid w:val="0076431F"/>
    <w:rsid w:val="00764B5D"/>
    <w:rsid w:val="00765287"/>
    <w:rsid w:val="007658F4"/>
    <w:rsid w:val="00766533"/>
    <w:rsid w:val="00766D9A"/>
    <w:rsid w:val="00766FDE"/>
    <w:rsid w:val="00767055"/>
    <w:rsid w:val="00771519"/>
    <w:rsid w:val="00772633"/>
    <w:rsid w:val="00773991"/>
    <w:rsid w:val="00774DB8"/>
    <w:rsid w:val="00775692"/>
    <w:rsid w:val="00775BBC"/>
    <w:rsid w:val="00776AD3"/>
    <w:rsid w:val="007770D1"/>
    <w:rsid w:val="00777706"/>
    <w:rsid w:val="00777AF0"/>
    <w:rsid w:val="00777C0D"/>
    <w:rsid w:val="007803D4"/>
    <w:rsid w:val="00780AE4"/>
    <w:rsid w:val="00781051"/>
    <w:rsid w:val="007812AE"/>
    <w:rsid w:val="0078438A"/>
    <w:rsid w:val="007845EE"/>
    <w:rsid w:val="0078483C"/>
    <w:rsid w:val="00785AF2"/>
    <w:rsid w:val="0078774D"/>
    <w:rsid w:val="00787C33"/>
    <w:rsid w:val="00787EEC"/>
    <w:rsid w:val="007915D8"/>
    <w:rsid w:val="0079160B"/>
    <w:rsid w:val="007918D7"/>
    <w:rsid w:val="00792950"/>
    <w:rsid w:val="00792DDB"/>
    <w:rsid w:val="007936EA"/>
    <w:rsid w:val="007943DD"/>
    <w:rsid w:val="00795EC9"/>
    <w:rsid w:val="0079772D"/>
    <w:rsid w:val="00797FF8"/>
    <w:rsid w:val="007A134C"/>
    <w:rsid w:val="007A1517"/>
    <w:rsid w:val="007A1B1D"/>
    <w:rsid w:val="007A1DF4"/>
    <w:rsid w:val="007A22F6"/>
    <w:rsid w:val="007A29E9"/>
    <w:rsid w:val="007A411B"/>
    <w:rsid w:val="007A5B87"/>
    <w:rsid w:val="007A6156"/>
    <w:rsid w:val="007A68EC"/>
    <w:rsid w:val="007A78FA"/>
    <w:rsid w:val="007B07DC"/>
    <w:rsid w:val="007B1E5A"/>
    <w:rsid w:val="007B1F11"/>
    <w:rsid w:val="007B1F17"/>
    <w:rsid w:val="007B2F0F"/>
    <w:rsid w:val="007B35D6"/>
    <w:rsid w:val="007B3AAA"/>
    <w:rsid w:val="007B572D"/>
    <w:rsid w:val="007B5CC1"/>
    <w:rsid w:val="007B6301"/>
    <w:rsid w:val="007B6727"/>
    <w:rsid w:val="007B7DE0"/>
    <w:rsid w:val="007C0760"/>
    <w:rsid w:val="007C1245"/>
    <w:rsid w:val="007C1492"/>
    <w:rsid w:val="007C1D00"/>
    <w:rsid w:val="007C22D2"/>
    <w:rsid w:val="007C25D6"/>
    <w:rsid w:val="007C39F9"/>
    <w:rsid w:val="007C3D9F"/>
    <w:rsid w:val="007C5636"/>
    <w:rsid w:val="007C5D10"/>
    <w:rsid w:val="007C6838"/>
    <w:rsid w:val="007C6EA3"/>
    <w:rsid w:val="007C74D8"/>
    <w:rsid w:val="007D0822"/>
    <w:rsid w:val="007D17F1"/>
    <w:rsid w:val="007D256E"/>
    <w:rsid w:val="007D3384"/>
    <w:rsid w:val="007D4BC5"/>
    <w:rsid w:val="007D5860"/>
    <w:rsid w:val="007D6A2B"/>
    <w:rsid w:val="007D73AC"/>
    <w:rsid w:val="007D772F"/>
    <w:rsid w:val="007E1D4A"/>
    <w:rsid w:val="007E2874"/>
    <w:rsid w:val="007E33FD"/>
    <w:rsid w:val="007E4572"/>
    <w:rsid w:val="007E497E"/>
    <w:rsid w:val="007E5168"/>
    <w:rsid w:val="007E63E4"/>
    <w:rsid w:val="007E6690"/>
    <w:rsid w:val="007E6A7B"/>
    <w:rsid w:val="007E6CA4"/>
    <w:rsid w:val="007F016C"/>
    <w:rsid w:val="007F08BA"/>
    <w:rsid w:val="007F131C"/>
    <w:rsid w:val="007F26B1"/>
    <w:rsid w:val="007F28CD"/>
    <w:rsid w:val="007F2B7A"/>
    <w:rsid w:val="007F4585"/>
    <w:rsid w:val="007F7222"/>
    <w:rsid w:val="007F7EBD"/>
    <w:rsid w:val="0080002C"/>
    <w:rsid w:val="00800131"/>
    <w:rsid w:val="008008A7"/>
    <w:rsid w:val="00803BE3"/>
    <w:rsid w:val="00803C0F"/>
    <w:rsid w:val="0080430B"/>
    <w:rsid w:val="00804329"/>
    <w:rsid w:val="00805E8E"/>
    <w:rsid w:val="0080634F"/>
    <w:rsid w:val="00806740"/>
    <w:rsid w:val="00807219"/>
    <w:rsid w:val="008101D6"/>
    <w:rsid w:val="00810866"/>
    <w:rsid w:val="008112CC"/>
    <w:rsid w:val="0081352F"/>
    <w:rsid w:val="0081385B"/>
    <w:rsid w:val="00814145"/>
    <w:rsid w:val="0081471E"/>
    <w:rsid w:val="00815032"/>
    <w:rsid w:val="0081512C"/>
    <w:rsid w:val="00815185"/>
    <w:rsid w:val="0081553F"/>
    <w:rsid w:val="00816567"/>
    <w:rsid w:val="008167E0"/>
    <w:rsid w:val="00816B81"/>
    <w:rsid w:val="00816FD4"/>
    <w:rsid w:val="0081749B"/>
    <w:rsid w:val="008220D0"/>
    <w:rsid w:val="008221D4"/>
    <w:rsid w:val="00822E91"/>
    <w:rsid w:val="00823671"/>
    <w:rsid w:val="00823790"/>
    <w:rsid w:val="00823A99"/>
    <w:rsid w:val="00823E9C"/>
    <w:rsid w:val="008241DB"/>
    <w:rsid w:val="00825769"/>
    <w:rsid w:val="00826715"/>
    <w:rsid w:val="0083010D"/>
    <w:rsid w:val="00830A28"/>
    <w:rsid w:val="0083172F"/>
    <w:rsid w:val="00831BC1"/>
    <w:rsid w:val="00832870"/>
    <w:rsid w:val="00833029"/>
    <w:rsid w:val="008338E0"/>
    <w:rsid w:val="00833D03"/>
    <w:rsid w:val="00836894"/>
    <w:rsid w:val="008368AE"/>
    <w:rsid w:val="008371DE"/>
    <w:rsid w:val="00837770"/>
    <w:rsid w:val="00837DCA"/>
    <w:rsid w:val="00837EC2"/>
    <w:rsid w:val="00842A2B"/>
    <w:rsid w:val="00842AA9"/>
    <w:rsid w:val="00843CF4"/>
    <w:rsid w:val="00847711"/>
    <w:rsid w:val="0084772C"/>
    <w:rsid w:val="0085060A"/>
    <w:rsid w:val="0085083E"/>
    <w:rsid w:val="008509B3"/>
    <w:rsid w:val="008523E7"/>
    <w:rsid w:val="00853869"/>
    <w:rsid w:val="0085399D"/>
    <w:rsid w:val="00853D03"/>
    <w:rsid w:val="008542E2"/>
    <w:rsid w:val="00855CDC"/>
    <w:rsid w:val="00855FFE"/>
    <w:rsid w:val="008573F0"/>
    <w:rsid w:val="008575D1"/>
    <w:rsid w:val="0086016E"/>
    <w:rsid w:val="008602B1"/>
    <w:rsid w:val="008603C5"/>
    <w:rsid w:val="00860453"/>
    <w:rsid w:val="00860A91"/>
    <w:rsid w:val="00860E99"/>
    <w:rsid w:val="00860FC9"/>
    <w:rsid w:val="00862082"/>
    <w:rsid w:val="00862956"/>
    <w:rsid w:val="0086332E"/>
    <w:rsid w:val="00865467"/>
    <w:rsid w:val="00865E5B"/>
    <w:rsid w:val="00866A47"/>
    <w:rsid w:val="0086798B"/>
    <w:rsid w:val="00870905"/>
    <w:rsid w:val="008719FE"/>
    <w:rsid w:val="008721BC"/>
    <w:rsid w:val="0087299D"/>
    <w:rsid w:val="00872A79"/>
    <w:rsid w:val="00872CA1"/>
    <w:rsid w:val="00872E9F"/>
    <w:rsid w:val="008731E7"/>
    <w:rsid w:val="00874270"/>
    <w:rsid w:val="00874CEA"/>
    <w:rsid w:val="00875A52"/>
    <w:rsid w:val="008767C6"/>
    <w:rsid w:val="008768EE"/>
    <w:rsid w:val="00876BC7"/>
    <w:rsid w:val="008800A6"/>
    <w:rsid w:val="00880405"/>
    <w:rsid w:val="0088050E"/>
    <w:rsid w:val="0088062C"/>
    <w:rsid w:val="0088104E"/>
    <w:rsid w:val="008810B4"/>
    <w:rsid w:val="00881562"/>
    <w:rsid w:val="00881853"/>
    <w:rsid w:val="00882DC4"/>
    <w:rsid w:val="00883430"/>
    <w:rsid w:val="00883ADC"/>
    <w:rsid w:val="0088530F"/>
    <w:rsid w:val="0088575B"/>
    <w:rsid w:val="00885D99"/>
    <w:rsid w:val="008868AF"/>
    <w:rsid w:val="00886900"/>
    <w:rsid w:val="00886AA1"/>
    <w:rsid w:val="00886C65"/>
    <w:rsid w:val="00886F5D"/>
    <w:rsid w:val="0088746D"/>
    <w:rsid w:val="008874CF"/>
    <w:rsid w:val="00887899"/>
    <w:rsid w:val="0089104B"/>
    <w:rsid w:val="00891B36"/>
    <w:rsid w:val="00891ED5"/>
    <w:rsid w:val="00891F76"/>
    <w:rsid w:val="00893DA0"/>
    <w:rsid w:val="00895770"/>
    <w:rsid w:val="0089591B"/>
    <w:rsid w:val="00895C52"/>
    <w:rsid w:val="008969BD"/>
    <w:rsid w:val="0089739A"/>
    <w:rsid w:val="008A1E5D"/>
    <w:rsid w:val="008A2DF8"/>
    <w:rsid w:val="008A3319"/>
    <w:rsid w:val="008A41C4"/>
    <w:rsid w:val="008A4354"/>
    <w:rsid w:val="008A43AD"/>
    <w:rsid w:val="008A4A00"/>
    <w:rsid w:val="008A4DD8"/>
    <w:rsid w:val="008A5199"/>
    <w:rsid w:val="008A52E6"/>
    <w:rsid w:val="008A55CD"/>
    <w:rsid w:val="008A684C"/>
    <w:rsid w:val="008A7CA0"/>
    <w:rsid w:val="008B0272"/>
    <w:rsid w:val="008B029C"/>
    <w:rsid w:val="008B0E8B"/>
    <w:rsid w:val="008B1C99"/>
    <w:rsid w:val="008B281D"/>
    <w:rsid w:val="008B42F1"/>
    <w:rsid w:val="008B6961"/>
    <w:rsid w:val="008B70DE"/>
    <w:rsid w:val="008B7B8B"/>
    <w:rsid w:val="008C0668"/>
    <w:rsid w:val="008C06C5"/>
    <w:rsid w:val="008C07C1"/>
    <w:rsid w:val="008C0B26"/>
    <w:rsid w:val="008C11AE"/>
    <w:rsid w:val="008C2C48"/>
    <w:rsid w:val="008C351D"/>
    <w:rsid w:val="008C3625"/>
    <w:rsid w:val="008C3B0C"/>
    <w:rsid w:val="008C458E"/>
    <w:rsid w:val="008C4F28"/>
    <w:rsid w:val="008D0029"/>
    <w:rsid w:val="008D0620"/>
    <w:rsid w:val="008D1205"/>
    <w:rsid w:val="008D1EED"/>
    <w:rsid w:val="008D234B"/>
    <w:rsid w:val="008D24CF"/>
    <w:rsid w:val="008D27FD"/>
    <w:rsid w:val="008D3076"/>
    <w:rsid w:val="008D54C4"/>
    <w:rsid w:val="008D5FBD"/>
    <w:rsid w:val="008D657A"/>
    <w:rsid w:val="008D70CD"/>
    <w:rsid w:val="008D78A0"/>
    <w:rsid w:val="008D790F"/>
    <w:rsid w:val="008E017F"/>
    <w:rsid w:val="008E032D"/>
    <w:rsid w:val="008E0AF8"/>
    <w:rsid w:val="008E1084"/>
    <w:rsid w:val="008E1654"/>
    <w:rsid w:val="008E179D"/>
    <w:rsid w:val="008E1F87"/>
    <w:rsid w:val="008E32BD"/>
    <w:rsid w:val="008E4945"/>
    <w:rsid w:val="008E5785"/>
    <w:rsid w:val="008E6454"/>
    <w:rsid w:val="008F14CC"/>
    <w:rsid w:val="008F1760"/>
    <w:rsid w:val="008F3152"/>
    <w:rsid w:val="008F4C66"/>
    <w:rsid w:val="008F51FC"/>
    <w:rsid w:val="008F6647"/>
    <w:rsid w:val="008F6EA3"/>
    <w:rsid w:val="008F7E04"/>
    <w:rsid w:val="008F7F03"/>
    <w:rsid w:val="009010A7"/>
    <w:rsid w:val="00902E9E"/>
    <w:rsid w:val="00903CD6"/>
    <w:rsid w:val="00904411"/>
    <w:rsid w:val="0090479C"/>
    <w:rsid w:val="00905A82"/>
    <w:rsid w:val="00905E9B"/>
    <w:rsid w:val="009063DB"/>
    <w:rsid w:val="009068DD"/>
    <w:rsid w:val="00907B55"/>
    <w:rsid w:val="0091012D"/>
    <w:rsid w:val="00910766"/>
    <w:rsid w:val="00910AA7"/>
    <w:rsid w:val="00910B9A"/>
    <w:rsid w:val="00911D68"/>
    <w:rsid w:val="009120B6"/>
    <w:rsid w:val="009123A1"/>
    <w:rsid w:val="00913128"/>
    <w:rsid w:val="009135CA"/>
    <w:rsid w:val="00913FC0"/>
    <w:rsid w:val="00913FC9"/>
    <w:rsid w:val="009147B6"/>
    <w:rsid w:val="0091485C"/>
    <w:rsid w:val="00915436"/>
    <w:rsid w:val="00916427"/>
    <w:rsid w:val="0091678E"/>
    <w:rsid w:val="00916C9B"/>
    <w:rsid w:val="00917BE6"/>
    <w:rsid w:val="00921F0B"/>
    <w:rsid w:val="009224E9"/>
    <w:rsid w:val="00922C0B"/>
    <w:rsid w:val="00922D76"/>
    <w:rsid w:val="00923C81"/>
    <w:rsid w:val="00924E98"/>
    <w:rsid w:val="0092677C"/>
    <w:rsid w:val="0093032C"/>
    <w:rsid w:val="00930AF8"/>
    <w:rsid w:val="009329D7"/>
    <w:rsid w:val="00933A98"/>
    <w:rsid w:val="00934987"/>
    <w:rsid w:val="009355F7"/>
    <w:rsid w:val="00935AA6"/>
    <w:rsid w:val="00936C45"/>
    <w:rsid w:val="00937193"/>
    <w:rsid w:val="0093722B"/>
    <w:rsid w:val="00940BF5"/>
    <w:rsid w:val="00940DA8"/>
    <w:rsid w:val="00941015"/>
    <w:rsid w:val="00942397"/>
    <w:rsid w:val="00942C8D"/>
    <w:rsid w:val="0094538B"/>
    <w:rsid w:val="009457BF"/>
    <w:rsid w:val="0094607E"/>
    <w:rsid w:val="00946B44"/>
    <w:rsid w:val="00946BA7"/>
    <w:rsid w:val="00950704"/>
    <w:rsid w:val="009517B4"/>
    <w:rsid w:val="009533E6"/>
    <w:rsid w:val="00953789"/>
    <w:rsid w:val="0095528F"/>
    <w:rsid w:val="00955721"/>
    <w:rsid w:val="00955A6D"/>
    <w:rsid w:val="0095691F"/>
    <w:rsid w:val="00956A3F"/>
    <w:rsid w:val="00956B76"/>
    <w:rsid w:val="009577EC"/>
    <w:rsid w:val="00957B29"/>
    <w:rsid w:val="00957FF8"/>
    <w:rsid w:val="00960013"/>
    <w:rsid w:val="00962A9C"/>
    <w:rsid w:val="00962AA6"/>
    <w:rsid w:val="00963454"/>
    <w:rsid w:val="00966434"/>
    <w:rsid w:val="00966FF8"/>
    <w:rsid w:val="0097077E"/>
    <w:rsid w:val="00970919"/>
    <w:rsid w:val="00971EB0"/>
    <w:rsid w:val="009722A0"/>
    <w:rsid w:val="0097269B"/>
    <w:rsid w:val="00973231"/>
    <w:rsid w:val="009754CE"/>
    <w:rsid w:val="00980655"/>
    <w:rsid w:val="00980D39"/>
    <w:rsid w:val="0098116D"/>
    <w:rsid w:val="00981BA5"/>
    <w:rsid w:val="00981D7B"/>
    <w:rsid w:val="00983B4A"/>
    <w:rsid w:val="00983DF6"/>
    <w:rsid w:val="0098404F"/>
    <w:rsid w:val="00984496"/>
    <w:rsid w:val="00985D40"/>
    <w:rsid w:val="00986054"/>
    <w:rsid w:val="00986535"/>
    <w:rsid w:val="0099448A"/>
    <w:rsid w:val="00994DF3"/>
    <w:rsid w:val="00997C9A"/>
    <w:rsid w:val="009A0290"/>
    <w:rsid w:val="009A21E0"/>
    <w:rsid w:val="009A2D20"/>
    <w:rsid w:val="009A3E4A"/>
    <w:rsid w:val="009A5764"/>
    <w:rsid w:val="009A5D27"/>
    <w:rsid w:val="009A669B"/>
    <w:rsid w:val="009B0886"/>
    <w:rsid w:val="009B08BC"/>
    <w:rsid w:val="009B1F8B"/>
    <w:rsid w:val="009B2016"/>
    <w:rsid w:val="009B33F4"/>
    <w:rsid w:val="009B3622"/>
    <w:rsid w:val="009B41D5"/>
    <w:rsid w:val="009B4F32"/>
    <w:rsid w:val="009B53A2"/>
    <w:rsid w:val="009B542B"/>
    <w:rsid w:val="009B5828"/>
    <w:rsid w:val="009B5C28"/>
    <w:rsid w:val="009B6CE8"/>
    <w:rsid w:val="009B6DF6"/>
    <w:rsid w:val="009B6F78"/>
    <w:rsid w:val="009B777B"/>
    <w:rsid w:val="009B7968"/>
    <w:rsid w:val="009B7FF4"/>
    <w:rsid w:val="009C0E10"/>
    <w:rsid w:val="009C1A47"/>
    <w:rsid w:val="009C298C"/>
    <w:rsid w:val="009C3B05"/>
    <w:rsid w:val="009C3F1B"/>
    <w:rsid w:val="009C4642"/>
    <w:rsid w:val="009C66B8"/>
    <w:rsid w:val="009C7AA9"/>
    <w:rsid w:val="009D03B9"/>
    <w:rsid w:val="009D0EDE"/>
    <w:rsid w:val="009D1689"/>
    <w:rsid w:val="009D17FE"/>
    <w:rsid w:val="009D1D60"/>
    <w:rsid w:val="009D1F63"/>
    <w:rsid w:val="009D2861"/>
    <w:rsid w:val="009D32B7"/>
    <w:rsid w:val="009D4AA7"/>
    <w:rsid w:val="009D5120"/>
    <w:rsid w:val="009D5897"/>
    <w:rsid w:val="009D5C22"/>
    <w:rsid w:val="009D5C5E"/>
    <w:rsid w:val="009D66A0"/>
    <w:rsid w:val="009D6949"/>
    <w:rsid w:val="009D6EB6"/>
    <w:rsid w:val="009D7084"/>
    <w:rsid w:val="009E00E8"/>
    <w:rsid w:val="009E0255"/>
    <w:rsid w:val="009E117E"/>
    <w:rsid w:val="009E45AF"/>
    <w:rsid w:val="009E4D88"/>
    <w:rsid w:val="009E5837"/>
    <w:rsid w:val="009E756D"/>
    <w:rsid w:val="009E7BF9"/>
    <w:rsid w:val="009E7F7A"/>
    <w:rsid w:val="009F092D"/>
    <w:rsid w:val="009F19E7"/>
    <w:rsid w:val="009F282D"/>
    <w:rsid w:val="009F2C38"/>
    <w:rsid w:val="009F321D"/>
    <w:rsid w:val="009F333B"/>
    <w:rsid w:val="009F39F6"/>
    <w:rsid w:val="009F3C91"/>
    <w:rsid w:val="009F52FF"/>
    <w:rsid w:val="009F5624"/>
    <w:rsid w:val="009F595F"/>
    <w:rsid w:val="009F5BCA"/>
    <w:rsid w:val="009F631B"/>
    <w:rsid w:val="009F638E"/>
    <w:rsid w:val="009F698B"/>
    <w:rsid w:val="009F6D12"/>
    <w:rsid w:val="009F6FEE"/>
    <w:rsid w:val="009F72E3"/>
    <w:rsid w:val="009F7A98"/>
    <w:rsid w:val="009F7C51"/>
    <w:rsid w:val="00A00A8F"/>
    <w:rsid w:val="00A014F5"/>
    <w:rsid w:val="00A02066"/>
    <w:rsid w:val="00A02BB9"/>
    <w:rsid w:val="00A034E1"/>
    <w:rsid w:val="00A05242"/>
    <w:rsid w:val="00A055BF"/>
    <w:rsid w:val="00A07B36"/>
    <w:rsid w:val="00A07F6B"/>
    <w:rsid w:val="00A102B0"/>
    <w:rsid w:val="00A10317"/>
    <w:rsid w:val="00A103CF"/>
    <w:rsid w:val="00A1071C"/>
    <w:rsid w:val="00A11337"/>
    <w:rsid w:val="00A11745"/>
    <w:rsid w:val="00A118C7"/>
    <w:rsid w:val="00A11F3F"/>
    <w:rsid w:val="00A1324B"/>
    <w:rsid w:val="00A14144"/>
    <w:rsid w:val="00A15234"/>
    <w:rsid w:val="00A15C7A"/>
    <w:rsid w:val="00A2094C"/>
    <w:rsid w:val="00A21310"/>
    <w:rsid w:val="00A21F27"/>
    <w:rsid w:val="00A22039"/>
    <w:rsid w:val="00A2210E"/>
    <w:rsid w:val="00A22174"/>
    <w:rsid w:val="00A23247"/>
    <w:rsid w:val="00A24C1E"/>
    <w:rsid w:val="00A263A4"/>
    <w:rsid w:val="00A27679"/>
    <w:rsid w:val="00A27EBA"/>
    <w:rsid w:val="00A30621"/>
    <w:rsid w:val="00A3188E"/>
    <w:rsid w:val="00A31D9D"/>
    <w:rsid w:val="00A32BA5"/>
    <w:rsid w:val="00A33BA9"/>
    <w:rsid w:val="00A33CB1"/>
    <w:rsid w:val="00A34586"/>
    <w:rsid w:val="00A34B08"/>
    <w:rsid w:val="00A34F9C"/>
    <w:rsid w:val="00A35B7F"/>
    <w:rsid w:val="00A37282"/>
    <w:rsid w:val="00A372B6"/>
    <w:rsid w:val="00A37662"/>
    <w:rsid w:val="00A37D04"/>
    <w:rsid w:val="00A4017F"/>
    <w:rsid w:val="00A4041F"/>
    <w:rsid w:val="00A41ABA"/>
    <w:rsid w:val="00A41EFB"/>
    <w:rsid w:val="00A4244A"/>
    <w:rsid w:val="00A42501"/>
    <w:rsid w:val="00A439F0"/>
    <w:rsid w:val="00A43BD7"/>
    <w:rsid w:val="00A43DFA"/>
    <w:rsid w:val="00A43FAA"/>
    <w:rsid w:val="00A448DA"/>
    <w:rsid w:val="00A448EB"/>
    <w:rsid w:val="00A45854"/>
    <w:rsid w:val="00A468ED"/>
    <w:rsid w:val="00A50F04"/>
    <w:rsid w:val="00A517C3"/>
    <w:rsid w:val="00A541BA"/>
    <w:rsid w:val="00A55B23"/>
    <w:rsid w:val="00A57BED"/>
    <w:rsid w:val="00A61EA2"/>
    <w:rsid w:val="00A63470"/>
    <w:rsid w:val="00A63C60"/>
    <w:rsid w:val="00A641A3"/>
    <w:rsid w:val="00A65A40"/>
    <w:rsid w:val="00A660D9"/>
    <w:rsid w:val="00A6689A"/>
    <w:rsid w:val="00A66CB8"/>
    <w:rsid w:val="00A6715C"/>
    <w:rsid w:val="00A672CE"/>
    <w:rsid w:val="00A702BB"/>
    <w:rsid w:val="00A705D1"/>
    <w:rsid w:val="00A707C5"/>
    <w:rsid w:val="00A71E2D"/>
    <w:rsid w:val="00A72603"/>
    <w:rsid w:val="00A7298A"/>
    <w:rsid w:val="00A74D65"/>
    <w:rsid w:val="00A757AE"/>
    <w:rsid w:val="00A758C7"/>
    <w:rsid w:val="00A76A3D"/>
    <w:rsid w:val="00A77D35"/>
    <w:rsid w:val="00A77D37"/>
    <w:rsid w:val="00A81B8C"/>
    <w:rsid w:val="00A8316D"/>
    <w:rsid w:val="00A834C8"/>
    <w:rsid w:val="00A83B4E"/>
    <w:rsid w:val="00A84ABD"/>
    <w:rsid w:val="00A84F4C"/>
    <w:rsid w:val="00A85B54"/>
    <w:rsid w:val="00A87D38"/>
    <w:rsid w:val="00A901A0"/>
    <w:rsid w:val="00A90716"/>
    <w:rsid w:val="00A90CBA"/>
    <w:rsid w:val="00A91CF1"/>
    <w:rsid w:val="00A91F6D"/>
    <w:rsid w:val="00A93E08"/>
    <w:rsid w:val="00A94E33"/>
    <w:rsid w:val="00A95568"/>
    <w:rsid w:val="00A9663F"/>
    <w:rsid w:val="00A96CF7"/>
    <w:rsid w:val="00AA01D1"/>
    <w:rsid w:val="00AA0DAC"/>
    <w:rsid w:val="00AA104B"/>
    <w:rsid w:val="00AA2789"/>
    <w:rsid w:val="00AA2BD7"/>
    <w:rsid w:val="00AA2E1B"/>
    <w:rsid w:val="00AA4B04"/>
    <w:rsid w:val="00AA5BD7"/>
    <w:rsid w:val="00AB0857"/>
    <w:rsid w:val="00AB0893"/>
    <w:rsid w:val="00AB0EEF"/>
    <w:rsid w:val="00AB1D3D"/>
    <w:rsid w:val="00AB4B84"/>
    <w:rsid w:val="00AB541A"/>
    <w:rsid w:val="00AB6086"/>
    <w:rsid w:val="00AB6BC3"/>
    <w:rsid w:val="00AB795D"/>
    <w:rsid w:val="00AC35BC"/>
    <w:rsid w:val="00AC378C"/>
    <w:rsid w:val="00AC37C1"/>
    <w:rsid w:val="00AC3A5C"/>
    <w:rsid w:val="00AC3B6A"/>
    <w:rsid w:val="00AC47E5"/>
    <w:rsid w:val="00AC5A5C"/>
    <w:rsid w:val="00AC6109"/>
    <w:rsid w:val="00AC6247"/>
    <w:rsid w:val="00AC627C"/>
    <w:rsid w:val="00AC63E6"/>
    <w:rsid w:val="00AC6676"/>
    <w:rsid w:val="00AC77A8"/>
    <w:rsid w:val="00AC7EA8"/>
    <w:rsid w:val="00AD03CE"/>
    <w:rsid w:val="00AD0555"/>
    <w:rsid w:val="00AD2DB7"/>
    <w:rsid w:val="00AD3419"/>
    <w:rsid w:val="00AD3AB6"/>
    <w:rsid w:val="00AD4723"/>
    <w:rsid w:val="00AD4BF5"/>
    <w:rsid w:val="00AD561A"/>
    <w:rsid w:val="00AD66F9"/>
    <w:rsid w:val="00AD7E1C"/>
    <w:rsid w:val="00AD7FB9"/>
    <w:rsid w:val="00AE0326"/>
    <w:rsid w:val="00AE08A5"/>
    <w:rsid w:val="00AE0EA3"/>
    <w:rsid w:val="00AE1EBC"/>
    <w:rsid w:val="00AE312A"/>
    <w:rsid w:val="00AE3215"/>
    <w:rsid w:val="00AE4AA6"/>
    <w:rsid w:val="00AE58BF"/>
    <w:rsid w:val="00AE60F4"/>
    <w:rsid w:val="00AE72CD"/>
    <w:rsid w:val="00AF0908"/>
    <w:rsid w:val="00AF0E15"/>
    <w:rsid w:val="00AF198A"/>
    <w:rsid w:val="00AF25FF"/>
    <w:rsid w:val="00AF41D2"/>
    <w:rsid w:val="00AF51B4"/>
    <w:rsid w:val="00AF6D05"/>
    <w:rsid w:val="00AF7116"/>
    <w:rsid w:val="00B01335"/>
    <w:rsid w:val="00B020A2"/>
    <w:rsid w:val="00B024CE"/>
    <w:rsid w:val="00B02886"/>
    <w:rsid w:val="00B028D9"/>
    <w:rsid w:val="00B02E0F"/>
    <w:rsid w:val="00B04CF6"/>
    <w:rsid w:val="00B052D4"/>
    <w:rsid w:val="00B05327"/>
    <w:rsid w:val="00B059CA"/>
    <w:rsid w:val="00B06B60"/>
    <w:rsid w:val="00B070F2"/>
    <w:rsid w:val="00B111CF"/>
    <w:rsid w:val="00B11512"/>
    <w:rsid w:val="00B11D58"/>
    <w:rsid w:val="00B11FBD"/>
    <w:rsid w:val="00B13069"/>
    <w:rsid w:val="00B135D4"/>
    <w:rsid w:val="00B13681"/>
    <w:rsid w:val="00B13F76"/>
    <w:rsid w:val="00B146E4"/>
    <w:rsid w:val="00B149A5"/>
    <w:rsid w:val="00B14A3E"/>
    <w:rsid w:val="00B1564D"/>
    <w:rsid w:val="00B15ECB"/>
    <w:rsid w:val="00B1625E"/>
    <w:rsid w:val="00B16CE1"/>
    <w:rsid w:val="00B17CF8"/>
    <w:rsid w:val="00B20BDB"/>
    <w:rsid w:val="00B22A27"/>
    <w:rsid w:val="00B2471E"/>
    <w:rsid w:val="00B24D3F"/>
    <w:rsid w:val="00B25A2A"/>
    <w:rsid w:val="00B25C07"/>
    <w:rsid w:val="00B26418"/>
    <w:rsid w:val="00B26926"/>
    <w:rsid w:val="00B26AFD"/>
    <w:rsid w:val="00B27C90"/>
    <w:rsid w:val="00B27F8E"/>
    <w:rsid w:val="00B30953"/>
    <w:rsid w:val="00B3163D"/>
    <w:rsid w:val="00B318AE"/>
    <w:rsid w:val="00B32EA9"/>
    <w:rsid w:val="00B33958"/>
    <w:rsid w:val="00B345B7"/>
    <w:rsid w:val="00B35BA8"/>
    <w:rsid w:val="00B36789"/>
    <w:rsid w:val="00B36E07"/>
    <w:rsid w:val="00B37940"/>
    <w:rsid w:val="00B40C60"/>
    <w:rsid w:val="00B41695"/>
    <w:rsid w:val="00B4248D"/>
    <w:rsid w:val="00B43F99"/>
    <w:rsid w:val="00B447BC"/>
    <w:rsid w:val="00B4487C"/>
    <w:rsid w:val="00B4543D"/>
    <w:rsid w:val="00B4603F"/>
    <w:rsid w:val="00B46DAE"/>
    <w:rsid w:val="00B46E60"/>
    <w:rsid w:val="00B5043B"/>
    <w:rsid w:val="00B51EB9"/>
    <w:rsid w:val="00B5250A"/>
    <w:rsid w:val="00B52CED"/>
    <w:rsid w:val="00B52FC2"/>
    <w:rsid w:val="00B530B2"/>
    <w:rsid w:val="00B5317C"/>
    <w:rsid w:val="00B53210"/>
    <w:rsid w:val="00B5357E"/>
    <w:rsid w:val="00B53B8C"/>
    <w:rsid w:val="00B540D6"/>
    <w:rsid w:val="00B544D7"/>
    <w:rsid w:val="00B5557A"/>
    <w:rsid w:val="00B555DB"/>
    <w:rsid w:val="00B562DD"/>
    <w:rsid w:val="00B5637D"/>
    <w:rsid w:val="00B57A6C"/>
    <w:rsid w:val="00B600DE"/>
    <w:rsid w:val="00B60686"/>
    <w:rsid w:val="00B61BAE"/>
    <w:rsid w:val="00B63354"/>
    <w:rsid w:val="00B6387F"/>
    <w:rsid w:val="00B63B21"/>
    <w:rsid w:val="00B6566E"/>
    <w:rsid w:val="00B66580"/>
    <w:rsid w:val="00B66D61"/>
    <w:rsid w:val="00B67150"/>
    <w:rsid w:val="00B677C3"/>
    <w:rsid w:val="00B67E86"/>
    <w:rsid w:val="00B71077"/>
    <w:rsid w:val="00B711AB"/>
    <w:rsid w:val="00B7161F"/>
    <w:rsid w:val="00B72965"/>
    <w:rsid w:val="00B7315F"/>
    <w:rsid w:val="00B73C4E"/>
    <w:rsid w:val="00B74751"/>
    <w:rsid w:val="00B75C7C"/>
    <w:rsid w:val="00B77874"/>
    <w:rsid w:val="00B80989"/>
    <w:rsid w:val="00B81366"/>
    <w:rsid w:val="00B81404"/>
    <w:rsid w:val="00B81499"/>
    <w:rsid w:val="00B8165C"/>
    <w:rsid w:val="00B81BCD"/>
    <w:rsid w:val="00B82AA4"/>
    <w:rsid w:val="00B83030"/>
    <w:rsid w:val="00B83806"/>
    <w:rsid w:val="00B83A20"/>
    <w:rsid w:val="00B84A6D"/>
    <w:rsid w:val="00B8577F"/>
    <w:rsid w:val="00B862BF"/>
    <w:rsid w:val="00B871B4"/>
    <w:rsid w:val="00B90BA4"/>
    <w:rsid w:val="00B90CCC"/>
    <w:rsid w:val="00B93081"/>
    <w:rsid w:val="00B93BCA"/>
    <w:rsid w:val="00B94482"/>
    <w:rsid w:val="00B95D6A"/>
    <w:rsid w:val="00B96B0E"/>
    <w:rsid w:val="00B97100"/>
    <w:rsid w:val="00B97266"/>
    <w:rsid w:val="00B9782F"/>
    <w:rsid w:val="00BA0D1C"/>
    <w:rsid w:val="00BA2F5F"/>
    <w:rsid w:val="00BA33CB"/>
    <w:rsid w:val="00BA34BA"/>
    <w:rsid w:val="00BA380A"/>
    <w:rsid w:val="00BA3915"/>
    <w:rsid w:val="00BA496B"/>
    <w:rsid w:val="00BA5486"/>
    <w:rsid w:val="00BA6E90"/>
    <w:rsid w:val="00BA782E"/>
    <w:rsid w:val="00BA78C5"/>
    <w:rsid w:val="00BA7E4A"/>
    <w:rsid w:val="00BB4106"/>
    <w:rsid w:val="00BB4212"/>
    <w:rsid w:val="00BB43E5"/>
    <w:rsid w:val="00BB542A"/>
    <w:rsid w:val="00BB5460"/>
    <w:rsid w:val="00BB5D41"/>
    <w:rsid w:val="00BB5FC0"/>
    <w:rsid w:val="00BB677F"/>
    <w:rsid w:val="00BB7D4A"/>
    <w:rsid w:val="00BB7F30"/>
    <w:rsid w:val="00BC03D7"/>
    <w:rsid w:val="00BC08C2"/>
    <w:rsid w:val="00BC0A1C"/>
    <w:rsid w:val="00BC13F6"/>
    <w:rsid w:val="00BC1456"/>
    <w:rsid w:val="00BC15A5"/>
    <w:rsid w:val="00BC1635"/>
    <w:rsid w:val="00BC2F0C"/>
    <w:rsid w:val="00BC31E1"/>
    <w:rsid w:val="00BC38ED"/>
    <w:rsid w:val="00BC3EA4"/>
    <w:rsid w:val="00BC49E1"/>
    <w:rsid w:val="00BC567D"/>
    <w:rsid w:val="00BC649D"/>
    <w:rsid w:val="00BD00D6"/>
    <w:rsid w:val="00BD0A1B"/>
    <w:rsid w:val="00BD1F03"/>
    <w:rsid w:val="00BD2267"/>
    <w:rsid w:val="00BD2ED4"/>
    <w:rsid w:val="00BD3E6B"/>
    <w:rsid w:val="00BD4D67"/>
    <w:rsid w:val="00BD4F4B"/>
    <w:rsid w:val="00BD627F"/>
    <w:rsid w:val="00BD6909"/>
    <w:rsid w:val="00BD79B4"/>
    <w:rsid w:val="00BE0887"/>
    <w:rsid w:val="00BE096C"/>
    <w:rsid w:val="00BE1605"/>
    <w:rsid w:val="00BE2253"/>
    <w:rsid w:val="00BE2A4F"/>
    <w:rsid w:val="00BE3050"/>
    <w:rsid w:val="00BE397F"/>
    <w:rsid w:val="00BE4EB3"/>
    <w:rsid w:val="00BE6BCD"/>
    <w:rsid w:val="00BE7E46"/>
    <w:rsid w:val="00BF3EFC"/>
    <w:rsid w:val="00BF4810"/>
    <w:rsid w:val="00BF61E8"/>
    <w:rsid w:val="00BF6339"/>
    <w:rsid w:val="00BF660B"/>
    <w:rsid w:val="00BF7AD4"/>
    <w:rsid w:val="00BF7BB5"/>
    <w:rsid w:val="00C000C4"/>
    <w:rsid w:val="00C00F37"/>
    <w:rsid w:val="00C02050"/>
    <w:rsid w:val="00C02A14"/>
    <w:rsid w:val="00C03BDA"/>
    <w:rsid w:val="00C044B2"/>
    <w:rsid w:val="00C044F4"/>
    <w:rsid w:val="00C04983"/>
    <w:rsid w:val="00C0527D"/>
    <w:rsid w:val="00C06D01"/>
    <w:rsid w:val="00C071BA"/>
    <w:rsid w:val="00C107EE"/>
    <w:rsid w:val="00C10FDF"/>
    <w:rsid w:val="00C11169"/>
    <w:rsid w:val="00C11716"/>
    <w:rsid w:val="00C124ED"/>
    <w:rsid w:val="00C12758"/>
    <w:rsid w:val="00C12AE8"/>
    <w:rsid w:val="00C1347A"/>
    <w:rsid w:val="00C13943"/>
    <w:rsid w:val="00C13CC1"/>
    <w:rsid w:val="00C141D4"/>
    <w:rsid w:val="00C14932"/>
    <w:rsid w:val="00C14D30"/>
    <w:rsid w:val="00C1620B"/>
    <w:rsid w:val="00C16F03"/>
    <w:rsid w:val="00C171A4"/>
    <w:rsid w:val="00C177AC"/>
    <w:rsid w:val="00C22430"/>
    <w:rsid w:val="00C226C2"/>
    <w:rsid w:val="00C22A2E"/>
    <w:rsid w:val="00C2324D"/>
    <w:rsid w:val="00C2403C"/>
    <w:rsid w:val="00C24441"/>
    <w:rsid w:val="00C24957"/>
    <w:rsid w:val="00C25084"/>
    <w:rsid w:val="00C2564E"/>
    <w:rsid w:val="00C278A6"/>
    <w:rsid w:val="00C30E1E"/>
    <w:rsid w:val="00C3246D"/>
    <w:rsid w:val="00C329CD"/>
    <w:rsid w:val="00C32B44"/>
    <w:rsid w:val="00C32B4B"/>
    <w:rsid w:val="00C331CD"/>
    <w:rsid w:val="00C33786"/>
    <w:rsid w:val="00C341ED"/>
    <w:rsid w:val="00C3434E"/>
    <w:rsid w:val="00C34758"/>
    <w:rsid w:val="00C34831"/>
    <w:rsid w:val="00C35C14"/>
    <w:rsid w:val="00C368E3"/>
    <w:rsid w:val="00C3770A"/>
    <w:rsid w:val="00C377D2"/>
    <w:rsid w:val="00C378AB"/>
    <w:rsid w:val="00C378FB"/>
    <w:rsid w:val="00C40110"/>
    <w:rsid w:val="00C40478"/>
    <w:rsid w:val="00C4092C"/>
    <w:rsid w:val="00C42778"/>
    <w:rsid w:val="00C42AC3"/>
    <w:rsid w:val="00C443B5"/>
    <w:rsid w:val="00C44BAE"/>
    <w:rsid w:val="00C45EC0"/>
    <w:rsid w:val="00C46EC6"/>
    <w:rsid w:val="00C46FDA"/>
    <w:rsid w:val="00C47A44"/>
    <w:rsid w:val="00C508B1"/>
    <w:rsid w:val="00C52431"/>
    <w:rsid w:val="00C52F84"/>
    <w:rsid w:val="00C549F1"/>
    <w:rsid w:val="00C5614F"/>
    <w:rsid w:val="00C56A74"/>
    <w:rsid w:val="00C6002D"/>
    <w:rsid w:val="00C60CA4"/>
    <w:rsid w:val="00C60F1F"/>
    <w:rsid w:val="00C61154"/>
    <w:rsid w:val="00C61DAF"/>
    <w:rsid w:val="00C624D1"/>
    <w:rsid w:val="00C6307B"/>
    <w:rsid w:val="00C64515"/>
    <w:rsid w:val="00C64624"/>
    <w:rsid w:val="00C64975"/>
    <w:rsid w:val="00C65E03"/>
    <w:rsid w:val="00C66723"/>
    <w:rsid w:val="00C668E9"/>
    <w:rsid w:val="00C67212"/>
    <w:rsid w:val="00C70350"/>
    <w:rsid w:val="00C706B1"/>
    <w:rsid w:val="00C71CDE"/>
    <w:rsid w:val="00C72045"/>
    <w:rsid w:val="00C728C0"/>
    <w:rsid w:val="00C7342C"/>
    <w:rsid w:val="00C76105"/>
    <w:rsid w:val="00C76B3D"/>
    <w:rsid w:val="00C7779A"/>
    <w:rsid w:val="00C77C22"/>
    <w:rsid w:val="00C77E28"/>
    <w:rsid w:val="00C80BB3"/>
    <w:rsid w:val="00C80C1A"/>
    <w:rsid w:val="00C81608"/>
    <w:rsid w:val="00C82E36"/>
    <w:rsid w:val="00C838B9"/>
    <w:rsid w:val="00C83A83"/>
    <w:rsid w:val="00C84FE1"/>
    <w:rsid w:val="00C8518A"/>
    <w:rsid w:val="00C8671C"/>
    <w:rsid w:val="00C86935"/>
    <w:rsid w:val="00C912E0"/>
    <w:rsid w:val="00C92281"/>
    <w:rsid w:val="00C92725"/>
    <w:rsid w:val="00C92772"/>
    <w:rsid w:val="00C92D8F"/>
    <w:rsid w:val="00C9378A"/>
    <w:rsid w:val="00C94218"/>
    <w:rsid w:val="00C945CC"/>
    <w:rsid w:val="00C95446"/>
    <w:rsid w:val="00C96142"/>
    <w:rsid w:val="00C96847"/>
    <w:rsid w:val="00C96BBA"/>
    <w:rsid w:val="00C971FB"/>
    <w:rsid w:val="00C97D79"/>
    <w:rsid w:val="00C97E46"/>
    <w:rsid w:val="00CA0069"/>
    <w:rsid w:val="00CA02D5"/>
    <w:rsid w:val="00CA136B"/>
    <w:rsid w:val="00CA2DA0"/>
    <w:rsid w:val="00CA31B4"/>
    <w:rsid w:val="00CA3B9C"/>
    <w:rsid w:val="00CA3F34"/>
    <w:rsid w:val="00CA443B"/>
    <w:rsid w:val="00CA4B72"/>
    <w:rsid w:val="00CA54E6"/>
    <w:rsid w:val="00CA581B"/>
    <w:rsid w:val="00CA7132"/>
    <w:rsid w:val="00CA7D6B"/>
    <w:rsid w:val="00CB0332"/>
    <w:rsid w:val="00CB2FC8"/>
    <w:rsid w:val="00CB46A4"/>
    <w:rsid w:val="00CB4C2D"/>
    <w:rsid w:val="00CB5149"/>
    <w:rsid w:val="00CB550B"/>
    <w:rsid w:val="00CC00C8"/>
    <w:rsid w:val="00CC0431"/>
    <w:rsid w:val="00CC0BEE"/>
    <w:rsid w:val="00CC0CC0"/>
    <w:rsid w:val="00CC148B"/>
    <w:rsid w:val="00CC1C09"/>
    <w:rsid w:val="00CC2A71"/>
    <w:rsid w:val="00CC41B7"/>
    <w:rsid w:val="00CC6E92"/>
    <w:rsid w:val="00CC7D54"/>
    <w:rsid w:val="00CD05DD"/>
    <w:rsid w:val="00CD05E7"/>
    <w:rsid w:val="00CD0EF2"/>
    <w:rsid w:val="00CD1607"/>
    <w:rsid w:val="00CD287E"/>
    <w:rsid w:val="00CD44C7"/>
    <w:rsid w:val="00CD49D3"/>
    <w:rsid w:val="00CD4DD3"/>
    <w:rsid w:val="00CD522D"/>
    <w:rsid w:val="00CD58EA"/>
    <w:rsid w:val="00CD5A46"/>
    <w:rsid w:val="00CD65AC"/>
    <w:rsid w:val="00CD6D58"/>
    <w:rsid w:val="00CD7CFA"/>
    <w:rsid w:val="00CE092E"/>
    <w:rsid w:val="00CE13B3"/>
    <w:rsid w:val="00CE2657"/>
    <w:rsid w:val="00CE3710"/>
    <w:rsid w:val="00CE3C69"/>
    <w:rsid w:val="00CE553C"/>
    <w:rsid w:val="00CE5F6F"/>
    <w:rsid w:val="00CE600B"/>
    <w:rsid w:val="00CE71C6"/>
    <w:rsid w:val="00CF223C"/>
    <w:rsid w:val="00CF32E8"/>
    <w:rsid w:val="00CF3CAB"/>
    <w:rsid w:val="00CF5FFC"/>
    <w:rsid w:val="00CF615A"/>
    <w:rsid w:val="00CF641A"/>
    <w:rsid w:val="00CF6B26"/>
    <w:rsid w:val="00CF7002"/>
    <w:rsid w:val="00CF71CD"/>
    <w:rsid w:val="00CF72EC"/>
    <w:rsid w:val="00CF7615"/>
    <w:rsid w:val="00CF7DEE"/>
    <w:rsid w:val="00D00C7A"/>
    <w:rsid w:val="00D01CE6"/>
    <w:rsid w:val="00D01EE1"/>
    <w:rsid w:val="00D0230B"/>
    <w:rsid w:val="00D0240D"/>
    <w:rsid w:val="00D02632"/>
    <w:rsid w:val="00D02986"/>
    <w:rsid w:val="00D02A0E"/>
    <w:rsid w:val="00D02E0C"/>
    <w:rsid w:val="00D042F3"/>
    <w:rsid w:val="00D04486"/>
    <w:rsid w:val="00D04820"/>
    <w:rsid w:val="00D05706"/>
    <w:rsid w:val="00D0597A"/>
    <w:rsid w:val="00D05B29"/>
    <w:rsid w:val="00D07231"/>
    <w:rsid w:val="00D10037"/>
    <w:rsid w:val="00D10CD4"/>
    <w:rsid w:val="00D11250"/>
    <w:rsid w:val="00D11EE1"/>
    <w:rsid w:val="00D13C10"/>
    <w:rsid w:val="00D16E93"/>
    <w:rsid w:val="00D171BC"/>
    <w:rsid w:val="00D17A7F"/>
    <w:rsid w:val="00D17E65"/>
    <w:rsid w:val="00D2031E"/>
    <w:rsid w:val="00D2127A"/>
    <w:rsid w:val="00D2169A"/>
    <w:rsid w:val="00D22089"/>
    <w:rsid w:val="00D2218B"/>
    <w:rsid w:val="00D23967"/>
    <w:rsid w:val="00D24264"/>
    <w:rsid w:val="00D247A2"/>
    <w:rsid w:val="00D254C7"/>
    <w:rsid w:val="00D25533"/>
    <w:rsid w:val="00D268B7"/>
    <w:rsid w:val="00D30C32"/>
    <w:rsid w:val="00D32182"/>
    <w:rsid w:val="00D331C9"/>
    <w:rsid w:val="00D336D7"/>
    <w:rsid w:val="00D33EBD"/>
    <w:rsid w:val="00D34269"/>
    <w:rsid w:val="00D34E56"/>
    <w:rsid w:val="00D35A76"/>
    <w:rsid w:val="00D36CD4"/>
    <w:rsid w:val="00D36EC3"/>
    <w:rsid w:val="00D4052A"/>
    <w:rsid w:val="00D40BBF"/>
    <w:rsid w:val="00D4117A"/>
    <w:rsid w:val="00D41230"/>
    <w:rsid w:val="00D41E05"/>
    <w:rsid w:val="00D42377"/>
    <w:rsid w:val="00D43DB7"/>
    <w:rsid w:val="00D44C75"/>
    <w:rsid w:val="00D455FF"/>
    <w:rsid w:val="00D457BB"/>
    <w:rsid w:val="00D45949"/>
    <w:rsid w:val="00D45DEF"/>
    <w:rsid w:val="00D47E87"/>
    <w:rsid w:val="00D47FFA"/>
    <w:rsid w:val="00D50675"/>
    <w:rsid w:val="00D50915"/>
    <w:rsid w:val="00D52B08"/>
    <w:rsid w:val="00D536A5"/>
    <w:rsid w:val="00D55AD0"/>
    <w:rsid w:val="00D567BB"/>
    <w:rsid w:val="00D57B81"/>
    <w:rsid w:val="00D57E38"/>
    <w:rsid w:val="00D60DEF"/>
    <w:rsid w:val="00D612ED"/>
    <w:rsid w:val="00D6244F"/>
    <w:rsid w:val="00D63B13"/>
    <w:rsid w:val="00D63BE2"/>
    <w:rsid w:val="00D64CA4"/>
    <w:rsid w:val="00D65AE0"/>
    <w:rsid w:val="00D65BF7"/>
    <w:rsid w:val="00D665CC"/>
    <w:rsid w:val="00D6689C"/>
    <w:rsid w:val="00D668AD"/>
    <w:rsid w:val="00D66A9B"/>
    <w:rsid w:val="00D6727B"/>
    <w:rsid w:val="00D6769A"/>
    <w:rsid w:val="00D67AEC"/>
    <w:rsid w:val="00D67CAD"/>
    <w:rsid w:val="00D71E15"/>
    <w:rsid w:val="00D73B4A"/>
    <w:rsid w:val="00D740AE"/>
    <w:rsid w:val="00D742E7"/>
    <w:rsid w:val="00D77099"/>
    <w:rsid w:val="00D77D07"/>
    <w:rsid w:val="00D80AB3"/>
    <w:rsid w:val="00D81700"/>
    <w:rsid w:val="00D8220A"/>
    <w:rsid w:val="00D82A7A"/>
    <w:rsid w:val="00D82B13"/>
    <w:rsid w:val="00D82E44"/>
    <w:rsid w:val="00D831EF"/>
    <w:rsid w:val="00D835B7"/>
    <w:rsid w:val="00D83F00"/>
    <w:rsid w:val="00D84015"/>
    <w:rsid w:val="00D84CDB"/>
    <w:rsid w:val="00D84E51"/>
    <w:rsid w:val="00D8798C"/>
    <w:rsid w:val="00D90DD6"/>
    <w:rsid w:val="00D90F26"/>
    <w:rsid w:val="00D914AF"/>
    <w:rsid w:val="00D9161A"/>
    <w:rsid w:val="00D91F62"/>
    <w:rsid w:val="00D93089"/>
    <w:rsid w:val="00D93706"/>
    <w:rsid w:val="00D93E88"/>
    <w:rsid w:val="00D93F4E"/>
    <w:rsid w:val="00D9416B"/>
    <w:rsid w:val="00D9434C"/>
    <w:rsid w:val="00D94D32"/>
    <w:rsid w:val="00D958BD"/>
    <w:rsid w:val="00D95E02"/>
    <w:rsid w:val="00D96FB4"/>
    <w:rsid w:val="00D977B4"/>
    <w:rsid w:val="00D97859"/>
    <w:rsid w:val="00DA0A86"/>
    <w:rsid w:val="00DA0DD6"/>
    <w:rsid w:val="00DA20E0"/>
    <w:rsid w:val="00DA2AB9"/>
    <w:rsid w:val="00DA2D0B"/>
    <w:rsid w:val="00DA339B"/>
    <w:rsid w:val="00DA4202"/>
    <w:rsid w:val="00DA486C"/>
    <w:rsid w:val="00DA5946"/>
    <w:rsid w:val="00DA5CA3"/>
    <w:rsid w:val="00DA695F"/>
    <w:rsid w:val="00DA6C87"/>
    <w:rsid w:val="00DA7525"/>
    <w:rsid w:val="00DB037F"/>
    <w:rsid w:val="00DB403E"/>
    <w:rsid w:val="00DB4106"/>
    <w:rsid w:val="00DB4932"/>
    <w:rsid w:val="00DB5B14"/>
    <w:rsid w:val="00DB61CE"/>
    <w:rsid w:val="00DB745B"/>
    <w:rsid w:val="00DC0033"/>
    <w:rsid w:val="00DC09DA"/>
    <w:rsid w:val="00DC1F42"/>
    <w:rsid w:val="00DC22E2"/>
    <w:rsid w:val="00DC2C14"/>
    <w:rsid w:val="00DC32FF"/>
    <w:rsid w:val="00DC5219"/>
    <w:rsid w:val="00DC5670"/>
    <w:rsid w:val="00DC7BB6"/>
    <w:rsid w:val="00DD1F9D"/>
    <w:rsid w:val="00DD244D"/>
    <w:rsid w:val="00DD31A1"/>
    <w:rsid w:val="00DD3A8B"/>
    <w:rsid w:val="00DD4F7C"/>
    <w:rsid w:val="00DD510E"/>
    <w:rsid w:val="00DD5155"/>
    <w:rsid w:val="00DD5A44"/>
    <w:rsid w:val="00DD5C6E"/>
    <w:rsid w:val="00DD6094"/>
    <w:rsid w:val="00DD6426"/>
    <w:rsid w:val="00DD72B5"/>
    <w:rsid w:val="00DD7C28"/>
    <w:rsid w:val="00DE02C1"/>
    <w:rsid w:val="00DE06D9"/>
    <w:rsid w:val="00DE1A76"/>
    <w:rsid w:val="00DE1E1A"/>
    <w:rsid w:val="00DE2032"/>
    <w:rsid w:val="00DE3782"/>
    <w:rsid w:val="00DE4E70"/>
    <w:rsid w:val="00DE51C3"/>
    <w:rsid w:val="00DE5DA5"/>
    <w:rsid w:val="00DE6731"/>
    <w:rsid w:val="00DE7EE5"/>
    <w:rsid w:val="00DF212E"/>
    <w:rsid w:val="00DF22F7"/>
    <w:rsid w:val="00DF2BDE"/>
    <w:rsid w:val="00DF391B"/>
    <w:rsid w:val="00DF3A6E"/>
    <w:rsid w:val="00DF3F7C"/>
    <w:rsid w:val="00DF4AB1"/>
    <w:rsid w:val="00DF4E1B"/>
    <w:rsid w:val="00DF506B"/>
    <w:rsid w:val="00DF5299"/>
    <w:rsid w:val="00DF5E67"/>
    <w:rsid w:val="00E037D3"/>
    <w:rsid w:val="00E03B59"/>
    <w:rsid w:val="00E040CD"/>
    <w:rsid w:val="00E0421B"/>
    <w:rsid w:val="00E0555B"/>
    <w:rsid w:val="00E06162"/>
    <w:rsid w:val="00E06C2B"/>
    <w:rsid w:val="00E0772E"/>
    <w:rsid w:val="00E07C7E"/>
    <w:rsid w:val="00E111E4"/>
    <w:rsid w:val="00E117BB"/>
    <w:rsid w:val="00E1217A"/>
    <w:rsid w:val="00E12281"/>
    <w:rsid w:val="00E1250F"/>
    <w:rsid w:val="00E12527"/>
    <w:rsid w:val="00E1371D"/>
    <w:rsid w:val="00E13D36"/>
    <w:rsid w:val="00E13E56"/>
    <w:rsid w:val="00E15AD5"/>
    <w:rsid w:val="00E20917"/>
    <w:rsid w:val="00E2163A"/>
    <w:rsid w:val="00E21859"/>
    <w:rsid w:val="00E22730"/>
    <w:rsid w:val="00E22923"/>
    <w:rsid w:val="00E241F9"/>
    <w:rsid w:val="00E24A3F"/>
    <w:rsid w:val="00E25286"/>
    <w:rsid w:val="00E25321"/>
    <w:rsid w:val="00E264AB"/>
    <w:rsid w:val="00E26625"/>
    <w:rsid w:val="00E27BF0"/>
    <w:rsid w:val="00E30081"/>
    <w:rsid w:val="00E30BB1"/>
    <w:rsid w:val="00E3102A"/>
    <w:rsid w:val="00E31EAD"/>
    <w:rsid w:val="00E34021"/>
    <w:rsid w:val="00E34052"/>
    <w:rsid w:val="00E34F0B"/>
    <w:rsid w:val="00E363DE"/>
    <w:rsid w:val="00E370ED"/>
    <w:rsid w:val="00E37481"/>
    <w:rsid w:val="00E41518"/>
    <w:rsid w:val="00E418DE"/>
    <w:rsid w:val="00E426CA"/>
    <w:rsid w:val="00E43880"/>
    <w:rsid w:val="00E4399D"/>
    <w:rsid w:val="00E44B12"/>
    <w:rsid w:val="00E44B3C"/>
    <w:rsid w:val="00E45B59"/>
    <w:rsid w:val="00E46DBE"/>
    <w:rsid w:val="00E476A2"/>
    <w:rsid w:val="00E50134"/>
    <w:rsid w:val="00E505AB"/>
    <w:rsid w:val="00E5068D"/>
    <w:rsid w:val="00E506F7"/>
    <w:rsid w:val="00E5079A"/>
    <w:rsid w:val="00E52E51"/>
    <w:rsid w:val="00E53492"/>
    <w:rsid w:val="00E546C8"/>
    <w:rsid w:val="00E54897"/>
    <w:rsid w:val="00E54D5E"/>
    <w:rsid w:val="00E56792"/>
    <w:rsid w:val="00E56E6D"/>
    <w:rsid w:val="00E57AE9"/>
    <w:rsid w:val="00E6008E"/>
    <w:rsid w:val="00E60C2E"/>
    <w:rsid w:val="00E61965"/>
    <w:rsid w:val="00E629E0"/>
    <w:rsid w:val="00E62A2C"/>
    <w:rsid w:val="00E62EF0"/>
    <w:rsid w:val="00E644D0"/>
    <w:rsid w:val="00E6599B"/>
    <w:rsid w:val="00E65DC1"/>
    <w:rsid w:val="00E67A22"/>
    <w:rsid w:val="00E70489"/>
    <w:rsid w:val="00E711F7"/>
    <w:rsid w:val="00E72DBE"/>
    <w:rsid w:val="00E73F1D"/>
    <w:rsid w:val="00E7786D"/>
    <w:rsid w:val="00E77C65"/>
    <w:rsid w:val="00E810F5"/>
    <w:rsid w:val="00E81120"/>
    <w:rsid w:val="00E81943"/>
    <w:rsid w:val="00E82916"/>
    <w:rsid w:val="00E8296E"/>
    <w:rsid w:val="00E8311D"/>
    <w:rsid w:val="00E83187"/>
    <w:rsid w:val="00E83527"/>
    <w:rsid w:val="00E84709"/>
    <w:rsid w:val="00E8557A"/>
    <w:rsid w:val="00E85979"/>
    <w:rsid w:val="00E8640F"/>
    <w:rsid w:val="00E86BAF"/>
    <w:rsid w:val="00E87049"/>
    <w:rsid w:val="00E9015B"/>
    <w:rsid w:val="00E90907"/>
    <w:rsid w:val="00E91239"/>
    <w:rsid w:val="00E915DD"/>
    <w:rsid w:val="00E923CF"/>
    <w:rsid w:val="00E92557"/>
    <w:rsid w:val="00E92AE3"/>
    <w:rsid w:val="00E935FA"/>
    <w:rsid w:val="00E93CC6"/>
    <w:rsid w:val="00E93D55"/>
    <w:rsid w:val="00E9462D"/>
    <w:rsid w:val="00E9513F"/>
    <w:rsid w:val="00E954ED"/>
    <w:rsid w:val="00E9618B"/>
    <w:rsid w:val="00E96238"/>
    <w:rsid w:val="00E96C7F"/>
    <w:rsid w:val="00EA0C7A"/>
    <w:rsid w:val="00EA1532"/>
    <w:rsid w:val="00EA3066"/>
    <w:rsid w:val="00EA3AC8"/>
    <w:rsid w:val="00EA3ACE"/>
    <w:rsid w:val="00EA4474"/>
    <w:rsid w:val="00EA51B1"/>
    <w:rsid w:val="00EA6ACB"/>
    <w:rsid w:val="00EA6DB8"/>
    <w:rsid w:val="00EA72C7"/>
    <w:rsid w:val="00EA7D54"/>
    <w:rsid w:val="00EB051E"/>
    <w:rsid w:val="00EB0B44"/>
    <w:rsid w:val="00EB16D9"/>
    <w:rsid w:val="00EB199F"/>
    <w:rsid w:val="00EB24A3"/>
    <w:rsid w:val="00EB24CB"/>
    <w:rsid w:val="00EB2CE5"/>
    <w:rsid w:val="00EB2F83"/>
    <w:rsid w:val="00EB3975"/>
    <w:rsid w:val="00EB469D"/>
    <w:rsid w:val="00EB7FA8"/>
    <w:rsid w:val="00EC0862"/>
    <w:rsid w:val="00EC0A71"/>
    <w:rsid w:val="00EC1363"/>
    <w:rsid w:val="00EC1477"/>
    <w:rsid w:val="00EC1DCA"/>
    <w:rsid w:val="00EC1F48"/>
    <w:rsid w:val="00EC498D"/>
    <w:rsid w:val="00EC5897"/>
    <w:rsid w:val="00EC688D"/>
    <w:rsid w:val="00EC7321"/>
    <w:rsid w:val="00ED0318"/>
    <w:rsid w:val="00ED0BF3"/>
    <w:rsid w:val="00ED12B9"/>
    <w:rsid w:val="00ED1AC0"/>
    <w:rsid w:val="00ED3B89"/>
    <w:rsid w:val="00ED3D28"/>
    <w:rsid w:val="00ED5A29"/>
    <w:rsid w:val="00ED5C4F"/>
    <w:rsid w:val="00ED6239"/>
    <w:rsid w:val="00EE061F"/>
    <w:rsid w:val="00EE0D74"/>
    <w:rsid w:val="00EE1CFF"/>
    <w:rsid w:val="00EE2666"/>
    <w:rsid w:val="00EE37F3"/>
    <w:rsid w:val="00EE3985"/>
    <w:rsid w:val="00EE4FEA"/>
    <w:rsid w:val="00EE5863"/>
    <w:rsid w:val="00EE5D37"/>
    <w:rsid w:val="00EE723B"/>
    <w:rsid w:val="00EE7965"/>
    <w:rsid w:val="00EF1CFC"/>
    <w:rsid w:val="00EF2CE6"/>
    <w:rsid w:val="00EF4D63"/>
    <w:rsid w:val="00EF57A8"/>
    <w:rsid w:val="00EF6281"/>
    <w:rsid w:val="00EF6A03"/>
    <w:rsid w:val="00EF6CC0"/>
    <w:rsid w:val="00EF7627"/>
    <w:rsid w:val="00EF7A01"/>
    <w:rsid w:val="00F00A04"/>
    <w:rsid w:val="00F018D8"/>
    <w:rsid w:val="00F01C89"/>
    <w:rsid w:val="00F021B2"/>
    <w:rsid w:val="00F03747"/>
    <w:rsid w:val="00F03CC3"/>
    <w:rsid w:val="00F0410E"/>
    <w:rsid w:val="00F04ED1"/>
    <w:rsid w:val="00F05281"/>
    <w:rsid w:val="00F05D50"/>
    <w:rsid w:val="00F060E0"/>
    <w:rsid w:val="00F0620C"/>
    <w:rsid w:val="00F07163"/>
    <w:rsid w:val="00F0781B"/>
    <w:rsid w:val="00F07E11"/>
    <w:rsid w:val="00F10F84"/>
    <w:rsid w:val="00F11E51"/>
    <w:rsid w:val="00F12B74"/>
    <w:rsid w:val="00F13641"/>
    <w:rsid w:val="00F13908"/>
    <w:rsid w:val="00F142EA"/>
    <w:rsid w:val="00F14C45"/>
    <w:rsid w:val="00F16251"/>
    <w:rsid w:val="00F16F11"/>
    <w:rsid w:val="00F2004F"/>
    <w:rsid w:val="00F20185"/>
    <w:rsid w:val="00F20469"/>
    <w:rsid w:val="00F207FB"/>
    <w:rsid w:val="00F20835"/>
    <w:rsid w:val="00F20A2D"/>
    <w:rsid w:val="00F220A7"/>
    <w:rsid w:val="00F23032"/>
    <w:rsid w:val="00F230D9"/>
    <w:rsid w:val="00F24B92"/>
    <w:rsid w:val="00F252DE"/>
    <w:rsid w:val="00F25350"/>
    <w:rsid w:val="00F25E57"/>
    <w:rsid w:val="00F2647E"/>
    <w:rsid w:val="00F26E5A"/>
    <w:rsid w:val="00F30827"/>
    <w:rsid w:val="00F30BB2"/>
    <w:rsid w:val="00F35942"/>
    <w:rsid w:val="00F35B84"/>
    <w:rsid w:val="00F35C4C"/>
    <w:rsid w:val="00F375C3"/>
    <w:rsid w:val="00F37CB0"/>
    <w:rsid w:val="00F4013B"/>
    <w:rsid w:val="00F40820"/>
    <w:rsid w:val="00F411C5"/>
    <w:rsid w:val="00F416DE"/>
    <w:rsid w:val="00F41BE4"/>
    <w:rsid w:val="00F4288E"/>
    <w:rsid w:val="00F44746"/>
    <w:rsid w:val="00F449AB"/>
    <w:rsid w:val="00F45CB7"/>
    <w:rsid w:val="00F461BB"/>
    <w:rsid w:val="00F46951"/>
    <w:rsid w:val="00F50D8B"/>
    <w:rsid w:val="00F539E7"/>
    <w:rsid w:val="00F53FB1"/>
    <w:rsid w:val="00F579BA"/>
    <w:rsid w:val="00F60995"/>
    <w:rsid w:val="00F61EC0"/>
    <w:rsid w:val="00F64D0D"/>
    <w:rsid w:val="00F656CE"/>
    <w:rsid w:val="00F6570A"/>
    <w:rsid w:val="00F702CA"/>
    <w:rsid w:val="00F707E1"/>
    <w:rsid w:val="00F70A09"/>
    <w:rsid w:val="00F70EA0"/>
    <w:rsid w:val="00F71992"/>
    <w:rsid w:val="00F71EE6"/>
    <w:rsid w:val="00F72456"/>
    <w:rsid w:val="00F728D2"/>
    <w:rsid w:val="00F73841"/>
    <w:rsid w:val="00F74898"/>
    <w:rsid w:val="00F76156"/>
    <w:rsid w:val="00F77CAE"/>
    <w:rsid w:val="00F80012"/>
    <w:rsid w:val="00F8018A"/>
    <w:rsid w:val="00F80302"/>
    <w:rsid w:val="00F807CF"/>
    <w:rsid w:val="00F80BF4"/>
    <w:rsid w:val="00F81A4B"/>
    <w:rsid w:val="00F82227"/>
    <w:rsid w:val="00F82257"/>
    <w:rsid w:val="00F82BEE"/>
    <w:rsid w:val="00F8326E"/>
    <w:rsid w:val="00F84063"/>
    <w:rsid w:val="00F846E2"/>
    <w:rsid w:val="00F85DAC"/>
    <w:rsid w:val="00F866BB"/>
    <w:rsid w:val="00F87619"/>
    <w:rsid w:val="00F90996"/>
    <w:rsid w:val="00F91887"/>
    <w:rsid w:val="00F92594"/>
    <w:rsid w:val="00F92E88"/>
    <w:rsid w:val="00F93077"/>
    <w:rsid w:val="00F957FC"/>
    <w:rsid w:val="00F961B7"/>
    <w:rsid w:val="00F96892"/>
    <w:rsid w:val="00FA052F"/>
    <w:rsid w:val="00FA2044"/>
    <w:rsid w:val="00FA2479"/>
    <w:rsid w:val="00FA33FB"/>
    <w:rsid w:val="00FA54DD"/>
    <w:rsid w:val="00FA5C95"/>
    <w:rsid w:val="00FA6588"/>
    <w:rsid w:val="00FA67E2"/>
    <w:rsid w:val="00FA6E11"/>
    <w:rsid w:val="00FA7149"/>
    <w:rsid w:val="00FA7768"/>
    <w:rsid w:val="00FA7CC5"/>
    <w:rsid w:val="00FA7FD1"/>
    <w:rsid w:val="00FB10AE"/>
    <w:rsid w:val="00FB1D6B"/>
    <w:rsid w:val="00FB334F"/>
    <w:rsid w:val="00FB3D4E"/>
    <w:rsid w:val="00FB44BB"/>
    <w:rsid w:val="00FB6305"/>
    <w:rsid w:val="00FB673F"/>
    <w:rsid w:val="00FB694B"/>
    <w:rsid w:val="00FB6AC0"/>
    <w:rsid w:val="00FB7548"/>
    <w:rsid w:val="00FB7DEA"/>
    <w:rsid w:val="00FB7FA7"/>
    <w:rsid w:val="00FC093F"/>
    <w:rsid w:val="00FC2FFD"/>
    <w:rsid w:val="00FC31B9"/>
    <w:rsid w:val="00FC3442"/>
    <w:rsid w:val="00FC716D"/>
    <w:rsid w:val="00FC7333"/>
    <w:rsid w:val="00FC7E7A"/>
    <w:rsid w:val="00FC7F1C"/>
    <w:rsid w:val="00FD0939"/>
    <w:rsid w:val="00FD21C0"/>
    <w:rsid w:val="00FD3298"/>
    <w:rsid w:val="00FD373D"/>
    <w:rsid w:val="00FD47A9"/>
    <w:rsid w:val="00FD6C2C"/>
    <w:rsid w:val="00FD75A7"/>
    <w:rsid w:val="00FD7E6D"/>
    <w:rsid w:val="00FE01C3"/>
    <w:rsid w:val="00FE042E"/>
    <w:rsid w:val="00FE3953"/>
    <w:rsid w:val="00FE3FD0"/>
    <w:rsid w:val="00FE4034"/>
    <w:rsid w:val="00FE5F82"/>
    <w:rsid w:val="00FF02D8"/>
    <w:rsid w:val="00FF0497"/>
    <w:rsid w:val="00FF1D27"/>
    <w:rsid w:val="00FF2251"/>
    <w:rsid w:val="00FF3001"/>
    <w:rsid w:val="00FF5018"/>
    <w:rsid w:val="00FF63E9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4514A"/>
  <w15:chartTrackingRefBased/>
  <w15:docId w15:val="{1387B02F-E66A-4AE4-9C1A-C192B4E9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42B"/>
    <w:pPr>
      <w:spacing w:after="20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5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42B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B5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42B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9B542B"/>
    <w:rPr>
      <w:rFonts w:cs="Times New Roman"/>
      <w:color w:val="0563C1" w:themeColor="hyperlink"/>
      <w:u w:val="single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1"/>
    <w:basedOn w:val="Normalny"/>
    <w:link w:val="AkapitzlistZnak"/>
    <w:uiPriority w:val="34"/>
    <w:qFormat/>
    <w:rsid w:val="009B542B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9B542B"/>
    <w:rPr>
      <w:rFonts w:ascii="Times New Roman" w:eastAsia="Times New Roman" w:hAnsi="Times New Roman" w:cs="Times New Roman"/>
      <w:sz w:val="24"/>
    </w:rPr>
  </w:style>
  <w:style w:type="table" w:styleId="Tabela-Siatka">
    <w:name w:val="Table Grid"/>
    <w:basedOn w:val="Standardowy"/>
    <w:uiPriority w:val="39"/>
    <w:rsid w:val="009B542B"/>
    <w:pPr>
      <w:spacing w:after="0" w:line="240" w:lineRule="auto"/>
    </w:pPr>
    <w:rPr>
      <w:rFonts w:ascii="Inconsolata SemiExpanded Light" w:eastAsia="Times New Roman" w:hAnsi="Inconsolata SemiExpanded Light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B542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9B542B"/>
    <w:rPr>
      <w:rFonts w:ascii="Calibri" w:eastAsia="Times New Roma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B54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B542B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9B542B"/>
    <w:rPr>
      <w:rFonts w:cs="Times New Roman"/>
      <w:sz w:val="16"/>
      <w:szCs w:val="16"/>
    </w:rPr>
  </w:style>
  <w:style w:type="paragraph" w:styleId="Tekstprzypisudolnego">
    <w:name w:val="footnote text"/>
    <w:aliases w:val="Schriftart: 9 pt,Schriftart: 10 pt,Schriftart: 8 pt,WB-Fußnotentext,FoodNote,ft,Footnote Text Char Char,Footnote Text Char1 Char Char,Footnote Text Char Char Char Char,fn,f,Char,Voetnoottekst Char,Przypis,OM Footnote Text,Znak"/>
    <w:basedOn w:val="Normalny"/>
    <w:link w:val="TekstprzypisudolnegoZnak"/>
    <w:uiPriority w:val="99"/>
    <w:unhideWhenUsed/>
    <w:qFormat/>
    <w:rsid w:val="009B54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Char Char Znak,Footnote Text Char1 Char Char Znak,Footnote Text Char Char Char Char Znak,fn Znak"/>
    <w:basedOn w:val="Domylnaczcionkaakapitu"/>
    <w:link w:val="Tekstprzypisudolnego"/>
    <w:uiPriority w:val="99"/>
    <w:rsid w:val="009B542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Nota,FZ"/>
    <w:basedOn w:val="Domylnaczcionkaakapitu"/>
    <w:uiPriority w:val="99"/>
    <w:unhideWhenUsed/>
    <w:qFormat/>
    <w:rsid w:val="009B542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9B542B"/>
    <w:pPr>
      <w:spacing w:before="100" w:beforeAutospacing="1" w:after="100" w:afterAutospacing="1" w:line="240" w:lineRule="auto"/>
    </w:pPr>
    <w:rPr>
      <w:szCs w:val="24"/>
      <w:lang w:eastAsia="pl-PL"/>
    </w:rPr>
  </w:style>
  <w:style w:type="paragraph" w:customStyle="1" w:styleId="N1">
    <w:name w:val="N1"/>
    <w:basedOn w:val="Normalny"/>
    <w:link w:val="N1Znak"/>
    <w:qFormat/>
    <w:rsid w:val="009B542B"/>
    <w:pPr>
      <w:autoSpaceDE w:val="0"/>
      <w:autoSpaceDN w:val="0"/>
      <w:adjustRightInd w:val="0"/>
      <w:spacing w:after="0" w:line="240" w:lineRule="auto"/>
      <w:ind w:left="1065" w:hanging="705"/>
      <w:outlineLvl w:val="0"/>
    </w:pPr>
    <w:rPr>
      <w:b/>
      <w:bCs/>
      <w:color w:val="000000"/>
      <w:sz w:val="28"/>
      <w:szCs w:val="28"/>
    </w:rPr>
  </w:style>
  <w:style w:type="character" w:customStyle="1" w:styleId="N1Znak">
    <w:name w:val="N1 Znak"/>
    <w:basedOn w:val="Domylnaczcionkaakapitu"/>
    <w:link w:val="N1"/>
    <w:locked/>
    <w:rsid w:val="009B542B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FooterCouncil">
    <w:name w:val="Footer Council"/>
    <w:basedOn w:val="Normalny"/>
    <w:link w:val="FooterCouncilChar"/>
    <w:rsid w:val="009B542B"/>
    <w:pPr>
      <w:spacing w:after="0" w:line="240" w:lineRule="auto"/>
    </w:pPr>
    <w:rPr>
      <w:sz w:val="2"/>
      <w:lang w:val="en-GB"/>
    </w:rPr>
  </w:style>
  <w:style w:type="character" w:customStyle="1" w:styleId="FooterCouncilChar">
    <w:name w:val="Footer Council Char"/>
    <w:basedOn w:val="Domylnaczcionkaakapitu"/>
    <w:link w:val="FooterCouncil"/>
    <w:locked/>
    <w:rsid w:val="009B542B"/>
    <w:rPr>
      <w:rFonts w:ascii="Times New Roman" w:eastAsia="Times New Roman" w:hAnsi="Times New Roman" w:cs="Times New Roman"/>
      <w:sz w:val="2"/>
      <w:lang w:val="en-GB"/>
    </w:rPr>
  </w:style>
  <w:style w:type="character" w:styleId="Wyrnieniedelikatne">
    <w:name w:val="Subtle Emphasis"/>
    <w:basedOn w:val="Domylnaczcionkaakapitu"/>
    <w:uiPriority w:val="19"/>
    <w:qFormat/>
    <w:rsid w:val="009B542B"/>
    <w:rPr>
      <w:rFonts w:ascii="Arial" w:hAnsi="Arial" w:cs="Times New Roman"/>
      <w:i/>
      <w:color w:val="80808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42B"/>
    <w:rPr>
      <w:rFonts w:ascii="Segoe UI" w:eastAsia="Times New Roman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93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j-ti-art">
    <w:name w:val="oj-ti-art"/>
    <w:basedOn w:val="Normalny"/>
    <w:rsid w:val="00997C9A"/>
    <w:pPr>
      <w:spacing w:before="100" w:beforeAutospacing="1" w:after="100" w:afterAutospacing="1" w:line="240" w:lineRule="auto"/>
    </w:pPr>
    <w:rPr>
      <w:szCs w:val="24"/>
      <w:lang w:eastAsia="pl-PL"/>
    </w:rPr>
  </w:style>
  <w:style w:type="paragraph" w:customStyle="1" w:styleId="oj-sti-art">
    <w:name w:val="oj-sti-art"/>
    <w:basedOn w:val="Normalny"/>
    <w:rsid w:val="00997C9A"/>
    <w:pPr>
      <w:spacing w:before="100" w:beforeAutospacing="1" w:after="100" w:afterAutospacing="1" w:line="240" w:lineRule="auto"/>
    </w:pPr>
    <w:rPr>
      <w:szCs w:val="24"/>
      <w:lang w:eastAsia="pl-PL"/>
    </w:rPr>
  </w:style>
  <w:style w:type="paragraph" w:customStyle="1" w:styleId="oj-normal">
    <w:name w:val="oj-normal"/>
    <w:basedOn w:val="Normalny"/>
    <w:rsid w:val="00997C9A"/>
    <w:pPr>
      <w:spacing w:before="100" w:beforeAutospacing="1" w:after="100" w:afterAutospacing="1" w:line="240" w:lineRule="auto"/>
    </w:pPr>
    <w:rPr>
      <w:szCs w:val="24"/>
      <w:lang w:eastAsia="pl-PL"/>
    </w:rPr>
  </w:style>
  <w:style w:type="paragraph" w:customStyle="1" w:styleId="oj-doc-ti">
    <w:name w:val="oj-doc-ti"/>
    <w:basedOn w:val="Normalny"/>
    <w:rsid w:val="00F90996"/>
    <w:pPr>
      <w:spacing w:before="100" w:beforeAutospacing="1" w:after="100" w:afterAutospacing="1" w:line="240" w:lineRule="auto"/>
    </w:pPr>
    <w:rPr>
      <w:szCs w:val="24"/>
      <w:lang w:eastAsia="pl-PL"/>
    </w:rPr>
  </w:style>
  <w:style w:type="paragraph" w:customStyle="1" w:styleId="Default">
    <w:name w:val="Default"/>
    <w:rsid w:val="00DE1E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4B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4BD9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4BD9"/>
    <w:rPr>
      <w:vertAlign w:val="superscript"/>
    </w:rPr>
  </w:style>
  <w:style w:type="paragraph" w:styleId="Poprawka">
    <w:name w:val="Revision"/>
    <w:hidden/>
    <w:uiPriority w:val="99"/>
    <w:semiHidden/>
    <w:rsid w:val="005A672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062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3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0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7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prow.slaskie.pl/czytaj/wybor_strategii_rozwoju_lokalnego_kierowanego_przez_spolecznosc_na_nowy_okres_programowania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7" ma:contentTypeDescription="Utwórz nowy dokument." ma:contentTypeScope="" ma:versionID="9a80bd34f962d241bad3a792298b84e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995a8f70d37e00277dcdf80141cf6f04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7D2FE-29BC-4F54-AEAD-538A9952B2F0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2CEC1BCB-3C4E-4B3F-8052-5F5AF0B5E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88C3F5-50C7-4A79-B352-B1BB79B253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8126F-996B-47E1-B3CF-DBA3F559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5226</Words>
  <Characters>31358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 FEW</dc:creator>
  <cp:keywords/>
  <dc:description/>
  <cp:lastModifiedBy>Krawiec Radosław</cp:lastModifiedBy>
  <cp:revision>4</cp:revision>
  <cp:lastPrinted>2022-12-01T15:09:00Z</cp:lastPrinted>
  <dcterms:created xsi:type="dcterms:W3CDTF">2024-10-31T09:38:00Z</dcterms:created>
  <dcterms:modified xsi:type="dcterms:W3CDTF">2024-11-28T09:16:00Z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