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42B5E" w14:textId="0D9B36BF" w:rsidR="00D0117A" w:rsidRPr="00D0117A" w:rsidRDefault="00D0117A" w:rsidP="00D0117A">
      <w:pPr>
        <w:keepNext/>
        <w:keepLines/>
        <w:spacing w:before="40" w:after="200" w:line="360" w:lineRule="auto"/>
        <w:outlineLvl w:val="1"/>
        <w:rPr>
          <w:rFonts w:eastAsia="Calibri" w:cs="Arial"/>
          <w:szCs w:val="24"/>
        </w:rPr>
      </w:pPr>
      <w:bookmarkStart w:id="0" w:name="_Toc136335954"/>
      <w:r w:rsidRPr="00D0117A">
        <w:rPr>
          <w:rFonts w:eastAsia="Times New Roman" w:cs="Arial"/>
          <w:b/>
          <w:color w:val="2E74B5"/>
          <w:szCs w:val="24"/>
        </w:rPr>
        <w:t>Załącznik nr 2 do Regulaminu wyboru projektów dla działania FESL.</w:t>
      </w:r>
      <w:r>
        <w:rPr>
          <w:rFonts w:eastAsia="Times New Roman" w:cs="Arial"/>
          <w:b/>
          <w:color w:val="2E74B5"/>
          <w:szCs w:val="24"/>
        </w:rPr>
        <w:t>0</w:t>
      </w:r>
      <w:r w:rsidR="006929C5">
        <w:rPr>
          <w:rFonts w:eastAsia="Times New Roman" w:cs="Arial"/>
          <w:b/>
          <w:color w:val="2E74B5"/>
          <w:szCs w:val="24"/>
        </w:rPr>
        <w:t>5</w:t>
      </w:r>
      <w:r w:rsidRPr="00D0117A">
        <w:rPr>
          <w:rFonts w:eastAsia="Times New Roman" w:cs="Arial"/>
          <w:b/>
          <w:color w:val="2E74B5"/>
          <w:szCs w:val="24"/>
        </w:rPr>
        <w:t>.</w:t>
      </w:r>
      <w:r w:rsidR="006929C5">
        <w:rPr>
          <w:rFonts w:eastAsia="Times New Roman" w:cs="Arial"/>
          <w:b/>
          <w:color w:val="2E74B5"/>
          <w:szCs w:val="24"/>
        </w:rPr>
        <w:t>13</w:t>
      </w:r>
      <w:r w:rsidRPr="00D0117A">
        <w:rPr>
          <w:rFonts w:eastAsia="Times New Roman" w:cs="Arial"/>
          <w:b/>
          <w:color w:val="2E74B5"/>
          <w:szCs w:val="24"/>
        </w:rPr>
        <w:t xml:space="preserve"> - </w:t>
      </w:r>
      <w:r w:rsidR="00FA0ED1">
        <w:rPr>
          <w:rFonts w:eastAsia="Times New Roman" w:cs="Arial"/>
          <w:b/>
          <w:color w:val="2E74B5"/>
          <w:szCs w:val="24"/>
        </w:rPr>
        <w:t>W</w:t>
      </w:r>
      <w:r w:rsidRPr="00D0117A">
        <w:rPr>
          <w:rFonts w:eastAsia="Times New Roman" w:cs="Arial"/>
          <w:b/>
          <w:color w:val="2E74B5"/>
          <w:szCs w:val="24"/>
        </w:rPr>
        <w:t>skaźniki</w:t>
      </w:r>
      <w:bookmarkEnd w:id="0"/>
    </w:p>
    <w:p w14:paraId="3430B50D" w14:textId="77777777" w:rsidR="00D0117A" w:rsidRPr="00D0117A" w:rsidRDefault="00D0117A" w:rsidP="00D0117A">
      <w:pPr>
        <w:spacing w:after="200" w:line="360" w:lineRule="auto"/>
        <w:rPr>
          <w:rFonts w:eastAsia="Calibri" w:cs="Arial"/>
          <w:szCs w:val="24"/>
        </w:rPr>
      </w:pPr>
      <w:bookmarkStart w:id="1" w:name="_Zał._nr_3:"/>
      <w:bookmarkEnd w:id="1"/>
    </w:p>
    <w:p w14:paraId="4B9E8FF6" w14:textId="77777777" w:rsidR="00D0117A" w:rsidRPr="00D0117A" w:rsidRDefault="00D0117A" w:rsidP="00D0117A">
      <w:pPr>
        <w:spacing w:after="200" w:line="360" w:lineRule="auto"/>
        <w:jc w:val="both"/>
        <w:rPr>
          <w:rFonts w:eastAsia="Calibri" w:cs="Arial"/>
          <w:color w:val="000000"/>
          <w:szCs w:val="24"/>
        </w:rPr>
      </w:pPr>
      <w:r w:rsidRPr="00D0117A">
        <w:rPr>
          <w:rFonts w:eastAsia="Calibri" w:cs="Arial"/>
          <w:color w:val="000000"/>
          <w:szCs w:val="24"/>
        </w:rPr>
        <w:t>Z listy rozwijanej we wniosku o dofinansowanie wybierz wskaźniki z poniższych tabel, z uwzględnieniem następujących zasad:</w:t>
      </w:r>
    </w:p>
    <w:p w14:paraId="1D059AD9" w14:textId="24A15A78" w:rsidR="00D0117A" w:rsidRPr="00D0117A" w:rsidRDefault="00D0117A" w:rsidP="00D0117A">
      <w:pPr>
        <w:numPr>
          <w:ilvl w:val="0"/>
          <w:numId w:val="3"/>
        </w:numPr>
        <w:spacing w:before="120" w:after="200" w:line="360" w:lineRule="auto"/>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produktu</w:t>
      </w:r>
      <w:r w:rsidRPr="00D0117A">
        <w:rPr>
          <w:rFonts w:eastAsia="Calibri" w:cs="Arial"/>
          <w:color w:val="000000"/>
          <w:szCs w:val="24"/>
        </w:rPr>
        <w:t xml:space="preserve"> (tabela 1) oraz wskaźnik</w:t>
      </w:r>
      <w:r w:rsidR="00C53F07">
        <w:rPr>
          <w:rFonts w:eastAsia="Calibri" w:cs="Arial"/>
          <w:color w:val="000000"/>
          <w:szCs w:val="24"/>
        </w:rPr>
        <w:t>i</w:t>
      </w:r>
      <w:r w:rsidRPr="00D0117A">
        <w:rPr>
          <w:rFonts w:eastAsia="Calibri" w:cs="Arial"/>
          <w:color w:val="000000"/>
          <w:szCs w:val="24"/>
        </w:rPr>
        <w:t xml:space="preserve"> </w:t>
      </w:r>
      <w:r w:rsidRPr="00D0117A">
        <w:rPr>
          <w:rFonts w:eastAsia="Calibri" w:cs="Arial"/>
          <w:b/>
          <w:bCs/>
          <w:color w:val="000000"/>
          <w:szCs w:val="24"/>
        </w:rPr>
        <w:t>rezultatu</w:t>
      </w:r>
      <w:r w:rsidRPr="00D0117A">
        <w:rPr>
          <w:rFonts w:eastAsia="Calibri" w:cs="Arial"/>
          <w:color w:val="000000"/>
          <w:szCs w:val="24"/>
        </w:rPr>
        <w:t xml:space="preserve"> (tabela 2) – wybierz te, które odnoszą się do Twojego projektu, czyli są </w:t>
      </w:r>
      <w:r w:rsidRPr="00D0117A">
        <w:rPr>
          <w:rFonts w:eastAsia="Calibri" w:cs="Arial"/>
          <w:color w:val="000000"/>
          <w:szCs w:val="24"/>
          <w:u w:val="single"/>
        </w:rPr>
        <w:t>adekwatne</w:t>
      </w:r>
      <w:r w:rsidRPr="00D0117A">
        <w:rPr>
          <w:rFonts w:eastAsia="Calibri" w:cs="Arial"/>
          <w:color w:val="000000"/>
          <w:szCs w:val="24"/>
        </w:rPr>
        <w:t xml:space="preserve"> do osób bądź podmiotów obejmowanych daną formą wsparcia; jeśli w tabeli wskazano, że dany wskaźnik ma charakter obligatoryjny – wybierz go bez względu na zakres Twojego projektu.</w:t>
      </w:r>
    </w:p>
    <w:p w14:paraId="7B123F6F" w14:textId="5DAF0402" w:rsidR="00D0117A" w:rsidRPr="00D0117A" w:rsidRDefault="00D0117A" w:rsidP="00D0117A">
      <w:pPr>
        <w:numPr>
          <w:ilvl w:val="0"/>
          <w:numId w:val="3"/>
        </w:numPr>
        <w:spacing w:before="120" w:after="200" w:line="360" w:lineRule="auto"/>
        <w:ind w:left="714" w:hanging="357"/>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monitoringowe</w:t>
      </w:r>
      <w:r w:rsidRPr="00D0117A">
        <w:rPr>
          <w:rFonts w:eastAsia="Calibri" w:cs="Arial"/>
          <w:color w:val="000000"/>
          <w:szCs w:val="24"/>
        </w:rPr>
        <w:t xml:space="preserve"> (tabele 3</w:t>
      </w:r>
      <w:r w:rsidR="00947A30">
        <w:rPr>
          <w:rFonts w:eastAsia="Calibri" w:cs="Arial"/>
          <w:color w:val="000000"/>
          <w:szCs w:val="24"/>
        </w:rPr>
        <w:t xml:space="preserve"> - </w:t>
      </w:r>
      <w:r w:rsidRPr="00D0117A">
        <w:rPr>
          <w:rFonts w:eastAsia="Calibri" w:cs="Arial"/>
          <w:color w:val="000000"/>
          <w:szCs w:val="24"/>
        </w:rPr>
        <w:t xml:space="preserve">5) – są obligatoryjne dla wszystkich projektów, dlatego wybierz </w:t>
      </w:r>
      <w:r w:rsidRPr="00D0117A">
        <w:rPr>
          <w:rFonts w:eastAsia="Calibri" w:cs="Arial"/>
          <w:color w:val="000000"/>
          <w:szCs w:val="24"/>
          <w:u w:val="single"/>
        </w:rPr>
        <w:t>wszystkie</w:t>
      </w:r>
      <w:r w:rsidRPr="00D0117A">
        <w:rPr>
          <w:rFonts w:eastAsia="Calibri" w:cs="Arial"/>
          <w:color w:val="000000"/>
          <w:szCs w:val="24"/>
        </w:rPr>
        <w:t xml:space="preserve"> podane w tabelach, bez względu na to, jaką grupę odbiorców wspierasz w Twoim projekcie i jakiego rodzaju wsparcia im udzielasz.</w:t>
      </w:r>
    </w:p>
    <w:p w14:paraId="061885E8" w14:textId="77777777" w:rsidR="00D0117A" w:rsidRPr="00D0117A" w:rsidRDefault="00D0117A" w:rsidP="00D0117A">
      <w:pPr>
        <w:numPr>
          <w:ilvl w:val="0"/>
          <w:numId w:val="3"/>
        </w:numPr>
        <w:spacing w:before="120" w:after="200" w:line="360" w:lineRule="auto"/>
        <w:ind w:left="714" w:hanging="357"/>
        <w:contextualSpacing/>
        <w:jc w:val="both"/>
        <w:rPr>
          <w:rFonts w:eastAsia="Calibri" w:cs="Arial"/>
          <w:szCs w:val="24"/>
        </w:rPr>
      </w:pPr>
      <w:r w:rsidRPr="00D0117A">
        <w:rPr>
          <w:rFonts w:eastAsia="Calibri" w:cs="Arial"/>
          <w:szCs w:val="24"/>
          <w:u w:val="single"/>
        </w:rPr>
        <w:t xml:space="preserve">Wskaźniki </w:t>
      </w:r>
      <w:r w:rsidRPr="00D0117A">
        <w:rPr>
          <w:rFonts w:eastAsia="Calibri" w:cs="Arial"/>
          <w:b/>
          <w:bCs/>
          <w:szCs w:val="24"/>
          <w:u w:val="single"/>
        </w:rPr>
        <w:t xml:space="preserve">specyficzne dla projektu </w:t>
      </w:r>
      <w:r w:rsidRPr="00D0117A">
        <w:rPr>
          <w:rFonts w:eastAsia="Calibri" w:cs="Arial"/>
          <w:szCs w:val="24"/>
          <w:u w:val="single"/>
        </w:rPr>
        <w:t>(tabela 6) - wybierz te, które odnoszą się do Twojego projektu, czyli są adekwatne do osób bądź podmiotów obejmowanych daną formą wsparcia; jeśli w tabeli wskazano, że dany wskaźnik ma charakter obligatoryjny – wybierz go bez względu na zakres Twojego projektu.</w:t>
      </w:r>
      <w:r w:rsidRPr="00D0117A">
        <w:rPr>
          <w:rFonts w:eastAsia="Calibri" w:cs="Arial"/>
          <w:szCs w:val="24"/>
        </w:rPr>
        <w:t> </w:t>
      </w:r>
    </w:p>
    <w:p w14:paraId="75D5BD11" w14:textId="77777777" w:rsidR="00D0117A" w:rsidRPr="00D0117A" w:rsidRDefault="00D0117A" w:rsidP="00D0117A">
      <w:pPr>
        <w:spacing w:before="240" w:after="200" w:line="360" w:lineRule="auto"/>
        <w:jc w:val="both"/>
        <w:rPr>
          <w:rFonts w:eastAsia="Calibri" w:cs="Arial"/>
          <w:color w:val="000000"/>
          <w:szCs w:val="24"/>
        </w:rPr>
      </w:pPr>
      <w:r w:rsidRPr="00D0117A">
        <w:rPr>
          <w:rFonts w:eastAsia="Calibri" w:cs="Arial"/>
          <w:color w:val="000000"/>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23C32053" w14:textId="77777777" w:rsidR="00D0117A" w:rsidRPr="00D0117A" w:rsidRDefault="00D0117A" w:rsidP="00D0117A">
      <w:pPr>
        <w:spacing w:after="200" w:line="360" w:lineRule="auto"/>
        <w:jc w:val="both"/>
        <w:rPr>
          <w:rFonts w:eastAsia="Calibri" w:cs="Arial"/>
          <w:color w:val="000000"/>
          <w:szCs w:val="24"/>
        </w:rPr>
      </w:pPr>
      <w:r w:rsidRPr="00D0117A">
        <w:rPr>
          <w:rFonts w:eastAsia="Calibri" w:cs="Arial"/>
          <w:color w:val="000000"/>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14:paraId="7FE3868B" w14:textId="080ADF4A" w:rsidR="00D0117A" w:rsidRPr="00D0117A" w:rsidRDefault="00D0117A" w:rsidP="00D0117A">
      <w:pPr>
        <w:spacing w:after="200" w:line="360" w:lineRule="auto"/>
        <w:rPr>
          <w:rFonts w:eastAsia="Calibri" w:cs="Arial"/>
          <w:color w:val="000000"/>
          <w:szCs w:val="24"/>
        </w:rPr>
      </w:pPr>
      <w:r w:rsidRPr="00D0117A">
        <w:rPr>
          <w:rFonts w:eastAsia="Calibri" w:cs="Arial"/>
          <w:color w:val="000000"/>
          <w:szCs w:val="24"/>
        </w:rPr>
        <w:t>Zapoznaj się również z podstawowymi zasadami monitorowania wskaźników określonymi w Podrozdziale 3.3 „Wytycznych dotyczących monitorowania postępu rzeczowego realizacji programów na lata 2021-2027”.</w:t>
      </w:r>
    </w:p>
    <w:p w14:paraId="489C90CC" w14:textId="3DE7C7A9" w:rsidR="00CE3683" w:rsidRPr="00D0117A" w:rsidRDefault="00CE3683" w:rsidP="00D0117A">
      <w:pPr>
        <w:pStyle w:val="Nagwek1"/>
        <w:rPr>
          <w:rFonts w:eastAsia="Calibri"/>
          <w:sz w:val="24"/>
        </w:rPr>
      </w:pPr>
      <w:r w:rsidRPr="00D0117A">
        <w:rPr>
          <w:rFonts w:eastAsia="Calibri"/>
          <w:sz w:val="24"/>
        </w:rPr>
        <w:lastRenderedPageBreak/>
        <w:t>Wskaźniki produktu</w:t>
      </w:r>
    </w:p>
    <w:tbl>
      <w:tblPr>
        <w:tblStyle w:val="Tabelasiatki1jasna"/>
        <w:tblW w:w="15309" w:type="dxa"/>
        <w:tblInd w:w="-431" w:type="dxa"/>
        <w:tblLayout w:type="fixed"/>
        <w:tblLook w:val="04A0" w:firstRow="1" w:lastRow="0" w:firstColumn="1" w:lastColumn="0" w:noHBand="0" w:noVBand="1"/>
        <w:tblCaption w:val="Wskaźniki produktu "/>
        <w:tblDescription w:val="W tabeli przedstawiono wskaźniki produktu wdrażane przez Departament Europejskiego Funduszu Społecznego w ramach EFS+. "/>
      </w:tblPr>
      <w:tblGrid>
        <w:gridCol w:w="1404"/>
        <w:gridCol w:w="1999"/>
        <w:gridCol w:w="1418"/>
        <w:gridCol w:w="1559"/>
        <w:gridCol w:w="3402"/>
        <w:gridCol w:w="1843"/>
        <w:gridCol w:w="1842"/>
        <w:gridCol w:w="1842"/>
      </w:tblGrid>
      <w:tr w:rsidR="006435F3" w:rsidRPr="005564A4" w14:paraId="1DEDD244" w14:textId="5302ED47" w:rsidTr="00B360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396BBDF9" w14:textId="77777777" w:rsidR="006435F3" w:rsidRPr="005564A4" w:rsidRDefault="006435F3" w:rsidP="00822200">
            <w:pPr>
              <w:spacing w:after="160" w:line="360" w:lineRule="auto"/>
              <w:jc w:val="center"/>
              <w:rPr>
                <w:rFonts w:eastAsia="Calibri" w:cs="Arial"/>
                <w:szCs w:val="24"/>
              </w:rPr>
            </w:pPr>
            <w:r w:rsidRPr="005564A4">
              <w:rPr>
                <w:rFonts w:eastAsia="Calibri" w:cs="Arial"/>
                <w:szCs w:val="24"/>
              </w:rPr>
              <w:t>Kod wskaźnika</w:t>
            </w:r>
          </w:p>
        </w:tc>
        <w:tc>
          <w:tcPr>
            <w:tcW w:w="1999" w:type="dxa"/>
            <w:shd w:val="clear" w:color="auto" w:fill="D9D9D9" w:themeFill="background1" w:themeFillShade="D9"/>
            <w:vAlign w:val="center"/>
          </w:tcPr>
          <w:p w14:paraId="7563C774" w14:textId="77777777"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18" w:type="dxa"/>
            <w:shd w:val="clear" w:color="auto" w:fill="D9D9D9" w:themeFill="background1" w:themeFillShade="D9"/>
            <w:vAlign w:val="center"/>
          </w:tcPr>
          <w:p w14:paraId="0FE7B0B8" w14:textId="30DA988C" w:rsidR="006435F3" w:rsidRPr="005564A4" w:rsidRDefault="00176B8D"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006435F3" w:rsidRPr="005564A4">
              <w:rPr>
                <w:rFonts w:eastAsia="Calibri" w:cs="Arial"/>
                <w:szCs w:val="24"/>
              </w:rPr>
              <w:t>ednostka miary</w:t>
            </w:r>
          </w:p>
        </w:tc>
        <w:tc>
          <w:tcPr>
            <w:tcW w:w="1559" w:type="dxa"/>
            <w:shd w:val="clear" w:color="auto" w:fill="D9D9D9" w:themeFill="background1" w:themeFillShade="D9"/>
            <w:vAlign w:val="center"/>
          </w:tcPr>
          <w:p w14:paraId="13D897A4" w14:textId="2628DF33" w:rsidR="006435F3"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5564A4">
              <w:rPr>
                <w:rFonts w:eastAsia="Calibri" w:cs="Arial"/>
                <w:szCs w:val="24"/>
              </w:rPr>
              <w:t>Wartość</w:t>
            </w:r>
          </w:p>
          <w:p w14:paraId="467334D2" w14:textId="4263223F"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docelowa</w:t>
            </w:r>
          </w:p>
        </w:tc>
        <w:tc>
          <w:tcPr>
            <w:tcW w:w="3402" w:type="dxa"/>
            <w:shd w:val="clear" w:color="auto" w:fill="D9D9D9" w:themeFill="background1" w:themeFillShade="D9"/>
            <w:vAlign w:val="center"/>
          </w:tcPr>
          <w:p w14:paraId="4CBE3C0C" w14:textId="30F2266C"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w:t>
            </w:r>
          </w:p>
        </w:tc>
        <w:tc>
          <w:tcPr>
            <w:tcW w:w="1843" w:type="dxa"/>
            <w:shd w:val="clear" w:color="auto" w:fill="D9D9D9" w:themeFill="background1" w:themeFillShade="D9"/>
            <w:vAlign w:val="center"/>
          </w:tcPr>
          <w:p w14:paraId="39127772" w14:textId="14C8E4E4"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842" w:type="dxa"/>
            <w:shd w:val="clear" w:color="auto" w:fill="D9D9D9" w:themeFill="background1" w:themeFillShade="D9"/>
            <w:vAlign w:val="center"/>
          </w:tcPr>
          <w:p w14:paraId="147D1726" w14:textId="0AA18B09" w:rsidR="006435F3" w:rsidRPr="005564A4" w:rsidRDefault="006435F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tcW w:w="1842" w:type="dxa"/>
            <w:shd w:val="clear" w:color="auto" w:fill="D9D9D9" w:themeFill="background1" w:themeFillShade="D9"/>
          </w:tcPr>
          <w:p w14:paraId="325596C8" w14:textId="737526FA" w:rsidR="006435F3" w:rsidRDefault="006435F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6435F3" w:rsidRPr="005564A4" w14:paraId="5CAEA938" w14:textId="1C9DCA74" w:rsidTr="06B082DB">
        <w:tc>
          <w:tcPr>
            <w:cnfStyle w:val="001000000000" w:firstRow="0" w:lastRow="0" w:firstColumn="1" w:lastColumn="0" w:oddVBand="0" w:evenVBand="0" w:oddHBand="0" w:evenHBand="0" w:firstRowFirstColumn="0" w:firstRowLastColumn="0" w:lastRowFirstColumn="0" w:lastRowLastColumn="0"/>
            <w:tcW w:w="1404" w:type="dxa"/>
          </w:tcPr>
          <w:p w14:paraId="47A83CCA" w14:textId="0D1AB695" w:rsidR="006435F3" w:rsidRPr="005564A4" w:rsidRDefault="007C79C8" w:rsidP="00D95A80">
            <w:pPr>
              <w:spacing w:after="160" w:line="360" w:lineRule="auto"/>
              <w:rPr>
                <w:rFonts w:eastAsia="Calibri" w:cs="Arial"/>
                <w:b w:val="0"/>
                <w:szCs w:val="24"/>
              </w:rPr>
            </w:pPr>
            <w:r w:rsidRPr="007C79C8">
              <w:rPr>
                <w:rFonts w:eastAsia="Calibri" w:cs="Arial"/>
                <w:szCs w:val="24"/>
              </w:rPr>
              <w:t>PLDCO08</w:t>
            </w:r>
          </w:p>
        </w:tc>
        <w:tc>
          <w:tcPr>
            <w:tcW w:w="1999" w:type="dxa"/>
          </w:tcPr>
          <w:p w14:paraId="1C30F32B" w14:textId="5B5D7A42" w:rsidR="006435F3" w:rsidRPr="002B4306" w:rsidRDefault="007C79C8" w:rsidP="00336283">
            <w:pPr>
              <w:spacing w:after="160" w:line="360" w:lineRule="auto"/>
              <w:ind w:right="154"/>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7C79C8">
              <w:rPr>
                <w:rFonts w:eastAsia="Calibri" w:cs="Arial"/>
                <w:b/>
                <w:szCs w:val="24"/>
              </w:rPr>
              <w:t xml:space="preserve">Liczba osób objętych wsparciem w obszarze zdrowia </w:t>
            </w:r>
          </w:p>
        </w:tc>
        <w:tc>
          <w:tcPr>
            <w:tcW w:w="1418" w:type="dxa"/>
          </w:tcPr>
          <w:p w14:paraId="1CED6DAC" w14:textId="2D19E00D"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559" w:type="dxa"/>
          </w:tcPr>
          <w:p w14:paraId="5B952A09" w14:textId="57A8D49E" w:rsidR="006435F3" w:rsidRPr="00E72F47" w:rsidRDefault="00CA2D2A"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E72F47">
              <w:rPr>
                <w:rFonts w:eastAsia="Calibri" w:cs="Arial"/>
                <w:szCs w:val="24"/>
              </w:rPr>
              <w:t>2 762</w:t>
            </w:r>
            <w:r w:rsidR="00D63823" w:rsidRPr="00E72F47">
              <w:rPr>
                <w:rFonts w:eastAsia="Calibri" w:cs="Arial"/>
                <w:szCs w:val="24"/>
              </w:rPr>
              <w:t xml:space="preserve"> -Wartość docelowa wskaźnika uzyskana dzięki realizacji wszystkich projektów wybranych do dofinansowania w niniejszym naborze.</w:t>
            </w:r>
          </w:p>
        </w:tc>
        <w:tc>
          <w:tcPr>
            <w:tcW w:w="3402" w:type="dxa"/>
          </w:tcPr>
          <w:p w14:paraId="4F3AB6BA" w14:textId="77777777" w:rsidR="00D63823" w:rsidRPr="00D63823" w:rsidRDefault="00D63823" w:rsidP="00D638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63823">
              <w:rPr>
                <w:rFonts w:eastAsia="Calibri" w:cs="Arial"/>
                <w:szCs w:val="24"/>
              </w:rPr>
              <w:t xml:space="preserve">Wskaźnik obejmuje osoby objęte usługami zdrowotnymi w ramach wsparcia w obszarze zdrowia, w tym w ramach programów polityki zdrowotnej współfinansowanych z EFS+. </w:t>
            </w:r>
          </w:p>
          <w:p w14:paraId="1A80DF81" w14:textId="77777777" w:rsidR="00D63823" w:rsidRPr="00D63823" w:rsidRDefault="00D63823" w:rsidP="00D638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63823">
              <w:rPr>
                <w:rFonts w:eastAsia="Calibri" w:cs="Arial"/>
                <w:szCs w:val="24"/>
              </w:rPr>
              <w:t>Pojęcie „program polityki zdrowotnej” należy rozumieć zgodnie z art. 5 pkt 29a ustawy z 27 sierpnia 2004 r. o świadczeniach opieki zdrowotnej finansowanych ze środków publicznych.</w:t>
            </w:r>
          </w:p>
          <w:p w14:paraId="5D0B1AD9" w14:textId="77777777" w:rsidR="00D63823" w:rsidRPr="00D63823" w:rsidRDefault="00D63823" w:rsidP="00D638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63823">
              <w:rPr>
                <w:rFonts w:eastAsia="Calibri" w:cs="Arial"/>
                <w:szCs w:val="24"/>
              </w:rPr>
              <w:lastRenderedPageBreak/>
              <w:t>We wskaźniku należy uwzględnić wszystkie osoby, które otrzymały przynajmniej jedną formę wsparcia w postaci usługi zdrowotnej w ramach wsparcia w obszarze zdrowia, w tym w ramach programu polityki zdrowotnej (w przypadku programu polityki zdrowotnej daną osobę należy uwzględnić w wartości wskaźnika jednokrotnie, niezależnie od liczby i rodzaju form wsparcia, które ta osoba uzyskała w ramach danego programu polityki zdrowotnej).</w:t>
            </w:r>
          </w:p>
          <w:p w14:paraId="42ECE12F" w14:textId="0E11DF83" w:rsidR="006435F3" w:rsidRPr="005564A4" w:rsidRDefault="00D63823" w:rsidP="00D638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63823">
              <w:rPr>
                <w:rFonts w:eastAsia="Calibri" w:cs="Arial"/>
                <w:szCs w:val="24"/>
              </w:rPr>
              <w:lastRenderedPageBreak/>
              <w:t xml:space="preserve">W przypadku wsparcia krótkoterminowego o niskiej intensywności, udzielanego w ramach programu polityki zdrowotnej, osoba otrzymująca tego typu pomoc nie jest uczestnikiem projektu w rozumieniu wytycznych monitorowania (nie ma obowiązku zbierania od takiej osoby pełnego zakresu danych osobowych). IZ zobowiązuje jednak beneficjenta do pozyskania danych osoby, która otrzymała tego typu wsparcie albo jej rodzica albo opiekuna prawnego (imię, nazwisko, </w:t>
            </w:r>
            <w:r w:rsidRPr="00D63823">
              <w:rPr>
                <w:rFonts w:eastAsia="Calibri" w:cs="Arial"/>
                <w:szCs w:val="24"/>
              </w:rPr>
              <w:lastRenderedPageBreak/>
              <w:t>telefon lub e-mail) umożliwiających weryfikację, czy dana osoba faktycznie została objęta wsparciem. Po pozytywnym zweryfikowaniu przez beneficjenta faktu skorzystania danej osoby z usługi zdrowotnej (w ramach programu polityki zdrowotnej), może ona zostać wykazana w wartości wskaźnika, pomimo że nie jest formalnie uznana za uczestnika projektu.</w:t>
            </w:r>
          </w:p>
        </w:tc>
        <w:tc>
          <w:tcPr>
            <w:tcW w:w="1843" w:type="dxa"/>
          </w:tcPr>
          <w:p w14:paraId="60E584E8" w14:textId="46F00C66" w:rsidR="006435F3" w:rsidRPr="005564A4" w:rsidRDefault="004F692E"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lastRenderedPageBreak/>
              <w:t>p</w:t>
            </w:r>
            <w:r w:rsidR="006435F3" w:rsidRPr="005564A4">
              <w:rPr>
                <w:rFonts w:cs="Arial"/>
                <w:szCs w:val="24"/>
              </w:rPr>
              <w:t xml:space="preserve">omiar wskaźnika odbywać się będzie w momencie </w:t>
            </w:r>
            <w:r w:rsidR="00D63823">
              <w:rPr>
                <w:rFonts w:cs="Arial"/>
                <w:szCs w:val="24"/>
              </w:rPr>
              <w:t>otrzymania usługi zdrowotnej</w:t>
            </w:r>
          </w:p>
          <w:p w14:paraId="338EF1D8"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842" w:type="dxa"/>
          </w:tcPr>
          <w:p w14:paraId="0015BADF" w14:textId="2729A13C" w:rsidR="006435F3" w:rsidRPr="005564A4" w:rsidRDefault="004F692E" w:rsidP="00D95A8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cs="Arial"/>
                <w:szCs w:val="24"/>
              </w:rPr>
              <w:t>w</w:t>
            </w:r>
            <w:r w:rsidRPr="00397E0D">
              <w:rPr>
                <w:rFonts w:cs="Arial"/>
                <w:szCs w:val="24"/>
              </w:rPr>
              <w:t>ykaz osób objętych usług</w:t>
            </w:r>
            <w:r>
              <w:rPr>
                <w:rFonts w:cs="Arial"/>
                <w:szCs w:val="24"/>
              </w:rPr>
              <w:t>ą</w:t>
            </w:r>
            <w:r w:rsidRPr="00397E0D">
              <w:rPr>
                <w:rFonts w:cs="Arial"/>
                <w:szCs w:val="24"/>
              </w:rPr>
              <w:t xml:space="preserve"> zdrowotną (wykaz uwzględnia rodzaj usługi wraz ze wskazaniem daty i potwierdzenie udziału pracownika – podpis pracownika)</w:t>
            </w:r>
          </w:p>
        </w:tc>
        <w:tc>
          <w:tcPr>
            <w:tcW w:w="1842" w:type="dxa"/>
          </w:tcPr>
          <w:p w14:paraId="6C6C81F4" w14:textId="05AAA580" w:rsidR="006435F3" w:rsidRPr="005564A4" w:rsidRDefault="002B4306"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w:t>
            </w:r>
            <w:r w:rsidR="00742E8F">
              <w:rPr>
                <w:rFonts w:cs="Arial"/>
                <w:szCs w:val="24"/>
              </w:rPr>
              <w:t>bligatoryjny</w:t>
            </w:r>
            <w:r w:rsidR="00742E8F">
              <w:rPr>
                <w:rStyle w:val="Odwoanieprzypisudolnego"/>
                <w:rFonts w:cs="Arial"/>
                <w:szCs w:val="24"/>
              </w:rPr>
              <w:footnoteReference w:id="2"/>
            </w:r>
          </w:p>
        </w:tc>
      </w:tr>
    </w:tbl>
    <w:p w14:paraId="17454E4F" w14:textId="77777777" w:rsidR="00E72F47" w:rsidRDefault="00E72F47" w:rsidP="00E72F47">
      <w:pPr>
        <w:pStyle w:val="Nagwek1"/>
        <w:numPr>
          <w:ilvl w:val="0"/>
          <w:numId w:val="0"/>
        </w:numPr>
        <w:ind w:left="792"/>
        <w:rPr>
          <w:rFonts w:eastAsia="Calibri"/>
          <w:sz w:val="24"/>
        </w:rPr>
      </w:pPr>
    </w:p>
    <w:p w14:paraId="3BE6D416" w14:textId="77777777" w:rsidR="00E72F47" w:rsidRDefault="00E72F47">
      <w:pPr>
        <w:spacing w:after="160"/>
        <w:rPr>
          <w:rFonts w:eastAsia="Calibri" w:cstheme="majorBidi"/>
          <w:b/>
          <w:color w:val="2E74B5" w:themeColor="accent1" w:themeShade="BF"/>
          <w:szCs w:val="32"/>
        </w:rPr>
      </w:pPr>
      <w:r>
        <w:rPr>
          <w:rFonts w:eastAsia="Calibri"/>
        </w:rPr>
        <w:br w:type="page"/>
      </w:r>
    </w:p>
    <w:p w14:paraId="02F31498" w14:textId="58D9F05C" w:rsidR="00CE3683" w:rsidRDefault="00CE3683" w:rsidP="00D0117A">
      <w:pPr>
        <w:pStyle w:val="Nagwek1"/>
        <w:rPr>
          <w:rFonts w:eastAsia="Calibri"/>
          <w:sz w:val="24"/>
        </w:rPr>
      </w:pPr>
      <w:r w:rsidRPr="00D0117A">
        <w:rPr>
          <w:rFonts w:eastAsia="Calibri"/>
          <w:sz w:val="24"/>
        </w:rPr>
        <w:lastRenderedPageBreak/>
        <w:t>Wskaźniki rezultatu</w:t>
      </w:r>
    </w:p>
    <w:p w14:paraId="56385092" w14:textId="77777777" w:rsidR="0094783B" w:rsidRPr="0094783B" w:rsidRDefault="0094783B" w:rsidP="0094783B"/>
    <w:tbl>
      <w:tblPr>
        <w:tblStyle w:val="Tabelasiatki1jasna"/>
        <w:tblW w:w="15304" w:type="dxa"/>
        <w:tblInd w:w="-431" w:type="dxa"/>
        <w:tblLook w:val="04A0" w:firstRow="1" w:lastRow="0" w:firstColumn="1" w:lastColumn="0" w:noHBand="0" w:noVBand="1"/>
        <w:tblCaption w:val="Wskaźniki rezultatu"/>
        <w:tblDescription w:val="W tabeli przedstawiono wskaźniki rezultatu wdrażane przez Departament Europejskiego Funduszu Społecznego w ramach EFS+. "/>
      </w:tblPr>
      <w:tblGrid>
        <w:gridCol w:w="1404"/>
        <w:gridCol w:w="1924"/>
        <w:gridCol w:w="1404"/>
        <w:gridCol w:w="1884"/>
        <w:gridCol w:w="3249"/>
        <w:gridCol w:w="1646"/>
        <w:gridCol w:w="1943"/>
        <w:gridCol w:w="1850"/>
      </w:tblGrid>
      <w:tr w:rsidR="00D013D3" w:rsidRPr="005564A4" w14:paraId="2206CF58" w14:textId="6D3F931F" w:rsidTr="00B360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4269B062" w14:textId="77777777" w:rsidR="00D013D3" w:rsidRPr="005564A4" w:rsidRDefault="00D013D3" w:rsidP="00822200">
            <w:pPr>
              <w:spacing w:after="160" w:line="360" w:lineRule="auto"/>
              <w:jc w:val="center"/>
              <w:rPr>
                <w:rFonts w:eastAsia="Calibri" w:cs="Arial"/>
                <w:szCs w:val="24"/>
              </w:rPr>
            </w:pPr>
            <w:r w:rsidRPr="005564A4">
              <w:rPr>
                <w:rFonts w:eastAsia="Calibri" w:cs="Arial"/>
                <w:szCs w:val="24"/>
              </w:rPr>
              <w:t>Kod wskaźnika</w:t>
            </w:r>
          </w:p>
        </w:tc>
        <w:tc>
          <w:tcPr>
            <w:tcW w:w="1924" w:type="dxa"/>
            <w:shd w:val="clear" w:color="auto" w:fill="D9D9D9" w:themeFill="background1" w:themeFillShade="D9"/>
            <w:vAlign w:val="center"/>
          </w:tcPr>
          <w:p w14:paraId="6BA07D0A" w14:textId="77777777"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04" w:type="dxa"/>
            <w:shd w:val="clear" w:color="auto" w:fill="D9D9D9" w:themeFill="background1" w:themeFillShade="D9"/>
            <w:vAlign w:val="center"/>
          </w:tcPr>
          <w:p w14:paraId="06E9C686" w14:textId="41C2AB88"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884" w:type="dxa"/>
            <w:shd w:val="clear" w:color="auto" w:fill="D9D9D9" w:themeFill="background1" w:themeFillShade="D9"/>
            <w:vAlign w:val="center"/>
          </w:tcPr>
          <w:p w14:paraId="5171A6B8" w14:textId="212F80A7"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3249" w:type="dxa"/>
            <w:shd w:val="clear" w:color="auto" w:fill="D9D9D9" w:themeFill="background1" w:themeFillShade="D9"/>
            <w:vAlign w:val="center"/>
          </w:tcPr>
          <w:p w14:paraId="1015C8D9" w14:textId="77777777"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p>
        </w:tc>
        <w:tc>
          <w:tcPr>
            <w:tcW w:w="1646" w:type="dxa"/>
            <w:shd w:val="clear" w:color="auto" w:fill="D9D9D9" w:themeFill="background1" w:themeFillShade="D9"/>
            <w:vAlign w:val="center"/>
          </w:tcPr>
          <w:p w14:paraId="2EC6E4CE" w14:textId="676EF218" w:rsidR="00D013D3" w:rsidRPr="005564A4" w:rsidRDefault="001A0308"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00D013D3" w:rsidRPr="005564A4">
              <w:rPr>
                <w:rFonts w:eastAsia="Calibri" w:cs="Arial"/>
                <w:szCs w:val="24"/>
              </w:rPr>
              <w:t>posób pomiaru</w:t>
            </w:r>
          </w:p>
        </w:tc>
        <w:tc>
          <w:tcPr>
            <w:tcW w:w="1943" w:type="dxa"/>
            <w:shd w:val="clear" w:color="auto" w:fill="D9D9D9" w:themeFill="background1" w:themeFillShade="D9"/>
            <w:vAlign w:val="center"/>
          </w:tcPr>
          <w:p w14:paraId="1F44809D" w14:textId="18E974C3" w:rsidR="00D013D3" w:rsidRPr="005564A4" w:rsidRDefault="001A0308"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tcW w:w="1850" w:type="dxa"/>
            <w:shd w:val="clear" w:color="auto" w:fill="D9D9D9" w:themeFill="background1" w:themeFillShade="D9"/>
          </w:tcPr>
          <w:p w14:paraId="626B8C49" w14:textId="77777777" w:rsidR="00D013D3" w:rsidRDefault="00D013D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p>
          <w:p w14:paraId="3AFC0499" w14:textId="15F0B2D5" w:rsidR="00D013D3" w:rsidRPr="005564A4" w:rsidRDefault="00D013D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D013D3" w:rsidRPr="005564A4" w14:paraId="0E6F4896" w14:textId="7CF60E3B" w:rsidTr="0094783B">
        <w:tc>
          <w:tcPr>
            <w:cnfStyle w:val="001000000000" w:firstRow="0" w:lastRow="0" w:firstColumn="1" w:lastColumn="0" w:oddVBand="0" w:evenVBand="0" w:oddHBand="0" w:evenHBand="0" w:firstRowFirstColumn="0" w:firstRowLastColumn="0" w:lastRowFirstColumn="0" w:lastRowLastColumn="0"/>
            <w:tcW w:w="1404" w:type="dxa"/>
          </w:tcPr>
          <w:p w14:paraId="5FECB73D" w14:textId="0F4EE72B" w:rsidR="00D013D3" w:rsidRPr="005564A4" w:rsidRDefault="00D63823" w:rsidP="00822200">
            <w:pPr>
              <w:spacing w:after="160" w:line="360" w:lineRule="auto"/>
              <w:rPr>
                <w:rFonts w:eastAsia="Calibri" w:cs="Arial"/>
                <w:szCs w:val="24"/>
              </w:rPr>
            </w:pPr>
            <w:r w:rsidRPr="00D63823">
              <w:rPr>
                <w:rFonts w:eastAsia="Calibri" w:cs="Arial"/>
                <w:szCs w:val="24"/>
              </w:rPr>
              <w:t>PLDCR03</w:t>
            </w:r>
            <w:r w:rsidR="00D013D3" w:rsidRPr="005564A4">
              <w:rPr>
                <w:rFonts w:eastAsia="Calibri" w:cs="Arial"/>
                <w:szCs w:val="24"/>
              </w:rPr>
              <w:t xml:space="preserve"> </w:t>
            </w:r>
          </w:p>
        </w:tc>
        <w:tc>
          <w:tcPr>
            <w:tcW w:w="1924" w:type="dxa"/>
          </w:tcPr>
          <w:p w14:paraId="173E7BED" w14:textId="0A6D1282" w:rsidR="00D013D3" w:rsidRPr="00D013D3" w:rsidRDefault="003542B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542BB">
              <w:rPr>
                <w:rFonts w:eastAsia="Calibri" w:cs="Arial"/>
                <w:b/>
                <w:szCs w:val="24"/>
              </w:rPr>
              <w:t>Liczba osób, które dzięki wsparciu w obszarze zdrowia podjęły pracę lub kontynuowały zatrudnienie</w:t>
            </w:r>
          </w:p>
        </w:tc>
        <w:tc>
          <w:tcPr>
            <w:tcW w:w="1404" w:type="dxa"/>
          </w:tcPr>
          <w:p w14:paraId="5324E1A1"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884" w:type="dxa"/>
          </w:tcPr>
          <w:p w14:paraId="51E55970" w14:textId="392A9A7F" w:rsidR="004F692E" w:rsidRPr="005E539F" w:rsidRDefault="002050E8"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E72F47">
              <w:rPr>
                <w:rFonts w:eastAsia="Calibri" w:cs="Arial"/>
                <w:szCs w:val="24"/>
              </w:rPr>
              <w:t>6 297</w:t>
            </w:r>
            <w:r w:rsidR="004F692E" w:rsidRPr="00E72F47">
              <w:rPr>
                <w:rFonts w:eastAsia="Calibri" w:cs="Arial"/>
                <w:szCs w:val="24"/>
              </w:rPr>
              <w:t xml:space="preserve"> -Wartość docelowa wskaźnika uzyskana dzięki realizacji</w:t>
            </w:r>
            <w:r w:rsidR="004F692E" w:rsidRPr="005E539F">
              <w:rPr>
                <w:rFonts w:eastAsia="Calibri" w:cs="Arial"/>
                <w:szCs w:val="24"/>
              </w:rPr>
              <w:t xml:space="preserve"> wszystkich projektów wybranych do dofinansowania w niniejszym naborze.</w:t>
            </w:r>
          </w:p>
          <w:p w14:paraId="548DD082" w14:textId="77777777" w:rsidR="00D013D3" w:rsidRPr="005564A4" w:rsidRDefault="00D013D3" w:rsidP="00B3608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3249" w:type="dxa"/>
          </w:tcPr>
          <w:p w14:paraId="48EEFCFF" w14:textId="77777777" w:rsidR="003542BB" w:rsidRPr="003542BB" w:rsidRDefault="003542BB" w:rsidP="003542B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542BB">
              <w:rPr>
                <w:rFonts w:eastAsia="Calibri" w:cs="Arial"/>
                <w:szCs w:val="24"/>
              </w:rPr>
              <w:t xml:space="preserve">Wskaźnik mierzy liczbę osób, które dzięki wsparciu EFS+ w zakresie aktywnego i zdrowego starzenia się lub zdrowego środowiska pracy podjęły pracę lub kontynuowały zatrudnienie w dotychczasowym lub w nowym miejscu pracy. </w:t>
            </w:r>
          </w:p>
          <w:p w14:paraId="136C8DF1" w14:textId="77777777" w:rsidR="003542BB" w:rsidRPr="003542BB" w:rsidRDefault="003542BB" w:rsidP="003542B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542BB">
              <w:rPr>
                <w:rFonts w:eastAsia="Calibri" w:cs="Arial"/>
                <w:szCs w:val="24"/>
              </w:rPr>
              <w:t xml:space="preserve">We wskaźniku należy uwzględnić te rodzaje działań prozatrudnieniowych, w przypadku których możliwa </w:t>
            </w:r>
            <w:r w:rsidRPr="003542BB">
              <w:rPr>
                <w:rFonts w:eastAsia="Calibri" w:cs="Arial"/>
                <w:szCs w:val="24"/>
              </w:rPr>
              <w:lastRenderedPageBreak/>
              <w:t>jest weryfikacja, że udział w nich przyczynił się do podjęcia/kontynuacji zatrudnienia (np. wsparcie rehabilitacyjne).</w:t>
            </w:r>
          </w:p>
          <w:p w14:paraId="468E1F15" w14:textId="77777777" w:rsidR="003542BB" w:rsidRPr="003542BB" w:rsidRDefault="003542BB" w:rsidP="003542B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542BB">
              <w:rPr>
                <w:rFonts w:eastAsia="Calibri" w:cs="Arial"/>
                <w:szCs w:val="24"/>
              </w:rPr>
              <w:t>Osoby, które podjęły pracę – liczone są w odniesieniu do osób bezrobotnych i biernych zawodowo, natomiast w przypadku osób kontynuujących zatrudnienie – w odniesieniu do pracujących zagrożonych utratą pracy z przyczyn dotyczących stanu zdrowia.</w:t>
            </w:r>
          </w:p>
          <w:p w14:paraId="554B3BE0" w14:textId="77777777" w:rsidR="003542BB" w:rsidRPr="003B018F" w:rsidRDefault="003542BB" w:rsidP="003542B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542BB">
              <w:rPr>
                <w:rFonts w:eastAsia="Calibri" w:cs="Arial"/>
                <w:szCs w:val="24"/>
              </w:rPr>
              <w:lastRenderedPageBreak/>
              <w:t xml:space="preserve">Definicje osób pracujących, bezrobotnych oraz biernych zawodowo zostały zdefiniowane we </w:t>
            </w:r>
            <w:r w:rsidRPr="003B018F">
              <w:rPr>
                <w:rFonts w:eastAsia="Calibri" w:cs="Arial"/>
                <w:szCs w:val="24"/>
              </w:rPr>
              <w:t>wskaźnikach wspólnych.</w:t>
            </w:r>
          </w:p>
          <w:p w14:paraId="6FF54622" w14:textId="4244D2A5" w:rsidR="00D013D3" w:rsidRPr="005564A4" w:rsidRDefault="003542BB" w:rsidP="003542B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B018F">
              <w:rPr>
                <w:rFonts w:eastAsia="Calibri" w:cs="Arial"/>
                <w:szCs w:val="24"/>
              </w:rPr>
              <w:t>Wskaźnik mierzony do 4 tygodni od zakończenia przez uczestnika udziału w projekcie.</w:t>
            </w:r>
          </w:p>
        </w:tc>
        <w:tc>
          <w:tcPr>
            <w:tcW w:w="1646" w:type="dxa"/>
          </w:tcPr>
          <w:p w14:paraId="2F9073D3" w14:textId="7EECF857" w:rsidR="00D013D3" w:rsidRPr="005564A4" w:rsidRDefault="000E6F22"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lastRenderedPageBreak/>
              <w:t>p</w:t>
            </w:r>
            <w:r w:rsidR="00D013D3" w:rsidRPr="005564A4">
              <w:rPr>
                <w:rFonts w:cs="Arial"/>
                <w:szCs w:val="24"/>
              </w:rPr>
              <w:t xml:space="preserve">omiar wskaźnika odbywać się będzie </w:t>
            </w:r>
            <w:r w:rsidR="003542BB" w:rsidRPr="003542BB">
              <w:rPr>
                <w:rFonts w:cs="Arial"/>
                <w:szCs w:val="24"/>
              </w:rPr>
              <w:t>do 4 tygodni od zakończenia przez uczestnika udziału w projekcie</w:t>
            </w:r>
          </w:p>
          <w:p w14:paraId="53B827AA"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943" w:type="dxa"/>
          </w:tcPr>
          <w:p w14:paraId="71E8E392" w14:textId="3D861434" w:rsidR="00D013D3" w:rsidRPr="005564A4" w:rsidRDefault="00266CD0"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z</w:t>
            </w:r>
            <w:r w:rsidR="003542BB" w:rsidRPr="003542BB">
              <w:rPr>
                <w:rFonts w:eastAsia="Calibri" w:cs="Arial"/>
                <w:szCs w:val="24"/>
              </w:rPr>
              <w:t>aświadczenia o zatrudnieniu lub umowa o pracę - w uzasadnionych przypadkach oświadczenie o zatrudnieniu</w:t>
            </w:r>
            <w:r w:rsidR="005C76B5">
              <w:rPr>
                <w:rStyle w:val="Odwoanieprzypisudolnego"/>
                <w:rFonts w:eastAsia="Calibri" w:cs="Arial"/>
                <w:szCs w:val="24"/>
              </w:rPr>
              <w:footnoteReference w:id="3"/>
            </w:r>
          </w:p>
        </w:tc>
        <w:tc>
          <w:tcPr>
            <w:tcW w:w="1850" w:type="dxa"/>
          </w:tcPr>
          <w:p w14:paraId="068CEBEB" w14:textId="5F3F1E7D" w:rsidR="00D013D3" w:rsidRPr="005564A4" w:rsidRDefault="003542BB"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Obligatoryjny</w:t>
            </w:r>
          </w:p>
        </w:tc>
      </w:tr>
    </w:tbl>
    <w:p w14:paraId="3F91E496" w14:textId="505D4D68" w:rsidR="0094783B" w:rsidRDefault="0094783B" w:rsidP="0094783B">
      <w:bookmarkStart w:id="3" w:name="_Toc1130774097"/>
      <w:bookmarkStart w:id="4" w:name="_Toc160474747"/>
      <w:bookmarkStart w:id="5" w:name="_Toc1047832607"/>
      <w:bookmarkStart w:id="6" w:name="_Toc1184757723"/>
      <w:bookmarkStart w:id="7" w:name="_Toc531604962"/>
      <w:bookmarkStart w:id="8" w:name="_Toc506610869"/>
      <w:bookmarkStart w:id="9" w:name="_Toc1911743628"/>
      <w:bookmarkStart w:id="10" w:name="_Toc725242045"/>
      <w:bookmarkStart w:id="11" w:name="_Toc844931052"/>
      <w:bookmarkStart w:id="12" w:name="_Toc116595432"/>
      <w:bookmarkStart w:id="13" w:name="_Toc94780246"/>
    </w:p>
    <w:p w14:paraId="40580E3F" w14:textId="77777777" w:rsidR="00693641" w:rsidRDefault="00693641">
      <w:pPr>
        <w:spacing w:after="160"/>
        <w:rPr>
          <w:rFonts w:eastAsia="Calibri" w:cstheme="majorBidi"/>
          <w:b/>
          <w:color w:val="2E74B5" w:themeColor="accent1" w:themeShade="BF"/>
          <w:szCs w:val="32"/>
        </w:rPr>
      </w:pPr>
      <w:r>
        <w:rPr>
          <w:rFonts w:eastAsia="Calibri"/>
        </w:rPr>
        <w:br w:type="page"/>
      </w:r>
    </w:p>
    <w:p w14:paraId="6431E825" w14:textId="4B66C31D" w:rsidR="00292241" w:rsidRDefault="00292241" w:rsidP="00D0117A">
      <w:pPr>
        <w:pStyle w:val="Nagwek1"/>
        <w:rPr>
          <w:rFonts w:eastAsia="Calibri"/>
          <w:sz w:val="24"/>
        </w:rPr>
      </w:pPr>
      <w:r w:rsidRPr="00D0117A">
        <w:rPr>
          <w:rFonts w:eastAsia="Calibri"/>
          <w:sz w:val="24"/>
        </w:rPr>
        <w:lastRenderedPageBreak/>
        <w:t>Wskaźniki monitoringowe mierzone we wszystkich celach szczegółowych</w:t>
      </w:r>
      <w:bookmarkEnd w:id="3"/>
      <w:bookmarkEnd w:id="4"/>
      <w:bookmarkEnd w:id="5"/>
      <w:bookmarkEnd w:id="6"/>
      <w:bookmarkEnd w:id="7"/>
      <w:bookmarkEnd w:id="8"/>
      <w:bookmarkEnd w:id="9"/>
      <w:bookmarkEnd w:id="10"/>
      <w:bookmarkEnd w:id="11"/>
      <w:bookmarkEnd w:id="12"/>
      <w:bookmarkEnd w:id="13"/>
    </w:p>
    <w:p w14:paraId="6185555C" w14:textId="77777777" w:rsidR="0094783B" w:rsidRPr="0094783B" w:rsidRDefault="0094783B" w:rsidP="0094783B"/>
    <w:tbl>
      <w:tblPr>
        <w:tblStyle w:val="Tabelasiatki1jasna"/>
        <w:tblW w:w="15304" w:type="dxa"/>
        <w:tblInd w:w="-431" w:type="dxa"/>
        <w:tblLayout w:type="fixed"/>
        <w:tblLook w:val="04A0" w:firstRow="1" w:lastRow="0" w:firstColumn="1" w:lastColumn="0" w:noHBand="0" w:noVBand="1"/>
        <w:tblCaption w:val="Wskaźniki monitoringowe mierzone we wszystkich celach szczegółowych"/>
        <w:tblDescription w:val="W tabeli przedstawiono wskaźniki monitoringowe mierzone we wszystkich celach szczegółowych wdrażane przez Departament Europejskiego Funduszu Społecznego w ramach EFS+. "/>
      </w:tblPr>
      <w:tblGrid>
        <w:gridCol w:w="1404"/>
        <w:gridCol w:w="1852"/>
        <w:gridCol w:w="1417"/>
        <w:gridCol w:w="1701"/>
        <w:gridCol w:w="3402"/>
        <w:gridCol w:w="1559"/>
        <w:gridCol w:w="1985"/>
        <w:gridCol w:w="1984"/>
      </w:tblGrid>
      <w:tr w:rsidR="00C719E2" w:rsidRPr="005564A4" w14:paraId="76AD44EE" w14:textId="2C71BB36" w:rsidTr="00B360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69A3BE36" w14:textId="77777777" w:rsidR="00C719E2" w:rsidRPr="005564A4" w:rsidRDefault="00C719E2" w:rsidP="00B139D0">
            <w:pPr>
              <w:spacing w:after="160" w:line="360" w:lineRule="auto"/>
              <w:jc w:val="center"/>
              <w:rPr>
                <w:rFonts w:eastAsia="Calibri" w:cs="Arial"/>
                <w:szCs w:val="24"/>
              </w:rPr>
            </w:pPr>
            <w:bookmarkStart w:id="14" w:name="_Hlk130813203"/>
            <w:bookmarkStart w:id="15" w:name="_Hlk130555740"/>
            <w:r w:rsidRPr="005564A4">
              <w:rPr>
                <w:rFonts w:eastAsia="Calibri" w:cs="Arial"/>
                <w:szCs w:val="24"/>
              </w:rPr>
              <w:t>Kod wskaźnika</w:t>
            </w:r>
          </w:p>
        </w:tc>
        <w:tc>
          <w:tcPr>
            <w:tcW w:w="1852" w:type="dxa"/>
            <w:shd w:val="clear" w:color="auto" w:fill="D9D9D9" w:themeFill="background1" w:themeFillShade="D9"/>
            <w:vAlign w:val="center"/>
          </w:tcPr>
          <w:p w14:paraId="49C5179A" w14:textId="77777777"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17" w:type="dxa"/>
            <w:shd w:val="clear" w:color="auto" w:fill="D9D9D9" w:themeFill="background1" w:themeFillShade="D9"/>
            <w:vAlign w:val="center"/>
          </w:tcPr>
          <w:p w14:paraId="29273DB2" w14:textId="18003FAE"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701" w:type="dxa"/>
            <w:shd w:val="clear" w:color="auto" w:fill="D9D9D9" w:themeFill="background1" w:themeFillShade="D9"/>
            <w:vAlign w:val="center"/>
          </w:tcPr>
          <w:p w14:paraId="6176ABD4" w14:textId="0ADDD8E9" w:rsidR="00C719E2" w:rsidRPr="006A5AF0" w:rsidRDefault="00C719E2" w:rsidP="006A5AF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5564A4">
              <w:rPr>
                <w:rFonts w:eastAsia="Calibri" w:cs="Arial"/>
                <w:szCs w:val="24"/>
              </w:rPr>
              <w:t>Wartość</w:t>
            </w:r>
            <w:r>
              <w:rPr>
                <w:rFonts w:eastAsia="Calibri" w:cs="Arial"/>
                <w:szCs w:val="24"/>
              </w:rPr>
              <w:t xml:space="preserve"> docelowa</w:t>
            </w:r>
          </w:p>
        </w:tc>
        <w:tc>
          <w:tcPr>
            <w:tcW w:w="3402" w:type="dxa"/>
            <w:shd w:val="clear" w:color="auto" w:fill="D9D9D9" w:themeFill="background1" w:themeFillShade="D9"/>
            <w:vAlign w:val="center"/>
          </w:tcPr>
          <w:p w14:paraId="20AADFE0" w14:textId="258794F6"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 </w:t>
            </w:r>
          </w:p>
        </w:tc>
        <w:tc>
          <w:tcPr>
            <w:tcW w:w="1559" w:type="dxa"/>
            <w:shd w:val="clear" w:color="auto" w:fill="D9D9D9" w:themeFill="background1" w:themeFillShade="D9"/>
            <w:vAlign w:val="center"/>
          </w:tcPr>
          <w:p w14:paraId="565B5184" w14:textId="6743639F"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08531730" w14:textId="58D31721" w:rsidR="00C719E2" w:rsidRPr="005564A4" w:rsidRDefault="00C719E2" w:rsidP="00B139D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Narzędzia pomiaru</w:t>
            </w:r>
          </w:p>
        </w:tc>
        <w:tc>
          <w:tcPr>
            <w:tcW w:w="1984" w:type="dxa"/>
            <w:shd w:val="clear" w:color="auto" w:fill="D9D9D9" w:themeFill="background1" w:themeFillShade="D9"/>
          </w:tcPr>
          <w:p w14:paraId="2227C602" w14:textId="1C3CC0D7" w:rsidR="00C719E2" w:rsidRDefault="00C719E2" w:rsidP="00C719E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bookmarkEnd w:id="14"/>
      <w:tr w:rsidR="00C719E2" w:rsidRPr="005564A4" w14:paraId="63986CEF" w14:textId="18846E50" w:rsidTr="0094783B">
        <w:tc>
          <w:tcPr>
            <w:cnfStyle w:val="001000000000" w:firstRow="0" w:lastRow="0" w:firstColumn="1" w:lastColumn="0" w:oddVBand="0" w:evenVBand="0" w:oddHBand="0" w:evenHBand="0" w:firstRowFirstColumn="0" w:firstRowLastColumn="0" w:lastRowFirstColumn="0" w:lastRowLastColumn="0"/>
            <w:tcW w:w="1404" w:type="dxa"/>
          </w:tcPr>
          <w:p w14:paraId="703A5D03" w14:textId="2910CDBF" w:rsidR="00C719E2" w:rsidRPr="005564A4" w:rsidRDefault="00C719E2" w:rsidP="00B139D0">
            <w:pPr>
              <w:spacing w:after="160" w:line="360" w:lineRule="auto"/>
              <w:rPr>
                <w:rFonts w:eastAsia="Calibri" w:cs="Arial"/>
                <w:szCs w:val="24"/>
              </w:rPr>
            </w:pPr>
            <w:r w:rsidRPr="005564A4">
              <w:rPr>
                <w:rFonts w:eastAsia="Calibri" w:cs="Arial"/>
                <w:szCs w:val="24"/>
              </w:rPr>
              <w:t>PL0CO01</w:t>
            </w:r>
          </w:p>
        </w:tc>
        <w:tc>
          <w:tcPr>
            <w:tcW w:w="1852" w:type="dxa"/>
          </w:tcPr>
          <w:p w14:paraId="0A0F345A" w14:textId="77777777" w:rsidR="00C719E2" w:rsidRPr="006A5AF0"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6A5AF0">
              <w:rPr>
                <w:rFonts w:eastAsia="Calibri" w:cs="Arial"/>
                <w:b/>
                <w:szCs w:val="24"/>
              </w:rPr>
              <w:t>Liczba projektów, w których sfinansowano koszty racjonalnych usprawnień dla osób z niepełnosprawnościami</w:t>
            </w:r>
          </w:p>
        </w:tc>
        <w:tc>
          <w:tcPr>
            <w:tcW w:w="1417" w:type="dxa"/>
          </w:tcPr>
          <w:p w14:paraId="045828B5"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sztuki</w:t>
            </w:r>
          </w:p>
        </w:tc>
        <w:tc>
          <w:tcPr>
            <w:tcW w:w="1701" w:type="dxa"/>
          </w:tcPr>
          <w:p w14:paraId="451E4A39"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36123577" w14:textId="344F2D70"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Racjonalne usprawnienie oznacza konieczne i odpowiednie zmiany oraz dostosowania, nie nakładające nieproporcjonalnego lub nadmiernego obciążenia, rozpatrywane osobno dla każdego konkretnego przypadku, w celu zapewnienia osobom z</w:t>
            </w:r>
            <w:r>
              <w:rPr>
                <w:rFonts w:eastAsia="Calibri" w:cs="Arial"/>
                <w:szCs w:val="24"/>
              </w:rPr>
              <w:t xml:space="preserve"> </w:t>
            </w:r>
            <w:r w:rsidRPr="005564A4">
              <w:rPr>
                <w:rFonts w:eastAsia="Calibri" w:cs="Arial"/>
                <w:szCs w:val="24"/>
              </w:rPr>
              <w:t xml:space="preserve">niepełnosprawnościami możliwości korzystania z wszelkich praw człowieka i podstawowych wolności oraz </w:t>
            </w:r>
            <w:r w:rsidRPr="005564A4">
              <w:rPr>
                <w:rFonts w:eastAsia="Calibri" w:cs="Arial"/>
                <w:szCs w:val="24"/>
              </w:rPr>
              <w:lastRenderedPageBreak/>
              <w:t>ich wykonywania na zasadzie równości z innymi osobami.</w:t>
            </w:r>
          </w:p>
          <w:p w14:paraId="7399D804" w14:textId="2E7F7C5F" w:rsidR="00C719E2" w:rsidRPr="005564A4" w:rsidRDefault="00C719E2" w:rsidP="005E2AFC">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E2AFC">
              <w:rPr>
                <w:rFonts w:eastAsia="Calibri" w:cs="Arial"/>
                <w:szCs w:val="24"/>
              </w:rPr>
              <w:t>Wskaźnik mierzony jest w momencie rozliczenia wydatku</w:t>
            </w:r>
            <w:r>
              <w:rPr>
                <w:rFonts w:eastAsia="Calibri" w:cs="Arial"/>
                <w:szCs w:val="24"/>
              </w:rPr>
              <w:t xml:space="preserve"> </w:t>
            </w:r>
            <w:r w:rsidRPr="005E2AFC">
              <w:rPr>
                <w:rFonts w:eastAsia="Calibri" w:cs="Arial"/>
                <w:szCs w:val="24"/>
              </w:rPr>
              <w:t>związanego z racjonalnymi usprawnieniami w ramach danego</w:t>
            </w:r>
            <w:r>
              <w:rPr>
                <w:rFonts w:eastAsia="Calibri" w:cs="Arial"/>
                <w:szCs w:val="24"/>
              </w:rPr>
              <w:t xml:space="preserve"> </w:t>
            </w:r>
            <w:r w:rsidRPr="005E2AFC">
              <w:rPr>
                <w:rFonts w:eastAsia="Calibri" w:cs="Arial"/>
                <w:szCs w:val="24"/>
              </w:rPr>
              <w:t>projektu. Tym samym, jego wartość początkowa wynosi 0.</w:t>
            </w:r>
          </w:p>
          <w:p w14:paraId="7000FDB9" w14:textId="675DC8EA"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Przykłady racjonalnych usprawnień: tłumacz języka migowego, transport niskopodłogowy, dostosowanie infrastruktury (nie tylko budynku, ale też dostosowanie infrastruktury komputerowej np. programy powiększające, mówiące, </w:t>
            </w:r>
            <w:r w:rsidRPr="005564A4">
              <w:rPr>
                <w:rFonts w:eastAsia="Calibri" w:cs="Arial"/>
                <w:szCs w:val="24"/>
              </w:rPr>
              <w:lastRenderedPageBreak/>
              <w:t>drukarki materiałów w alfabecie Braille'a), osoby asystujące.</w:t>
            </w:r>
          </w:p>
          <w:p w14:paraId="71128E2D" w14:textId="3EC62067" w:rsidR="00C719E2" w:rsidRPr="005564A4" w:rsidRDefault="00C719E2" w:rsidP="007C2E39">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 wskaźnika powinny zostać wliczone zarówno projekty ogólnodostępne, w których sfinansowano koszty</w:t>
            </w:r>
            <w:r>
              <w:rPr>
                <w:rFonts w:eastAsia="Calibri" w:cs="Arial"/>
                <w:szCs w:val="24"/>
              </w:rPr>
              <w:t xml:space="preserve"> </w:t>
            </w:r>
            <w:r w:rsidRPr="005564A4">
              <w:rPr>
                <w:rFonts w:eastAsia="Calibri" w:cs="Arial"/>
                <w:szCs w:val="24"/>
              </w:rPr>
              <w:t xml:space="preserve">racjonalnych usprawnień, </w:t>
            </w:r>
            <w:r w:rsidRPr="007C2E39">
              <w:rPr>
                <w:rFonts w:eastAsia="Calibri" w:cs="Arial"/>
                <w:szCs w:val="24"/>
              </w:rPr>
              <w:t>jak i te ukierunkowane na</w:t>
            </w:r>
            <w:r>
              <w:rPr>
                <w:rFonts w:eastAsia="Calibri" w:cs="Arial"/>
                <w:szCs w:val="24"/>
              </w:rPr>
              <w:t xml:space="preserve"> </w:t>
            </w:r>
            <w:r w:rsidRPr="007C2E39">
              <w:rPr>
                <w:rFonts w:eastAsia="Calibri" w:cs="Arial"/>
                <w:szCs w:val="24"/>
              </w:rPr>
              <w:t>zwalczanie i zapobieganie</w:t>
            </w:r>
            <w:r>
              <w:rPr>
                <w:rFonts w:eastAsia="Calibri" w:cs="Arial"/>
                <w:szCs w:val="24"/>
              </w:rPr>
              <w:t xml:space="preserve"> </w:t>
            </w:r>
            <w:r w:rsidRPr="007C2E39">
              <w:rPr>
                <w:rFonts w:eastAsia="Calibri" w:cs="Arial"/>
                <w:szCs w:val="24"/>
              </w:rPr>
              <w:t>wszelkim formom dyskryminacji w stosunku do osób na nią</w:t>
            </w:r>
            <w:r w:rsidR="00DA2E9F">
              <w:rPr>
                <w:rFonts w:eastAsia="Calibri" w:cs="Arial"/>
                <w:szCs w:val="24"/>
              </w:rPr>
              <w:t xml:space="preserve"> </w:t>
            </w:r>
            <w:r w:rsidRPr="007C2E39">
              <w:rPr>
                <w:rFonts w:eastAsia="Calibri" w:cs="Arial"/>
                <w:szCs w:val="24"/>
              </w:rPr>
              <w:t>narażonych, a także</w:t>
            </w:r>
            <w:r>
              <w:rPr>
                <w:rFonts w:eastAsia="Calibri" w:cs="Arial"/>
                <w:szCs w:val="24"/>
              </w:rPr>
              <w:t xml:space="preserve"> </w:t>
            </w:r>
            <w:r w:rsidRPr="007C2E39">
              <w:rPr>
                <w:rFonts w:eastAsia="Calibri" w:cs="Arial"/>
                <w:szCs w:val="24"/>
              </w:rPr>
              <w:t>zwiększanie dostępności dla osób z</w:t>
            </w:r>
            <w:r>
              <w:rPr>
                <w:rFonts w:eastAsia="Calibri" w:cs="Arial"/>
                <w:szCs w:val="24"/>
              </w:rPr>
              <w:t xml:space="preserve"> </w:t>
            </w:r>
            <w:r w:rsidRPr="007C2E39">
              <w:rPr>
                <w:rFonts w:eastAsia="Calibri" w:cs="Arial"/>
                <w:szCs w:val="24"/>
              </w:rPr>
              <w:t>niepełnosprawnościami.</w:t>
            </w:r>
          </w:p>
          <w:p w14:paraId="6FE54ACF" w14:textId="75654F6D"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 poziomie projektu wskaźnik może przyjmować </w:t>
            </w:r>
            <w:r w:rsidRPr="005564A4">
              <w:rPr>
                <w:rFonts w:eastAsia="Calibri" w:cs="Arial"/>
                <w:szCs w:val="24"/>
              </w:rPr>
              <w:lastRenderedPageBreak/>
              <w:t>maksymalną wartość 1 - co oznacza jeden projekt, w którym sfinansowano koszty racjonalnych usprawnień dla osób z</w:t>
            </w:r>
            <w:r>
              <w:rPr>
                <w:rFonts w:eastAsia="Calibri" w:cs="Arial"/>
                <w:szCs w:val="24"/>
              </w:rPr>
              <w:t xml:space="preserve"> </w:t>
            </w:r>
            <w:r w:rsidRPr="005564A4">
              <w:rPr>
                <w:rFonts w:eastAsia="Calibri" w:cs="Arial"/>
                <w:szCs w:val="24"/>
              </w:rPr>
              <w:t>niepełnosprawnościami. Liczba sfinansowanych racjonalnych usprawnień, w ramach projektu, nie ma znaczenia dla wartości wykazywanej we wskaźniku.</w:t>
            </w:r>
          </w:p>
          <w:p w14:paraId="4A73C7C8"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Definicja na podstawie: </w:t>
            </w:r>
            <w:r w:rsidRPr="007C2E39">
              <w:rPr>
                <w:rFonts w:eastAsia="Calibri" w:cs="Arial"/>
                <w:i/>
                <w:szCs w:val="24"/>
              </w:rPr>
              <w:t>Wytyczne w zakresie realizacji zasad równościowych w ramach funduszy unijnych na lata 2021-2027</w:t>
            </w:r>
            <w:r w:rsidRPr="005564A4">
              <w:rPr>
                <w:rFonts w:eastAsia="Calibri" w:cs="Arial"/>
                <w:szCs w:val="24"/>
              </w:rPr>
              <w:t>.</w:t>
            </w:r>
          </w:p>
        </w:tc>
        <w:tc>
          <w:tcPr>
            <w:tcW w:w="1559" w:type="dxa"/>
          </w:tcPr>
          <w:p w14:paraId="56C422BD" w14:textId="74547190" w:rsidR="00C719E2" w:rsidRPr="005564A4" w:rsidRDefault="000E6F2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p</w:t>
            </w:r>
            <w:r w:rsidR="00C719E2" w:rsidRPr="005564A4">
              <w:rPr>
                <w:rFonts w:eastAsia="Calibri" w:cs="Arial"/>
                <w:szCs w:val="24"/>
              </w:rPr>
              <w:t>omiar wskaźnika odbywać się będzie na etapie realizacji projektu</w:t>
            </w:r>
            <w:r w:rsidR="009F7B0A">
              <w:rPr>
                <w:rFonts w:eastAsia="Calibri" w:cs="Arial"/>
                <w:szCs w:val="24"/>
              </w:rPr>
              <w:t xml:space="preserve">, </w:t>
            </w:r>
            <w:r w:rsidR="009F7B0A" w:rsidRPr="005564A4">
              <w:rPr>
                <w:rFonts w:eastAsia="Calibri" w:cs="Arial"/>
                <w:szCs w:val="24"/>
              </w:rPr>
              <w:t>w momencie rozliczenia wydatku</w:t>
            </w:r>
            <w:r w:rsidR="009F7B0A">
              <w:rPr>
                <w:rFonts w:eastAsia="Calibri" w:cs="Arial"/>
                <w:szCs w:val="24"/>
              </w:rPr>
              <w:t>.</w:t>
            </w:r>
          </w:p>
        </w:tc>
        <w:tc>
          <w:tcPr>
            <w:tcW w:w="1985" w:type="dxa"/>
          </w:tcPr>
          <w:p w14:paraId="1117B8B9" w14:textId="77777777" w:rsidR="00C719E2" w:rsidRDefault="009F7B0A"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90BEE">
              <w:rPr>
                <w:rFonts w:eastAsia="Calibri" w:cs="Arial"/>
                <w:szCs w:val="24"/>
              </w:rPr>
              <w:t>Dokumenty</w:t>
            </w:r>
            <w:r w:rsidR="00C719E2" w:rsidRPr="00D90BEE">
              <w:rPr>
                <w:rFonts w:eastAsia="Calibri" w:cs="Arial"/>
                <w:szCs w:val="24"/>
              </w:rPr>
              <w:t xml:space="preserve"> dostępn</w:t>
            </w:r>
            <w:r w:rsidRPr="00D90BEE">
              <w:rPr>
                <w:rFonts w:eastAsia="Calibri" w:cs="Arial"/>
                <w:szCs w:val="24"/>
              </w:rPr>
              <w:t>e</w:t>
            </w:r>
            <w:r w:rsidR="00C719E2" w:rsidRPr="00D90BEE">
              <w:rPr>
                <w:rFonts w:eastAsia="Calibri" w:cs="Arial"/>
                <w:szCs w:val="24"/>
              </w:rPr>
              <w:t xml:space="preserve"> na etapie realizacji</w:t>
            </w:r>
            <w:r w:rsidR="00C719E2" w:rsidRPr="005564A4">
              <w:rPr>
                <w:rFonts w:eastAsia="Calibri" w:cs="Arial"/>
                <w:szCs w:val="24"/>
              </w:rPr>
              <w:t>.</w:t>
            </w:r>
          </w:p>
          <w:p w14:paraId="307AF20E" w14:textId="77777777" w:rsidR="00BE2D8E" w:rsidRDefault="00BE2D8E"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p w14:paraId="3D7599C2" w14:textId="0AEA3FB4" w:rsidR="00BE2D8E" w:rsidRPr="005564A4" w:rsidRDefault="00BE2D8E"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984" w:type="dxa"/>
          </w:tcPr>
          <w:p w14:paraId="2B88A7F7" w14:textId="0540CB53" w:rsidR="00C719E2" w:rsidRPr="005564A4" w:rsidRDefault="00C719E2"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Obligatoryjny </w:t>
            </w:r>
          </w:p>
        </w:tc>
      </w:tr>
      <w:tr w:rsidR="009F7B0A" w:rsidRPr="005564A4" w14:paraId="21377AA7" w14:textId="6C5C4025" w:rsidTr="0094783B">
        <w:tc>
          <w:tcPr>
            <w:cnfStyle w:val="001000000000" w:firstRow="0" w:lastRow="0" w:firstColumn="1" w:lastColumn="0" w:oddVBand="0" w:evenVBand="0" w:oddHBand="0" w:evenHBand="0" w:firstRowFirstColumn="0" w:firstRowLastColumn="0" w:lastRowFirstColumn="0" w:lastRowLastColumn="0"/>
            <w:tcW w:w="1404" w:type="dxa"/>
          </w:tcPr>
          <w:p w14:paraId="6997F546" w14:textId="5F8D6C49" w:rsidR="009F7B0A" w:rsidRPr="005564A4" w:rsidRDefault="009F7B0A" w:rsidP="009F7B0A">
            <w:pPr>
              <w:spacing w:after="160" w:line="360" w:lineRule="auto"/>
              <w:rPr>
                <w:rFonts w:eastAsia="Calibri" w:cs="Arial"/>
                <w:szCs w:val="24"/>
              </w:rPr>
            </w:pPr>
            <w:r w:rsidRPr="005564A4">
              <w:rPr>
                <w:rFonts w:eastAsia="Calibri" w:cs="Arial"/>
                <w:szCs w:val="24"/>
              </w:rPr>
              <w:lastRenderedPageBreak/>
              <w:t>PL0CO02</w:t>
            </w:r>
          </w:p>
        </w:tc>
        <w:tc>
          <w:tcPr>
            <w:tcW w:w="1852" w:type="dxa"/>
          </w:tcPr>
          <w:p w14:paraId="05A96037" w14:textId="77777777" w:rsidR="009F7B0A" w:rsidRPr="00DA2E9F"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A2E9F">
              <w:rPr>
                <w:rFonts w:eastAsia="Calibri" w:cs="Arial"/>
                <w:b/>
                <w:szCs w:val="24"/>
              </w:rPr>
              <w:t>Liczba obiektów dostosowanych do potrzeb osób z niepełnosprawnościami</w:t>
            </w:r>
          </w:p>
        </w:tc>
        <w:tc>
          <w:tcPr>
            <w:tcW w:w="1417" w:type="dxa"/>
          </w:tcPr>
          <w:p w14:paraId="4DDCD307"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sztuki</w:t>
            </w:r>
          </w:p>
        </w:tc>
        <w:tc>
          <w:tcPr>
            <w:tcW w:w="1701" w:type="dxa"/>
          </w:tcPr>
          <w:p w14:paraId="2B98A476"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19EA1272"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43D24F25"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Jako obiekty należy rozumieć konstrukcje połączone z </w:t>
            </w:r>
            <w:r w:rsidRPr="005564A4">
              <w:rPr>
                <w:rFonts w:eastAsia="Calibri" w:cs="Arial"/>
                <w:szCs w:val="24"/>
              </w:rPr>
              <w:lastRenderedPageBreak/>
              <w:t>gruntem w sposób trwały, wykonane z materiałów budowlanych i elementów składowych, będące wynikiem prac budowlanych (wg. def. PKOB).</w:t>
            </w:r>
          </w:p>
          <w:p w14:paraId="76330CF7"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1F85475C"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mierzony w momencie rozliczenia wydatku związanego z </w:t>
            </w:r>
            <w:r w:rsidRPr="005564A4">
              <w:rPr>
                <w:rFonts w:eastAsia="Calibri" w:cs="Arial"/>
                <w:szCs w:val="24"/>
              </w:rPr>
              <w:lastRenderedPageBreak/>
              <w:t>wyposażeniem obiektów w rozwiązania służące osobom z niepełnosprawnościami w ramach danego projektu.</w:t>
            </w:r>
          </w:p>
        </w:tc>
        <w:tc>
          <w:tcPr>
            <w:tcW w:w="1559" w:type="dxa"/>
          </w:tcPr>
          <w:p w14:paraId="570F4FFD" w14:textId="116B646E" w:rsidR="009F7B0A" w:rsidRPr="005564A4" w:rsidRDefault="000E6F22"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p</w:t>
            </w:r>
            <w:r w:rsidR="009F7B0A" w:rsidRPr="005564A4">
              <w:rPr>
                <w:rFonts w:eastAsia="Calibri" w:cs="Arial"/>
                <w:szCs w:val="24"/>
              </w:rPr>
              <w:t>omiar wskaźnika odbywać się będzie na etapie realizacji projektu</w:t>
            </w:r>
            <w:r w:rsidR="009F7B0A">
              <w:rPr>
                <w:rFonts w:eastAsia="Calibri" w:cs="Arial"/>
                <w:szCs w:val="24"/>
              </w:rPr>
              <w:t xml:space="preserve">, </w:t>
            </w:r>
            <w:r w:rsidR="009F7B0A" w:rsidRPr="005564A4">
              <w:rPr>
                <w:rFonts w:eastAsia="Calibri" w:cs="Arial"/>
                <w:szCs w:val="24"/>
              </w:rPr>
              <w:t>w momencie rozliczenia wydatku</w:t>
            </w:r>
            <w:r w:rsidR="009F7B0A">
              <w:rPr>
                <w:rFonts w:eastAsia="Calibri" w:cs="Arial"/>
                <w:szCs w:val="24"/>
              </w:rPr>
              <w:t>.</w:t>
            </w:r>
          </w:p>
        </w:tc>
        <w:tc>
          <w:tcPr>
            <w:tcW w:w="1985" w:type="dxa"/>
          </w:tcPr>
          <w:p w14:paraId="017C8643" w14:textId="58A97FCC"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2A15C760" w14:textId="1867C35F"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Obligatoryjny</w:t>
            </w:r>
          </w:p>
        </w:tc>
      </w:tr>
      <w:bookmarkEnd w:id="15"/>
    </w:tbl>
    <w:p w14:paraId="231B6939" w14:textId="6DA08652" w:rsidR="00693641" w:rsidRDefault="00693641">
      <w:pPr>
        <w:spacing w:after="160"/>
        <w:rPr>
          <w:rFonts w:eastAsia="Calibri" w:cstheme="majorBidi"/>
          <w:b/>
          <w:color w:val="2E74B5" w:themeColor="accent1" w:themeShade="BF"/>
          <w:szCs w:val="32"/>
        </w:rPr>
      </w:pPr>
    </w:p>
    <w:p w14:paraId="207E2B05" w14:textId="77777777" w:rsidR="00693641" w:rsidRDefault="00693641">
      <w:pPr>
        <w:spacing w:after="160"/>
        <w:rPr>
          <w:rFonts w:eastAsia="Calibri" w:cstheme="majorBidi"/>
          <w:b/>
          <w:color w:val="2E74B5" w:themeColor="accent1" w:themeShade="BF"/>
          <w:szCs w:val="32"/>
        </w:rPr>
      </w:pPr>
      <w:r>
        <w:rPr>
          <w:rFonts w:eastAsia="Calibri"/>
        </w:rPr>
        <w:br w:type="page"/>
      </w:r>
    </w:p>
    <w:p w14:paraId="255672D4" w14:textId="465AB27C" w:rsidR="00292241" w:rsidRDefault="00292241" w:rsidP="00D0117A">
      <w:pPr>
        <w:pStyle w:val="Nagwek1"/>
        <w:rPr>
          <w:rFonts w:eastAsia="Calibri"/>
          <w:sz w:val="24"/>
        </w:rPr>
      </w:pPr>
      <w:r w:rsidRPr="00D0117A">
        <w:rPr>
          <w:rFonts w:eastAsia="Calibri"/>
          <w:sz w:val="24"/>
        </w:rPr>
        <w:lastRenderedPageBreak/>
        <w:t>Wskaźniki monitoringowe dotyczące uczestników</w:t>
      </w:r>
    </w:p>
    <w:p w14:paraId="1B57DFF3" w14:textId="77777777" w:rsidR="0094783B" w:rsidRPr="0094783B" w:rsidRDefault="0094783B" w:rsidP="0094783B"/>
    <w:tbl>
      <w:tblPr>
        <w:tblStyle w:val="Tabelasiatki1jasna"/>
        <w:tblW w:w="15304" w:type="dxa"/>
        <w:tblInd w:w="-431" w:type="dxa"/>
        <w:tblLayout w:type="fixed"/>
        <w:tblLook w:val="04A0" w:firstRow="1" w:lastRow="0" w:firstColumn="1" w:lastColumn="0" w:noHBand="0" w:noVBand="1"/>
        <w:tblCaption w:val="Wskaźniki monitoringowe dotyczące uczestników. "/>
        <w:tblDescription w:val="W tabeli przedstawiono wskaźniki monitoringowe dotyczące uczestników wdrażane przez Departament Europejskiego Funduszu Społecznego w ramach EFS+. "/>
      </w:tblPr>
      <w:tblGrid>
        <w:gridCol w:w="1413"/>
        <w:gridCol w:w="1701"/>
        <w:gridCol w:w="1559"/>
        <w:gridCol w:w="1701"/>
        <w:gridCol w:w="3402"/>
        <w:gridCol w:w="1559"/>
        <w:gridCol w:w="1985"/>
        <w:gridCol w:w="1984"/>
      </w:tblGrid>
      <w:tr w:rsidR="004A049B" w:rsidRPr="005564A4" w14:paraId="3A277F8D" w14:textId="7726B2F3" w:rsidTr="00B360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007FE305" w14:textId="77777777" w:rsidR="004A049B" w:rsidRPr="005564A4" w:rsidRDefault="004A049B" w:rsidP="00822200">
            <w:pPr>
              <w:spacing w:after="160" w:line="360" w:lineRule="auto"/>
              <w:jc w:val="center"/>
              <w:rPr>
                <w:rFonts w:eastAsia="Calibri" w:cs="Arial"/>
                <w:szCs w:val="24"/>
              </w:rPr>
            </w:pPr>
            <w:r w:rsidRPr="005564A4">
              <w:rPr>
                <w:rFonts w:eastAsia="Calibri" w:cs="Arial"/>
                <w:szCs w:val="24"/>
              </w:rPr>
              <w:t>Kod wskaźnika</w:t>
            </w:r>
          </w:p>
        </w:tc>
        <w:tc>
          <w:tcPr>
            <w:tcW w:w="1701" w:type="dxa"/>
            <w:shd w:val="clear" w:color="auto" w:fill="D9D9D9" w:themeFill="background1" w:themeFillShade="D9"/>
            <w:vAlign w:val="center"/>
          </w:tcPr>
          <w:p w14:paraId="4534EC8A" w14:textId="77777777"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559" w:type="dxa"/>
            <w:shd w:val="clear" w:color="auto" w:fill="D9D9D9" w:themeFill="background1" w:themeFillShade="D9"/>
            <w:vAlign w:val="center"/>
          </w:tcPr>
          <w:p w14:paraId="1A634D0B" w14:textId="08D98E5F"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701" w:type="dxa"/>
            <w:shd w:val="clear" w:color="auto" w:fill="D9D9D9" w:themeFill="background1" w:themeFillShade="D9"/>
            <w:vAlign w:val="center"/>
          </w:tcPr>
          <w:p w14:paraId="6E8F54F1" w14:textId="3A4CC115"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3402" w:type="dxa"/>
            <w:shd w:val="clear" w:color="auto" w:fill="D9D9D9" w:themeFill="background1" w:themeFillShade="D9"/>
            <w:vAlign w:val="center"/>
          </w:tcPr>
          <w:p w14:paraId="0BBA995D" w14:textId="297A50D1"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 </w:t>
            </w:r>
          </w:p>
        </w:tc>
        <w:tc>
          <w:tcPr>
            <w:tcW w:w="1559" w:type="dxa"/>
            <w:shd w:val="clear" w:color="auto" w:fill="D9D9D9" w:themeFill="background1" w:themeFillShade="D9"/>
            <w:vAlign w:val="center"/>
          </w:tcPr>
          <w:p w14:paraId="109A4959" w14:textId="054A9B2C"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09FC9687" w14:textId="3B8FB645" w:rsidR="004A049B" w:rsidRPr="005564A4" w:rsidRDefault="004A049B"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tcW w:w="1984" w:type="dxa"/>
            <w:shd w:val="clear" w:color="auto" w:fill="D9D9D9" w:themeFill="background1" w:themeFillShade="D9"/>
          </w:tcPr>
          <w:p w14:paraId="22AC05F3" w14:textId="74110C04" w:rsidR="004A049B" w:rsidRPr="005564A4" w:rsidRDefault="004A049B"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9F7B0A" w:rsidRPr="005564A4" w14:paraId="73C34028" w14:textId="5786EF19" w:rsidTr="06B082DB">
        <w:tc>
          <w:tcPr>
            <w:cnfStyle w:val="001000000000" w:firstRow="0" w:lastRow="0" w:firstColumn="1" w:lastColumn="0" w:oddVBand="0" w:evenVBand="0" w:oddHBand="0" w:evenHBand="0" w:firstRowFirstColumn="0" w:firstRowLastColumn="0" w:lastRowFirstColumn="0" w:lastRowLastColumn="0"/>
            <w:tcW w:w="1413" w:type="dxa"/>
          </w:tcPr>
          <w:p w14:paraId="18551B24" w14:textId="4F800815" w:rsidR="009F7B0A" w:rsidRPr="005564A4" w:rsidRDefault="009F7B0A" w:rsidP="009F7B0A">
            <w:pPr>
              <w:spacing w:after="160" w:line="360" w:lineRule="auto"/>
              <w:rPr>
                <w:rFonts w:eastAsia="Calibri" w:cs="Arial"/>
                <w:szCs w:val="24"/>
              </w:rPr>
            </w:pPr>
            <w:r w:rsidRPr="00101C5E">
              <w:rPr>
                <w:rFonts w:eastAsia="Calibri" w:cs="Arial"/>
                <w:szCs w:val="24"/>
              </w:rPr>
              <w:t>EECO12</w:t>
            </w:r>
          </w:p>
        </w:tc>
        <w:tc>
          <w:tcPr>
            <w:tcW w:w="1701" w:type="dxa"/>
          </w:tcPr>
          <w:p w14:paraId="13FF0288" w14:textId="77777777" w:rsidR="009F7B0A" w:rsidRPr="004A049B"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z niepełnosprawnościami objętych wsparciem w programie</w:t>
            </w:r>
          </w:p>
        </w:tc>
        <w:tc>
          <w:tcPr>
            <w:tcW w:w="1559" w:type="dxa"/>
          </w:tcPr>
          <w:p w14:paraId="3910D5B4"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701" w:type="dxa"/>
          </w:tcPr>
          <w:p w14:paraId="55E31A01"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04697A60"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w:t>
            </w:r>
            <w:r w:rsidRPr="005564A4">
              <w:rPr>
                <w:rFonts w:eastAsia="Calibri" w:cs="Arial"/>
                <w:szCs w:val="24"/>
              </w:rPr>
              <w:lastRenderedPageBreak/>
              <w:t>poświadczającym stan zdrowia.</w:t>
            </w:r>
          </w:p>
          <w:p w14:paraId="78104871" w14:textId="283198C7" w:rsidR="009F7B0A" w:rsidRPr="00264FFC" w:rsidRDefault="009F7B0A" w:rsidP="009F7B0A">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264FFC">
              <w:rPr>
                <w:rFonts w:eastAsia="Times New Roman" w:cs="Arial"/>
                <w:szCs w:val="24"/>
                <w:lang w:eastAsia="pl-PL"/>
              </w:rPr>
              <w:t>Osoby z niepełnosprawnościami to też uczniowie albo dzieci w wieku</w:t>
            </w:r>
            <w:r>
              <w:rPr>
                <w:rFonts w:eastAsia="Times New Roman" w:cs="Arial"/>
                <w:szCs w:val="24"/>
                <w:lang w:eastAsia="pl-PL"/>
              </w:rPr>
              <w:t xml:space="preserve"> </w:t>
            </w:r>
            <w:r w:rsidRPr="00264FFC">
              <w:rPr>
                <w:rFonts w:eastAsia="Times New Roman" w:cs="Arial"/>
                <w:szCs w:val="24"/>
                <w:lang w:eastAsia="pl-PL"/>
              </w:rPr>
              <w:t>przedszkolnym posiadające orzeczenie o potrzebie kształcenia specjalnego</w:t>
            </w:r>
          </w:p>
          <w:p w14:paraId="5D885877" w14:textId="39B3F4DD" w:rsidR="009F7B0A" w:rsidRPr="005564A4" w:rsidRDefault="009F7B0A" w:rsidP="009F7B0A">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264FFC">
              <w:rPr>
                <w:rFonts w:eastAsia="Times New Roman" w:cs="Arial"/>
                <w:szCs w:val="24"/>
                <w:lang w:eastAsia="pl-PL"/>
              </w:rPr>
              <w:t>wydane ze względu na dany rodzaj</w:t>
            </w:r>
            <w:r>
              <w:rPr>
                <w:rFonts w:eastAsia="Times New Roman" w:cs="Arial"/>
                <w:szCs w:val="24"/>
                <w:lang w:eastAsia="pl-PL"/>
              </w:rPr>
              <w:t xml:space="preserve"> </w:t>
            </w:r>
            <w:r w:rsidRPr="00264FFC">
              <w:rPr>
                <w:rFonts w:eastAsia="Times New Roman" w:cs="Arial"/>
                <w:szCs w:val="24"/>
                <w:lang w:eastAsia="pl-PL"/>
              </w:rPr>
              <w:t>niepełnosprawności lub dzieci i młodzież</w:t>
            </w:r>
            <w:r>
              <w:rPr>
                <w:rFonts w:eastAsia="Times New Roman" w:cs="Arial"/>
                <w:szCs w:val="24"/>
                <w:lang w:eastAsia="pl-PL"/>
              </w:rPr>
              <w:t xml:space="preserve"> </w:t>
            </w:r>
            <w:r w:rsidRPr="00264FFC">
              <w:rPr>
                <w:rFonts w:eastAsia="Times New Roman" w:cs="Arial"/>
                <w:szCs w:val="24"/>
                <w:lang w:eastAsia="pl-PL"/>
              </w:rPr>
              <w:t>posiadające orzeczenie o potrzebie zajęć rewalidacyjno-wychowawczych</w:t>
            </w:r>
            <w:r>
              <w:rPr>
                <w:rFonts w:eastAsia="Times New Roman" w:cs="Arial"/>
                <w:szCs w:val="24"/>
                <w:lang w:eastAsia="pl-PL"/>
              </w:rPr>
              <w:t xml:space="preserve"> </w:t>
            </w:r>
            <w:r w:rsidRPr="00264FFC">
              <w:rPr>
                <w:rFonts w:eastAsia="Times New Roman" w:cs="Arial"/>
                <w:szCs w:val="24"/>
                <w:lang w:eastAsia="pl-PL"/>
              </w:rPr>
              <w:t>wydawane ze względu na niepełnosprawność</w:t>
            </w:r>
            <w:r>
              <w:rPr>
                <w:rFonts w:eastAsia="Times New Roman" w:cs="Arial"/>
                <w:szCs w:val="24"/>
                <w:lang w:eastAsia="pl-PL"/>
              </w:rPr>
              <w:t xml:space="preserve"> </w:t>
            </w:r>
            <w:r w:rsidRPr="00264FFC">
              <w:rPr>
                <w:rFonts w:eastAsia="Times New Roman" w:cs="Arial"/>
                <w:szCs w:val="24"/>
                <w:lang w:eastAsia="pl-PL"/>
              </w:rPr>
              <w:t>intelektualną w stopniu</w:t>
            </w:r>
            <w:r>
              <w:rPr>
                <w:rFonts w:eastAsia="Times New Roman" w:cs="Arial"/>
                <w:szCs w:val="24"/>
                <w:lang w:eastAsia="pl-PL"/>
              </w:rPr>
              <w:t xml:space="preserve"> </w:t>
            </w:r>
            <w:r w:rsidRPr="00264FFC">
              <w:rPr>
                <w:rFonts w:eastAsia="Times New Roman" w:cs="Arial"/>
                <w:szCs w:val="24"/>
                <w:lang w:eastAsia="pl-PL"/>
              </w:rPr>
              <w:lastRenderedPageBreak/>
              <w:t>głębokim. Orzeczenia uczniów, dzieci lub młodzieży są wydawane przez</w:t>
            </w:r>
            <w:r>
              <w:rPr>
                <w:rFonts w:eastAsia="Times New Roman" w:cs="Arial"/>
                <w:szCs w:val="24"/>
                <w:lang w:eastAsia="pl-PL"/>
              </w:rPr>
              <w:t xml:space="preserve"> </w:t>
            </w:r>
            <w:r w:rsidRPr="00264FFC">
              <w:rPr>
                <w:rFonts w:eastAsia="Times New Roman" w:cs="Arial"/>
                <w:szCs w:val="24"/>
                <w:lang w:eastAsia="pl-PL"/>
              </w:rPr>
              <w:t>zespół orzekający</w:t>
            </w:r>
            <w:r>
              <w:rPr>
                <w:rFonts w:eastAsia="Times New Roman" w:cs="Arial"/>
                <w:szCs w:val="24"/>
                <w:lang w:eastAsia="pl-PL"/>
              </w:rPr>
              <w:t xml:space="preserve"> </w:t>
            </w:r>
            <w:r w:rsidRPr="00264FFC">
              <w:rPr>
                <w:rFonts w:eastAsia="Times New Roman" w:cs="Arial"/>
                <w:szCs w:val="24"/>
                <w:lang w:eastAsia="pl-PL"/>
              </w:rPr>
              <w:t>działający w publicznej poradni</w:t>
            </w:r>
            <w:r>
              <w:rPr>
                <w:rFonts w:eastAsia="Times New Roman" w:cs="Arial"/>
                <w:szCs w:val="24"/>
                <w:lang w:eastAsia="pl-PL"/>
              </w:rPr>
              <w:t xml:space="preserve"> </w:t>
            </w:r>
            <w:r w:rsidRPr="00264FFC">
              <w:rPr>
                <w:rFonts w:eastAsia="Times New Roman" w:cs="Arial"/>
                <w:szCs w:val="24"/>
                <w:lang w:eastAsia="pl-PL"/>
              </w:rPr>
              <w:t>psychologicznopedagogicznej,</w:t>
            </w:r>
            <w:r>
              <w:rPr>
                <w:rFonts w:eastAsia="Times New Roman" w:cs="Arial"/>
                <w:szCs w:val="24"/>
                <w:lang w:eastAsia="pl-PL"/>
              </w:rPr>
              <w:t xml:space="preserve"> </w:t>
            </w:r>
            <w:r w:rsidRPr="00264FFC">
              <w:rPr>
                <w:rFonts w:eastAsia="Times New Roman" w:cs="Arial"/>
                <w:szCs w:val="24"/>
                <w:lang w:eastAsia="pl-PL"/>
              </w:rPr>
              <w:t>w tym poradni specjalistycznej.</w:t>
            </w:r>
            <w:r>
              <w:rPr>
                <w:rFonts w:eastAsia="Times New Roman" w:cs="Arial"/>
                <w:szCs w:val="24"/>
                <w:lang w:eastAsia="pl-PL"/>
              </w:rPr>
              <w:t xml:space="preserve"> </w:t>
            </w:r>
            <w:r w:rsidRPr="005564A4">
              <w:rPr>
                <w:rFonts w:eastAsia="Times New Roman" w:cs="Arial"/>
                <w:szCs w:val="24"/>
                <w:lang w:eastAsia="pl-PL"/>
              </w:rPr>
              <w:t>Przynależność do grupy osób z niepełnosprawnościami określana jest w momencie rozpoczęcia udziału w projekcie, tj. w chwili rozpoczęcia udziału w pierwszej formie wsparcia w projekcie.</w:t>
            </w:r>
          </w:p>
          <w:p w14:paraId="52B6B1C9" w14:textId="77777777" w:rsidR="009F7B0A" w:rsidRPr="005564A4" w:rsidRDefault="009F7B0A" w:rsidP="009F7B0A">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5564A4">
              <w:rPr>
                <w:rFonts w:eastAsia="Times New Roman" w:cs="Arial"/>
                <w:szCs w:val="24"/>
                <w:lang w:eastAsia="pl-PL"/>
              </w:rPr>
              <w:t xml:space="preserve">W przypadku, gdy niepełnosprawność jest </w:t>
            </w:r>
            <w:r w:rsidRPr="005564A4">
              <w:rPr>
                <w:rFonts w:eastAsia="Times New Roman" w:cs="Arial"/>
                <w:szCs w:val="24"/>
                <w:lang w:eastAsia="pl-PL"/>
              </w:rPr>
              <w:lastRenderedPageBreak/>
              <w:t xml:space="preserve">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w:t>
            </w:r>
            <w:r w:rsidRPr="005564A4">
              <w:rPr>
                <w:rFonts w:eastAsia="Times New Roman" w:cs="Arial"/>
                <w:szCs w:val="24"/>
                <w:lang w:eastAsia="pl-PL"/>
              </w:rPr>
              <w:lastRenderedPageBreak/>
              <w:t xml:space="preserve">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należy </w:t>
            </w:r>
            <w:r w:rsidRPr="005564A4">
              <w:rPr>
                <w:rFonts w:eastAsia="Times New Roman" w:cs="Arial"/>
                <w:szCs w:val="24"/>
                <w:lang w:eastAsia="pl-PL"/>
              </w:rPr>
              <w:lastRenderedPageBreak/>
              <w:t>udokumentować. Uwaga: w danym projekcie może być stosowana wyłącznie jedna metoda monitorowania tego wskaźnika tj. szacowanie lub zbieranie danych osobowych dot. tego wskaźnika od uczestników.</w:t>
            </w:r>
            <w:r w:rsidRPr="005564A4" w:rsidDel="001852A9">
              <w:rPr>
                <w:rFonts w:eastAsia="Times New Roman" w:cs="Arial"/>
                <w:szCs w:val="24"/>
                <w:lang w:eastAsia="pl-PL"/>
              </w:rPr>
              <w:t xml:space="preserve"> </w:t>
            </w:r>
          </w:p>
          <w:p w14:paraId="45CF3CB8"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Times New Roman" w:cs="Arial"/>
                <w:szCs w:val="24"/>
                <w:lang w:eastAsia="pl-PL"/>
              </w:rPr>
              <w:t>Zasady dotyczące możliwości wykorzystania wiarygodnych szacunków przez beneficjentów w danym naborze określane są przez właściwą dla programu Instytucję Zarządzającą.</w:t>
            </w:r>
          </w:p>
        </w:tc>
        <w:tc>
          <w:tcPr>
            <w:tcW w:w="1559" w:type="dxa"/>
          </w:tcPr>
          <w:p w14:paraId="3A592A5F" w14:textId="5D66BF62" w:rsidR="009F7B0A" w:rsidRPr="005564A4" w:rsidRDefault="000E6F22"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lastRenderedPageBreak/>
              <w:t>p</w:t>
            </w:r>
            <w:r w:rsidR="009F7B0A" w:rsidRPr="06B082DB">
              <w:rPr>
                <w:rFonts w:eastAsia="Calibri" w:cs="Arial"/>
              </w:rPr>
              <w:t>omiar wskaźnika odbywać się będzie na etapie realizacji projektu, w momencie objęcia wsparciem w projekcie osób z niepełnosprawnościami.</w:t>
            </w:r>
          </w:p>
        </w:tc>
        <w:tc>
          <w:tcPr>
            <w:tcW w:w="1985" w:type="dxa"/>
          </w:tcPr>
          <w:p w14:paraId="09BB5BF3" w14:textId="56BB73F2" w:rsidR="009F7B0A" w:rsidRPr="005564A4" w:rsidRDefault="009F7B0A" w:rsidP="009F7B0A">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6E8F7CC7" w14:textId="7A5C9DE2" w:rsidR="009F7B0A" w:rsidRPr="005564A4" w:rsidRDefault="009F7B0A" w:rsidP="009F7B0A">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4A049B">
              <w:rPr>
                <w:rFonts w:eastAsia="Calibri" w:cs="Arial"/>
                <w:szCs w:val="24"/>
              </w:rPr>
              <w:t>Obligatoryjny</w:t>
            </w:r>
            <w:r>
              <w:rPr>
                <w:rFonts w:eastAsia="Calibri" w:cs="Arial"/>
                <w:szCs w:val="24"/>
              </w:rPr>
              <w:t xml:space="preserve"> </w:t>
            </w:r>
          </w:p>
        </w:tc>
      </w:tr>
      <w:tr w:rsidR="009F7B0A" w:rsidRPr="005564A4" w14:paraId="20741FA3" w14:textId="74E414B3" w:rsidTr="06B082DB">
        <w:tc>
          <w:tcPr>
            <w:cnfStyle w:val="001000000000" w:firstRow="0" w:lastRow="0" w:firstColumn="1" w:lastColumn="0" w:oddVBand="0" w:evenVBand="0" w:oddHBand="0" w:evenHBand="0" w:firstRowFirstColumn="0" w:firstRowLastColumn="0" w:lastRowFirstColumn="0" w:lastRowLastColumn="0"/>
            <w:tcW w:w="1413" w:type="dxa"/>
          </w:tcPr>
          <w:p w14:paraId="2481384B" w14:textId="32F04E90" w:rsidR="009F7B0A" w:rsidRPr="005564A4" w:rsidRDefault="009F7B0A" w:rsidP="009F7B0A">
            <w:pPr>
              <w:spacing w:line="360" w:lineRule="auto"/>
              <w:rPr>
                <w:rFonts w:eastAsia="Calibri" w:cs="Arial"/>
                <w:szCs w:val="24"/>
              </w:rPr>
            </w:pPr>
            <w:r w:rsidRPr="005564A4">
              <w:rPr>
                <w:rFonts w:eastAsia="Calibri" w:cs="Arial"/>
                <w:szCs w:val="24"/>
              </w:rPr>
              <w:lastRenderedPageBreak/>
              <w:t>EECO13</w:t>
            </w:r>
          </w:p>
        </w:tc>
        <w:tc>
          <w:tcPr>
            <w:tcW w:w="1701" w:type="dxa"/>
          </w:tcPr>
          <w:p w14:paraId="0C594F2B" w14:textId="18C8EB39" w:rsidR="009F7B0A" w:rsidRPr="004A049B" w:rsidRDefault="009F7B0A"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bCs/>
              </w:rPr>
            </w:pPr>
            <w:r w:rsidRPr="06B082DB">
              <w:rPr>
                <w:rFonts w:eastAsia="Calibri" w:cs="Arial"/>
                <w:b/>
                <w:bCs/>
              </w:rPr>
              <w:t xml:space="preserve">Liczba osób z krajów trzecich </w:t>
            </w:r>
            <w:r w:rsidRPr="06B082DB">
              <w:rPr>
                <w:rFonts w:eastAsia="Calibri" w:cs="Arial"/>
                <w:b/>
                <w:bCs/>
              </w:rPr>
              <w:lastRenderedPageBreak/>
              <w:t>objętych wsparciem w programie</w:t>
            </w:r>
          </w:p>
        </w:tc>
        <w:tc>
          <w:tcPr>
            <w:tcW w:w="1559" w:type="dxa"/>
          </w:tcPr>
          <w:p w14:paraId="593EE7C1"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osoby</w:t>
            </w:r>
          </w:p>
        </w:tc>
        <w:tc>
          <w:tcPr>
            <w:tcW w:w="1701" w:type="dxa"/>
          </w:tcPr>
          <w:p w14:paraId="5D4DCDB9"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w:t>
            </w:r>
            <w:r w:rsidRPr="005564A4">
              <w:rPr>
                <w:rFonts w:eastAsia="Calibri" w:cs="Arial"/>
                <w:szCs w:val="24"/>
              </w:rPr>
              <w:lastRenderedPageBreak/>
              <w:t>określona - wskaźnik mierzony na etapie realizacji projektu.</w:t>
            </w:r>
          </w:p>
        </w:tc>
        <w:tc>
          <w:tcPr>
            <w:tcW w:w="3402" w:type="dxa"/>
          </w:tcPr>
          <w:p w14:paraId="0CDA20A8"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Osoby, które są obywatelami krajów spoza UE. Do wskaźnika wlicza się też </w:t>
            </w:r>
            <w:r w:rsidRPr="005564A4">
              <w:rPr>
                <w:rFonts w:eastAsia="Calibri" w:cs="Arial"/>
                <w:szCs w:val="24"/>
              </w:rPr>
              <w:lastRenderedPageBreak/>
              <w:t xml:space="preserve">bezpaństwowców zgodnie z Konwencją o statusie bezpaństwowców z 1954 r. i osoby bez ustalonego obywatelstwa. </w:t>
            </w:r>
          </w:p>
          <w:p w14:paraId="27237678"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Przynależność do grupy osób z krajów trzecich określana jest w momencie rozpoczęcia udziału w projekcie, tj. w chwili rozpoczęcia udziału w pierwszej formie wsparcia w projekcie.</w:t>
            </w:r>
          </w:p>
          <w:p w14:paraId="16849E3B"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gdy obywatelstwo państw trzecich jest kryterium umożliwiającym udział w danej interwencji (np. grupa docelowa wskazana została we </w:t>
            </w:r>
            <w:r w:rsidRPr="005564A4">
              <w:rPr>
                <w:rFonts w:eastAsia="Calibri" w:cs="Arial"/>
                <w:szCs w:val="24"/>
              </w:rPr>
              <w:lastRenderedPageBreak/>
              <w:t xml:space="preserve">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w:t>
            </w:r>
            <w:r w:rsidRPr="005564A4">
              <w:rPr>
                <w:rFonts w:eastAsia="Calibri" w:cs="Arial"/>
                <w:szCs w:val="24"/>
              </w:rPr>
              <w:lastRenderedPageBreak/>
              <w:t xml:space="preserve">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w:t>
            </w:r>
            <w:r w:rsidRPr="005564A4">
              <w:rPr>
                <w:rFonts w:eastAsia="Calibri" w:cs="Arial"/>
                <w:szCs w:val="24"/>
              </w:rPr>
              <w:lastRenderedPageBreak/>
              <w:t>zbieranie danych osobowych dot. tego wskaźnika od uczestników.</w:t>
            </w:r>
          </w:p>
          <w:p w14:paraId="78B6FF98"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1F7852F9" w14:textId="3C76D8F9" w:rsidR="009F7B0A" w:rsidRPr="005564A4" w:rsidRDefault="000E6F22"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lastRenderedPageBreak/>
              <w:t>p</w:t>
            </w:r>
            <w:r w:rsidR="009F7B0A" w:rsidRPr="06B082DB">
              <w:rPr>
                <w:rFonts w:cs="Arial"/>
              </w:rPr>
              <w:t xml:space="preserve">omiar wskaźnika odbywać się </w:t>
            </w:r>
            <w:r w:rsidR="009F7B0A" w:rsidRPr="06B082DB">
              <w:rPr>
                <w:rFonts w:cs="Arial"/>
              </w:rPr>
              <w:lastRenderedPageBreak/>
              <w:t>będzie na etapie realizacji projektu, w momencie objęcia wsparciem w projekcie osób z krajów trzecich.</w:t>
            </w:r>
          </w:p>
        </w:tc>
        <w:tc>
          <w:tcPr>
            <w:tcW w:w="1985" w:type="dxa"/>
          </w:tcPr>
          <w:p w14:paraId="6613CB88" w14:textId="682AD0C5"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6CFB1248" w14:textId="57A99BA0"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009F7B0A" w:rsidRPr="005564A4" w14:paraId="515BAA93" w14:textId="1F786435" w:rsidTr="06B082DB">
        <w:tc>
          <w:tcPr>
            <w:cnfStyle w:val="001000000000" w:firstRow="0" w:lastRow="0" w:firstColumn="1" w:lastColumn="0" w:oddVBand="0" w:evenVBand="0" w:oddHBand="0" w:evenHBand="0" w:firstRowFirstColumn="0" w:firstRowLastColumn="0" w:lastRowFirstColumn="0" w:lastRowLastColumn="0"/>
            <w:tcW w:w="1413" w:type="dxa"/>
          </w:tcPr>
          <w:p w14:paraId="21EE7407" w14:textId="4802C341" w:rsidR="009F7B0A" w:rsidRPr="005564A4" w:rsidRDefault="009F7B0A" w:rsidP="009F7B0A">
            <w:pPr>
              <w:spacing w:after="160" w:line="360" w:lineRule="auto"/>
              <w:rPr>
                <w:rFonts w:eastAsia="Calibri" w:cs="Arial"/>
                <w:szCs w:val="24"/>
              </w:rPr>
            </w:pPr>
            <w:r w:rsidRPr="005564A4">
              <w:rPr>
                <w:rFonts w:eastAsia="Calibri" w:cs="Arial"/>
                <w:szCs w:val="24"/>
              </w:rPr>
              <w:lastRenderedPageBreak/>
              <w:t>EECO14</w:t>
            </w:r>
          </w:p>
        </w:tc>
        <w:tc>
          <w:tcPr>
            <w:tcW w:w="1701" w:type="dxa"/>
          </w:tcPr>
          <w:p w14:paraId="53E5F2C7" w14:textId="77777777" w:rsidR="009F7B0A" w:rsidRPr="004A049B"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obcego pochodzenia objętych wsparciem w programie</w:t>
            </w:r>
          </w:p>
        </w:tc>
        <w:tc>
          <w:tcPr>
            <w:tcW w:w="1559" w:type="dxa"/>
          </w:tcPr>
          <w:p w14:paraId="379FAC03"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701" w:type="dxa"/>
          </w:tcPr>
          <w:p w14:paraId="0396C244"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wskaźnik mierzony na etapie </w:t>
            </w:r>
            <w:r w:rsidRPr="005564A4">
              <w:rPr>
                <w:rFonts w:eastAsia="Calibri" w:cs="Arial"/>
                <w:szCs w:val="24"/>
              </w:rPr>
              <w:lastRenderedPageBreak/>
              <w:t>realizacji projektu.</w:t>
            </w:r>
          </w:p>
        </w:tc>
        <w:tc>
          <w:tcPr>
            <w:tcW w:w="3402" w:type="dxa"/>
          </w:tcPr>
          <w:p w14:paraId="49A74FA4"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Osoby obcego pochodzenia to cudzoziemcy - każda osoba, która nie posiada polskiego obywatelstwa, bez względu na fakt posiadania lub nie obywatelstwa (obywatelstw) innych krajów. </w:t>
            </w:r>
          </w:p>
          <w:p w14:paraId="32A73579"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nie obejmuje osób należących do mniejszości, których udział w projektach monitorowany jest wskaźnikiem </w:t>
            </w:r>
            <w:r w:rsidRPr="005564A4">
              <w:rPr>
                <w:rFonts w:eastAsia="Calibri" w:cs="Arial"/>
                <w:i/>
                <w:szCs w:val="24"/>
              </w:rPr>
              <w:t>liczba osób należących do mniejszości, w tym społeczności marginalizowanych takich jak Romowie, objętych wsparciem w programie</w:t>
            </w:r>
            <w:r w:rsidRPr="005564A4">
              <w:rPr>
                <w:rFonts w:eastAsia="Calibri" w:cs="Arial"/>
                <w:szCs w:val="24"/>
              </w:rPr>
              <w:t>.</w:t>
            </w:r>
          </w:p>
          <w:p w14:paraId="53BB3634"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Przynależność do grupy osób obcego pochodzenia określana jest w momencie rozpoczęcia udziału w projekcie, tj. w chwili rozpoczęcia udziału w pierwszej formie wsparcia w projekcie.</w:t>
            </w:r>
          </w:p>
          <w:p w14:paraId="501B3B29" w14:textId="77777777" w:rsidR="009F7B0A" w:rsidRPr="006A5AF0" w:rsidRDefault="009F7B0A" w:rsidP="009F7B0A">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5564A4">
              <w:rPr>
                <w:rFonts w:eastAsia="Calibri" w:cs="Arial"/>
                <w:szCs w:val="24"/>
              </w:rPr>
              <w:lastRenderedPageBreak/>
              <w:t xml:space="preserve">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w:t>
            </w:r>
            <w:r w:rsidRPr="005564A4">
              <w:rPr>
                <w:rFonts w:eastAsia="Calibri" w:cs="Arial"/>
                <w:szCs w:val="24"/>
              </w:rPr>
              <w:lastRenderedPageBreak/>
              <w:t xml:space="preserve">monitorować, nawet w przypadku, gdy powiązane z nim dane osobowe nie są zbierane od uczestników. Beneficjent stosuje wtedy szacunki. Najlepiej, by szacunki dotyczące uczestników obcego pochodzenia </w:t>
            </w:r>
            <w:r w:rsidRPr="005564A4">
              <w:rPr>
                <w:rFonts w:eastAsia="Times New Roman" w:cs="Arial"/>
                <w:szCs w:val="24"/>
                <w:lang w:eastAsia="pl-PL"/>
              </w:rPr>
              <w:t xml:space="preserve">w ogólnej liczbie uczestników w podziale na płeć były uzyskiwane za pomocą metod, które można statystycznie uzasadnić. Jeśli nie jest to możliwe, należy wykorzystać tzw. wiarygodne szacunki (różne metody szacowania opisano w załączniku do Wytycznych). </w:t>
            </w:r>
            <w:r w:rsidRPr="005564A4">
              <w:rPr>
                <w:rFonts w:eastAsia="Times New Roman" w:cs="Arial"/>
                <w:szCs w:val="24"/>
                <w:lang w:eastAsia="pl-PL"/>
              </w:rPr>
              <w:lastRenderedPageBreak/>
              <w:t xml:space="preserve">Wybraną metodę szacowania należy udokumentować. Uwaga: w danym projekcie może być stosowana wyłącznie jedna metoda monitorowania tego wskaźnika tj. szacowanie lub zbieranie danych osobowych dot. tego wskaźnika od </w:t>
            </w:r>
            <w:r w:rsidRPr="006A5AF0">
              <w:rPr>
                <w:rFonts w:eastAsia="Times New Roman" w:cs="Arial"/>
                <w:szCs w:val="24"/>
                <w:lang w:eastAsia="pl-PL"/>
              </w:rPr>
              <w:t>uczestników.</w:t>
            </w:r>
            <w:r w:rsidRPr="006A5AF0" w:rsidDel="001852A9">
              <w:rPr>
                <w:rFonts w:eastAsia="Times New Roman" w:cs="Arial"/>
                <w:szCs w:val="24"/>
                <w:lang w:eastAsia="pl-PL"/>
              </w:rPr>
              <w:t xml:space="preserve"> </w:t>
            </w:r>
          </w:p>
          <w:p w14:paraId="3FB97EAB" w14:textId="77777777" w:rsidR="009F7B0A" w:rsidRPr="005564A4" w:rsidRDefault="009F7B0A" w:rsidP="009F7B0A">
            <w:pPr>
              <w:spacing w:after="12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6A5AF0">
              <w:rPr>
                <w:rFonts w:eastAsia="Times New Roman" w:cs="Arial"/>
                <w:szCs w:val="24"/>
                <w:lang w:eastAsia="pl-PL"/>
              </w:rPr>
              <w:t>Informacje dodatkowe: Wskaźnik będzie obejmował</w:t>
            </w:r>
            <w:r w:rsidRPr="004A049B">
              <w:rPr>
                <w:rFonts w:eastAsia="Times New Roman" w:cs="Arial"/>
                <w:szCs w:val="24"/>
                <w:lang w:eastAsia="pl-PL"/>
              </w:rPr>
              <w:t xml:space="preserve"> zawsze osoby </w:t>
            </w:r>
            <w:r w:rsidRPr="004A049B">
              <w:rPr>
                <w:rFonts w:eastAsia="Calibri" w:cs="Arial"/>
                <w:szCs w:val="24"/>
              </w:rPr>
              <w:t xml:space="preserve">z krajów trzecich, zliczane we wskaźniku </w:t>
            </w:r>
            <w:r w:rsidRPr="004A049B">
              <w:rPr>
                <w:rFonts w:eastAsia="Calibri" w:cs="Arial"/>
                <w:i/>
                <w:szCs w:val="24"/>
              </w:rPr>
              <w:t>liczba osób z krajów trzecich objętych wsparciem w programie</w:t>
            </w:r>
            <w:r w:rsidRPr="004A049B">
              <w:rPr>
                <w:rFonts w:eastAsia="Calibri" w:cs="Arial"/>
                <w:szCs w:val="24"/>
              </w:rPr>
              <w:t>.</w:t>
            </w:r>
          </w:p>
          <w:p w14:paraId="4A3D39BE"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Zasady dotyczące możliwości wykorzystania wiarygodnych szacunków przez beneficjentów w danym naborze określane są przez właściwą dla programu Instytucję Zarządzającą.</w:t>
            </w:r>
          </w:p>
        </w:tc>
        <w:tc>
          <w:tcPr>
            <w:tcW w:w="1559" w:type="dxa"/>
          </w:tcPr>
          <w:p w14:paraId="29DCFCC6" w14:textId="4C9A37B0" w:rsidR="009F7B0A" w:rsidRPr="005564A4" w:rsidRDefault="000E6F22"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lastRenderedPageBreak/>
              <w:t>p</w:t>
            </w:r>
            <w:r w:rsidR="009F7B0A" w:rsidRPr="06B082DB">
              <w:rPr>
                <w:rFonts w:cs="Arial"/>
              </w:rPr>
              <w:t xml:space="preserve">omiar wskaźnika odbywać się będzie na etapie realizacji projektu, w momencie </w:t>
            </w:r>
            <w:r w:rsidR="009F7B0A" w:rsidRPr="06B082DB">
              <w:rPr>
                <w:rFonts w:cs="Arial"/>
              </w:rPr>
              <w:lastRenderedPageBreak/>
              <w:t>objęcia wsparciem w projekcie osób obcego pochodzenia</w:t>
            </w:r>
          </w:p>
        </w:tc>
        <w:tc>
          <w:tcPr>
            <w:tcW w:w="1985" w:type="dxa"/>
          </w:tcPr>
          <w:p w14:paraId="1DDA0E1A" w14:textId="55337135"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68A91679" w14:textId="66A3C7C5"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009F7B0A" w:rsidRPr="005564A4" w14:paraId="385BA239" w14:textId="47458FC0" w:rsidTr="06B082DB">
        <w:tc>
          <w:tcPr>
            <w:cnfStyle w:val="001000000000" w:firstRow="0" w:lastRow="0" w:firstColumn="1" w:lastColumn="0" w:oddVBand="0" w:evenVBand="0" w:oddHBand="0" w:evenHBand="0" w:firstRowFirstColumn="0" w:firstRowLastColumn="0" w:lastRowFirstColumn="0" w:lastRowLastColumn="0"/>
            <w:tcW w:w="1413" w:type="dxa"/>
          </w:tcPr>
          <w:p w14:paraId="44ABACE8" w14:textId="2D095F65" w:rsidR="009F7B0A" w:rsidRPr="005564A4" w:rsidRDefault="009F7B0A" w:rsidP="009F7B0A">
            <w:pPr>
              <w:spacing w:after="160" w:line="360" w:lineRule="auto"/>
              <w:rPr>
                <w:rFonts w:eastAsia="Calibri" w:cs="Arial"/>
                <w:szCs w:val="24"/>
              </w:rPr>
            </w:pPr>
            <w:r w:rsidRPr="005564A4">
              <w:rPr>
                <w:rFonts w:eastAsia="Calibri" w:cs="Arial"/>
                <w:szCs w:val="24"/>
              </w:rPr>
              <w:lastRenderedPageBreak/>
              <w:t>EECO15</w:t>
            </w:r>
          </w:p>
        </w:tc>
        <w:tc>
          <w:tcPr>
            <w:tcW w:w="1701" w:type="dxa"/>
          </w:tcPr>
          <w:p w14:paraId="09152284" w14:textId="77777777" w:rsidR="009F7B0A" w:rsidRPr="004A049B"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 xml:space="preserve">Liczba osób należących do mniejszości, w tym społeczności marginalizowanych takich jak Romowie, </w:t>
            </w:r>
            <w:r w:rsidRPr="004A049B">
              <w:rPr>
                <w:rFonts w:eastAsia="Calibri" w:cs="Arial"/>
                <w:b/>
                <w:szCs w:val="24"/>
              </w:rPr>
              <w:lastRenderedPageBreak/>
              <w:t>objętych wsparciem w programie</w:t>
            </w:r>
          </w:p>
        </w:tc>
        <w:tc>
          <w:tcPr>
            <w:tcW w:w="1559" w:type="dxa"/>
          </w:tcPr>
          <w:p w14:paraId="0AD9DA74"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osoby</w:t>
            </w:r>
          </w:p>
        </w:tc>
        <w:tc>
          <w:tcPr>
            <w:tcW w:w="1701" w:type="dxa"/>
          </w:tcPr>
          <w:p w14:paraId="629E45F7"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6CEF0CEA"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obejmuje osoby należące do mniejszości narodowych i etnicznych biorące udział w projektach EFS+.</w:t>
            </w:r>
          </w:p>
          <w:p w14:paraId="29CF5456"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Zgodnie z prawem krajowym mniejszości narodowe to mniejszość: białoruska, czeska, litewska, niemiecka, ormiańska, rosyjska, słowacka, ukraińska, </w:t>
            </w:r>
            <w:r w:rsidRPr="005564A4">
              <w:rPr>
                <w:rFonts w:eastAsia="Calibri" w:cs="Arial"/>
                <w:szCs w:val="24"/>
              </w:rPr>
              <w:lastRenderedPageBreak/>
              <w:t>żydowska. Mniejszości etniczne: karaimska, łemkowska, romska, tatarska.</w:t>
            </w:r>
            <w:r w:rsidRPr="005564A4">
              <w:rPr>
                <w:rFonts w:eastAsia="Calibri" w:cs="Arial"/>
                <w:szCs w:val="24"/>
              </w:rPr>
              <w:br/>
              <w:t>Definicja opracowana na podstawie ustawy z dnia 6 stycznia 2005 r. o mniejszościach narodowych i etnicznych oraz o języku regionalnym.</w:t>
            </w:r>
          </w:p>
          <w:p w14:paraId="11E32D4E"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Przynależność do grupy osób należących do mniejszości określana jest w momencie rozpoczęcia udziału w projekcie, tj. w chwili rozpoczęcia udziału w pierwszej formie wsparcia w projekcie.</w:t>
            </w:r>
          </w:p>
          <w:p w14:paraId="534DB671"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w:t>
            </w:r>
            <w:r w:rsidRPr="005564A4">
              <w:rPr>
                <w:rFonts w:eastAsia="Calibri" w:cs="Arial"/>
                <w:szCs w:val="24"/>
              </w:rPr>
              <w:lastRenderedPageBreak/>
              <w:t xml:space="preserve">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w:t>
            </w:r>
            <w:r w:rsidRPr="005564A4">
              <w:rPr>
                <w:rFonts w:eastAsia="Calibri" w:cs="Arial"/>
                <w:szCs w:val="24"/>
              </w:rPr>
              <w:lastRenderedPageBreak/>
              <w:t>należy udokumentować. Uwaga: w danym projekcie może być stosowana wyłącznie jedna metoda monitorowania tego wskaźnika tj. szacowanie lub zbieranie danych osobowych dot. tego wskaźnika od uczestników.</w:t>
            </w:r>
          </w:p>
          <w:p w14:paraId="675CF43A"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7412337A" w14:textId="536569E7" w:rsidR="009F7B0A" w:rsidRPr="005564A4" w:rsidRDefault="000E6F22"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lastRenderedPageBreak/>
              <w:t>p</w:t>
            </w:r>
            <w:r w:rsidR="009F7B0A" w:rsidRPr="06B082DB">
              <w:rPr>
                <w:rFonts w:cs="Arial"/>
              </w:rPr>
              <w:t xml:space="preserve">omiar wskaźnika odbywać się będzie na etapie realizacji projektu, w momencie objęcia wsparciem w projekcie </w:t>
            </w:r>
            <w:r w:rsidR="009F7B0A" w:rsidRPr="06B082DB">
              <w:rPr>
                <w:rFonts w:cs="Arial"/>
              </w:rPr>
              <w:lastRenderedPageBreak/>
              <w:t>osób należących do mniejszości, w tym społeczności marginalizowanych takich jak Romowie</w:t>
            </w:r>
          </w:p>
        </w:tc>
        <w:tc>
          <w:tcPr>
            <w:tcW w:w="1985" w:type="dxa"/>
          </w:tcPr>
          <w:p w14:paraId="794DCA6D" w14:textId="136A0770"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52A899EE" w14:textId="34E55137"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009F7B0A" w:rsidRPr="005564A4" w14:paraId="6564A7B8" w14:textId="4FA9C46B" w:rsidTr="06B082DB">
        <w:tc>
          <w:tcPr>
            <w:cnfStyle w:val="001000000000" w:firstRow="0" w:lastRow="0" w:firstColumn="1" w:lastColumn="0" w:oddVBand="0" w:evenVBand="0" w:oddHBand="0" w:evenHBand="0" w:firstRowFirstColumn="0" w:firstRowLastColumn="0" w:lastRowFirstColumn="0" w:lastRowLastColumn="0"/>
            <w:tcW w:w="1413" w:type="dxa"/>
          </w:tcPr>
          <w:p w14:paraId="2E6B2A77" w14:textId="5B9D63CE" w:rsidR="009F7B0A" w:rsidRPr="005564A4" w:rsidRDefault="009F7B0A" w:rsidP="009F7B0A">
            <w:pPr>
              <w:spacing w:after="160" w:line="360" w:lineRule="auto"/>
              <w:rPr>
                <w:rFonts w:eastAsia="Calibri" w:cs="Arial"/>
                <w:szCs w:val="24"/>
              </w:rPr>
            </w:pPr>
            <w:r w:rsidRPr="005564A4">
              <w:rPr>
                <w:rFonts w:eastAsia="Calibri" w:cs="Arial"/>
                <w:szCs w:val="24"/>
              </w:rPr>
              <w:lastRenderedPageBreak/>
              <w:t>EECO16</w:t>
            </w:r>
          </w:p>
        </w:tc>
        <w:tc>
          <w:tcPr>
            <w:tcW w:w="1701" w:type="dxa"/>
          </w:tcPr>
          <w:p w14:paraId="6048F530" w14:textId="553D5B58" w:rsidR="009F7B0A" w:rsidRPr="004A049B"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w kryzysie bezdomności lub dotkniętych wykluczeniem z dostępu do mieszkań, objętych wsparciem w programie</w:t>
            </w:r>
          </w:p>
        </w:tc>
        <w:tc>
          <w:tcPr>
            <w:tcW w:w="1559" w:type="dxa"/>
          </w:tcPr>
          <w:p w14:paraId="69F32A19"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701" w:type="dxa"/>
          </w:tcPr>
          <w:p w14:paraId="30A2DDFF"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732B3C1A" w14:textId="2741D7A6" w:rsidR="009F7B0A" w:rsidRPr="005564A4" w:rsidRDefault="009F7B0A"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Pr>
                <w:rFonts w:eastAsia="Calibri" w:cs="Arial"/>
              </w:rPr>
              <w:t>We wskaźniku wykazywane są osoby w kryzysie bezdomności lub dotknięte wykluczeniem z dostępu do</w:t>
            </w:r>
            <w:r w:rsidR="59D9911D" w:rsidRPr="06B082DB">
              <w:rPr>
                <w:rFonts w:eastAsia="Calibri" w:cs="Arial"/>
              </w:rPr>
              <w:t xml:space="preserve"> </w:t>
            </w:r>
            <w:r w:rsidRPr="06B082DB">
              <w:rPr>
                <w:rFonts w:eastAsia="Calibri" w:cs="Arial"/>
              </w:rPr>
              <w:t>mieszkań.</w:t>
            </w:r>
            <w:r w:rsidRPr="06B082DB">
              <w:rPr>
                <w:rFonts w:eastAsia="Calibri" w:cs="Arial"/>
              </w:rPr>
              <w:br w:type="page"/>
            </w:r>
          </w:p>
          <w:p w14:paraId="5CADA1B0"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5564A4">
              <w:rPr>
                <w:rFonts w:eastAsia="Calibri" w:cs="Arial"/>
                <w:szCs w:val="24"/>
              </w:rPr>
              <w:br w:type="page"/>
              <w:t xml:space="preserve"> </w:t>
            </w:r>
          </w:p>
          <w:p w14:paraId="0C20BAAD" w14:textId="77777777" w:rsidR="009F7B0A" w:rsidRPr="005564A4" w:rsidRDefault="009F7B0A" w:rsidP="009F7B0A">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Bez dachu nad głową, w tym osoby żyjące w przestrzeni publicznej lub zakwaterowane interwencyjnie;</w:t>
            </w:r>
          </w:p>
          <w:p w14:paraId="5EA63B3D" w14:textId="77777777" w:rsidR="009F7B0A" w:rsidRPr="005564A4" w:rsidRDefault="009F7B0A" w:rsidP="009F7B0A">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br w:type="page"/>
              <w:t xml:space="preserve">Bez mieszkania, w tym osoby zakwaterowane w placówkach dla bezdomnych, w schroniskach dla kobiet, schroniskach dla imigrantów, osoby opuszczające instytucje penitencjarne/karne/medyczne, instytucje opiekuńcze, osoby otrzymujące </w:t>
            </w:r>
            <w:r w:rsidRPr="005564A4">
              <w:rPr>
                <w:rFonts w:eastAsia="Calibri" w:cs="Arial"/>
                <w:szCs w:val="24"/>
              </w:rPr>
              <w:lastRenderedPageBreak/>
              <w:t xml:space="preserve">długookresowe wsparcie z powodu bezdomności - specjalistyczne zakwaterowanie wspierane); </w:t>
            </w:r>
          </w:p>
          <w:p w14:paraId="2A3B7C70" w14:textId="77777777" w:rsidR="009F7B0A" w:rsidRPr="005564A4" w:rsidRDefault="009F7B0A" w:rsidP="009F7B0A">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Niezabezpieczone zakwaterowanie, w tym osoby w lokalach niezabezpieczonych – przebywające czasowo u rodziny/przyjaciół, tj. przebywające w konwencjonalnych warunkach lokalowych, ale nie w stałym miejscu </w:t>
            </w:r>
            <w:r w:rsidRPr="005564A4">
              <w:rPr>
                <w:rFonts w:eastAsia="Calibri" w:cs="Arial"/>
                <w:szCs w:val="24"/>
              </w:rPr>
              <w:lastRenderedPageBreak/>
              <w:t>zamieszkania ze względu na brak posiadania takiego, wynajmujący nielegalnie lub nielegalnie zajmujące ziemie, osoby posiadające niepewny najem z nakazem eksmisji, osoby zagrożone przemocą;</w:t>
            </w:r>
          </w:p>
          <w:p w14:paraId="47219008" w14:textId="77777777" w:rsidR="009F7B0A" w:rsidRPr="005564A4" w:rsidRDefault="009F7B0A" w:rsidP="009F7B0A">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br w:type="page"/>
              <w:t xml:space="preserve">Nieodpowiednie warunki mieszkaniowe, w tym osoby zamieszkujące konstrukcje tymczasowe/nietrwałe, mieszkania </w:t>
            </w:r>
            <w:proofErr w:type="spellStart"/>
            <w:r w:rsidRPr="005564A4">
              <w:rPr>
                <w:rFonts w:eastAsia="Calibri" w:cs="Arial"/>
                <w:szCs w:val="24"/>
              </w:rPr>
              <w:lastRenderedPageBreak/>
              <w:t>substandardowe</w:t>
            </w:r>
            <w:proofErr w:type="spellEnd"/>
            <w:r w:rsidRPr="005564A4">
              <w:rPr>
                <w:rFonts w:eastAsia="Calibri" w:cs="Arial"/>
                <w:szCs w:val="24"/>
              </w:rPr>
              <w:t xml:space="preserve"> - lokale nienadające się do zamieszkania wg standardu krajowego, w warunkach skrajnego przeludnienia;</w:t>
            </w:r>
          </w:p>
          <w:p w14:paraId="6D9F5759" w14:textId="77777777" w:rsidR="009F7B0A" w:rsidRPr="005564A4" w:rsidRDefault="009F7B0A" w:rsidP="009F7B0A">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Osoby niezamieszkujące w lokalu mieszkalnym w rozumieniu przepisów o ochronie praw lokatorów i mieszkaniowym zasobie gminy i niezameldowane na pobyt stały, w rozumieniu przepisów </w:t>
            </w:r>
            <w:r w:rsidRPr="005564A4">
              <w:rPr>
                <w:rFonts w:eastAsia="Calibri" w:cs="Arial"/>
                <w:szCs w:val="24"/>
              </w:rPr>
              <w:lastRenderedPageBreak/>
              <w:t>o ewidencji ludności, a także osoby niezamieszkujące w lokalu mieszkalnym i zameldowaną na pobyt stały w lokalu, w którym nie ma możliwości zamieszkania.</w:t>
            </w:r>
          </w:p>
          <w:p w14:paraId="14E6E65F"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 dorosłe mieszkające z rodzicami nie powinny być wykazywane we wskaźniku, chyba że wszystkie te osoby są w kryzysie bezdomności lub mieszkają w nieodpowiednich i niebezpiecznych warunkach.</w:t>
            </w:r>
          </w:p>
          <w:p w14:paraId="792099DC"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w:t>
            </w:r>
            <w:r w:rsidRPr="005564A4">
              <w:rPr>
                <w:rFonts w:eastAsia="Calibri" w:cs="Arial"/>
                <w:szCs w:val="24"/>
              </w:rPr>
              <w:lastRenderedPageBreak/>
              <w:t xml:space="preserve">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w:t>
            </w:r>
            <w:r w:rsidRPr="005564A4">
              <w:rPr>
                <w:rFonts w:eastAsia="Calibri" w:cs="Arial"/>
                <w:szCs w:val="24"/>
              </w:rPr>
              <w:lastRenderedPageBreak/>
              <w:t>załączniku do Wytycznych). Wybraną metodę szacowania należy udokumentować. Uwaga: w danym projekcie może być stosowana wyłącznie jedna metoda monitorowania tego wskaźnika tj. szacowanie lub zbieranie danych osobowych dot. tego wskaźnika od uczestników.</w:t>
            </w:r>
            <w:r w:rsidRPr="005564A4" w:rsidDel="001852A9">
              <w:rPr>
                <w:rFonts w:eastAsia="Calibri" w:cs="Arial"/>
                <w:szCs w:val="24"/>
              </w:rPr>
              <w:t xml:space="preserve"> </w:t>
            </w:r>
          </w:p>
          <w:p w14:paraId="72BB7478"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Przynależność do grupy osób w kryzysie bezdomności lub dotkniętych wykluczeniem z dostępu do mieszkań określana jest w momencie rozpoczęcia udziału w projekcie, tj. w chwili </w:t>
            </w:r>
            <w:r w:rsidRPr="005564A4">
              <w:rPr>
                <w:rFonts w:eastAsia="Calibri" w:cs="Arial"/>
                <w:szCs w:val="24"/>
              </w:rPr>
              <w:lastRenderedPageBreak/>
              <w:t xml:space="preserve">rozpoczęcia udziału w pierwszej formie wsparcia w projekcie. </w:t>
            </w:r>
          </w:p>
          <w:p w14:paraId="1C7020FF"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14AEA4CA" w14:textId="3AA90872" w:rsidR="009F7B0A" w:rsidRPr="005564A4" w:rsidRDefault="000E6F22"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lastRenderedPageBreak/>
              <w:t>p</w:t>
            </w:r>
            <w:r w:rsidR="009F7B0A" w:rsidRPr="06B082DB">
              <w:rPr>
                <w:rFonts w:cs="Arial"/>
              </w:rPr>
              <w:t xml:space="preserve">omiar wskaźnika odbywać się będzie na etapie realizacji projektu, w momencie objęcia wsparciem w projekcie osób w kryzysie bezdomności lub dotkniętych wykluczeniem z dostępu </w:t>
            </w:r>
            <w:r w:rsidR="009F7B0A" w:rsidRPr="06B082DB">
              <w:rPr>
                <w:rFonts w:cs="Arial"/>
              </w:rPr>
              <w:lastRenderedPageBreak/>
              <w:t>do mieszkań.</w:t>
            </w:r>
          </w:p>
        </w:tc>
        <w:tc>
          <w:tcPr>
            <w:tcW w:w="1985" w:type="dxa"/>
          </w:tcPr>
          <w:p w14:paraId="0AF49E2C" w14:textId="3D7EE7AA"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3EE12F23" w14:textId="5D756E41"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bl>
    <w:p w14:paraId="7244344A" w14:textId="22BE93B0" w:rsidR="0094783B" w:rsidRDefault="0094783B" w:rsidP="0094783B"/>
    <w:p w14:paraId="1E71290D" w14:textId="77777777" w:rsidR="004F43B3" w:rsidRDefault="004F43B3">
      <w:pPr>
        <w:spacing w:after="160"/>
        <w:rPr>
          <w:rFonts w:eastAsia="Calibri" w:cstheme="majorBidi"/>
          <w:b/>
          <w:color w:val="2E74B5" w:themeColor="accent1" w:themeShade="BF"/>
          <w:szCs w:val="32"/>
        </w:rPr>
      </w:pPr>
      <w:r>
        <w:rPr>
          <w:rFonts w:eastAsia="Calibri"/>
        </w:rPr>
        <w:br w:type="page"/>
      </w:r>
    </w:p>
    <w:p w14:paraId="7E32AD26" w14:textId="23DE33AD" w:rsidR="00292241" w:rsidRDefault="00292241" w:rsidP="00D0117A">
      <w:pPr>
        <w:pStyle w:val="Nagwek1"/>
        <w:rPr>
          <w:rFonts w:eastAsia="Calibri"/>
          <w:sz w:val="24"/>
        </w:rPr>
      </w:pPr>
      <w:r w:rsidRPr="00D0117A">
        <w:rPr>
          <w:rFonts w:eastAsia="Calibri"/>
          <w:sz w:val="24"/>
        </w:rPr>
        <w:lastRenderedPageBreak/>
        <w:t>Wskaźniki monitoringowe dotyczące podmiotów</w:t>
      </w:r>
    </w:p>
    <w:p w14:paraId="6AE3B315" w14:textId="77777777" w:rsidR="0094783B" w:rsidRPr="0094783B" w:rsidRDefault="0094783B" w:rsidP="0094783B"/>
    <w:tbl>
      <w:tblPr>
        <w:tblStyle w:val="Tabelasiatki1jasna"/>
        <w:tblW w:w="15304" w:type="dxa"/>
        <w:tblInd w:w="-431" w:type="dxa"/>
        <w:tblLayout w:type="fixed"/>
        <w:tblLook w:val="04A0" w:firstRow="1" w:lastRow="0" w:firstColumn="1" w:lastColumn="0" w:noHBand="0" w:noVBand="1"/>
        <w:tblCaption w:val="Wskaźniki monitoringowe dotyczące podmiotów"/>
        <w:tblDescription w:val="W tabeli przedstawiono wskaźniki monitoringowe dotyczące podmiotów. "/>
      </w:tblPr>
      <w:tblGrid>
        <w:gridCol w:w="1413"/>
        <w:gridCol w:w="1701"/>
        <w:gridCol w:w="1418"/>
        <w:gridCol w:w="1418"/>
        <w:gridCol w:w="3826"/>
        <w:gridCol w:w="1559"/>
        <w:gridCol w:w="1985"/>
        <w:gridCol w:w="1984"/>
      </w:tblGrid>
      <w:tr w:rsidR="006A5AF0" w:rsidRPr="005564A4" w14:paraId="50D82A8C" w14:textId="67FD6168" w:rsidTr="006574F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79297C78" w14:textId="77777777" w:rsidR="006A5AF0" w:rsidRPr="005564A4" w:rsidRDefault="006A5AF0" w:rsidP="00822200">
            <w:pPr>
              <w:spacing w:after="160" w:line="360" w:lineRule="auto"/>
              <w:jc w:val="center"/>
              <w:rPr>
                <w:rFonts w:eastAsia="Calibri" w:cs="Arial"/>
                <w:szCs w:val="24"/>
              </w:rPr>
            </w:pPr>
            <w:r w:rsidRPr="005564A4">
              <w:rPr>
                <w:rFonts w:eastAsia="Calibri" w:cs="Arial"/>
                <w:szCs w:val="24"/>
              </w:rPr>
              <w:t>Kod wskaźnika</w:t>
            </w:r>
          </w:p>
        </w:tc>
        <w:tc>
          <w:tcPr>
            <w:tcW w:w="1701" w:type="dxa"/>
            <w:shd w:val="clear" w:color="auto" w:fill="D9D9D9" w:themeFill="background1" w:themeFillShade="D9"/>
            <w:vAlign w:val="center"/>
          </w:tcPr>
          <w:p w14:paraId="4798F690" w14:textId="77777777"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18" w:type="dxa"/>
            <w:shd w:val="clear" w:color="auto" w:fill="D9D9D9" w:themeFill="background1" w:themeFillShade="D9"/>
            <w:vAlign w:val="center"/>
          </w:tcPr>
          <w:p w14:paraId="5237CC9A" w14:textId="135D2C42"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418" w:type="dxa"/>
            <w:shd w:val="clear" w:color="auto" w:fill="D9D9D9" w:themeFill="background1" w:themeFillShade="D9"/>
            <w:vAlign w:val="center"/>
          </w:tcPr>
          <w:p w14:paraId="41B10510" w14:textId="548118CE"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3826" w:type="dxa"/>
            <w:shd w:val="clear" w:color="auto" w:fill="D9D9D9" w:themeFill="background1" w:themeFillShade="D9"/>
            <w:vAlign w:val="center"/>
          </w:tcPr>
          <w:p w14:paraId="3F1C1DD7" w14:textId="0D5B18D3"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sidR="004A049B">
              <w:rPr>
                <w:rFonts w:eastAsia="Calibri" w:cs="Arial"/>
                <w:szCs w:val="24"/>
              </w:rPr>
              <w:t xml:space="preserve"> wskaźnika</w:t>
            </w:r>
          </w:p>
        </w:tc>
        <w:tc>
          <w:tcPr>
            <w:tcW w:w="1559" w:type="dxa"/>
            <w:shd w:val="clear" w:color="auto" w:fill="D9D9D9" w:themeFill="background1" w:themeFillShade="D9"/>
            <w:vAlign w:val="center"/>
          </w:tcPr>
          <w:p w14:paraId="34B19194" w14:textId="5FA0E4EB"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1B2AB7C1" w14:textId="59E109DA" w:rsidR="006A5AF0" w:rsidRPr="005564A4" w:rsidRDefault="006A5AF0"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Narzędzia pomiaru</w:t>
            </w:r>
          </w:p>
        </w:tc>
        <w:tc>
          <w:tcPr>
            <w:tcW w:w="1984" w:type="dxa"/>
            <w:shd w:val="clear" w:color="auto" w:fill="D9D9D9" w:themeFill="background1" w:themeFillShade="D9"/>
          </w:tcPr>
          <w:p w14:paraId="4C25ABC3" w14:textId="77777777" w:rsidR="006A5AF0" w:rsidRDefault="006A5AF0"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p>
          <w:p w14:paraId="7E8ED261" w14:textId="7D95F011" w:rsidR="006A5AF0" w:rsidRDefault="006A5AF0"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9F7B0A" w:rsidRPr="005564A4" w14:paraId="187FCCA4" w14:textId="7F2378A3" w:rsidTr="06B082DB">
        <w:tc>
          <w:tcPr>
            <w:cnfStyle w:val="001000000000" w:firstRow="0" w:lastRow="0" w:firstColumn="1" w:lastColumn="0" w:oddVBand="0" w:evenVBand="0" w:oddHBand="0" w:evenHBand="0" w:firstRowFirstColumn="0" w:firstRowLastColumn="0" w:lastRowFirstColumn="0" w:lastRowLastColumn="0"/>
            <w:tcW w:w="1413" w:type="dxa"/>
          </w:tcPr>
          <w:p w14:paraId="0FE528FC" w14:textId="568772A2" w:rsidR="009F7B0A" w:rsidRPr="005564A4" w:rsidRDefault="009F7B0A" w:rsidP="009F7B0A">
            <w:pPr>
              <w:spacing w:after="160" w:line="360" w:lineRule="auto"/>
              <w:rPr>
                <w:rFonts w:eastAsia="Calibri" w:cs="Arial"/>
                <w:szCs w:val="24"/>
              </w:rPr>
            </w:pPr>
            <w:r w:rsidRPr="005564A4">
              <w:rPr>
                <w:rFonts w:eastAsia="Calibri" w:cs="Arial"/>
                <w:szCs w:val="24"/>
              </w:rPr>
              <w:t>EECO18</w:t>
            </w:r>
          </w:p>
        </w:tc>
        <w:tc>
          <w:tcPr>
            <w:tcW w:w="1701" w:type="dxa"/>
          </w:tcPr>
          <w:p w14:paraId="65620324" w14:textId="77777777" w:rsidR="009F7B0A" w:rsidRPr="00D013D3"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Liczba objętych wsparciem podmiotów administracji publicznej lub służb publicznych na szczeblu krajowym, regionalnym lub lokalnym</w:t>
            </w:r>
          </w:p>
        </w:tc>
        <w:tc>
          <w:tcPr>
            <w:tcW w:w="1418" w:type="dxa"/>
          </w:tcPr>
          <w:p w14:paraId="7C1F73BC"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podmioty</w:t>
            </w:r>
          </w:p>
        </w:tc>
        <w:tc>
          <w:tcPr>
            <w:tcW w:w="1418" w:type="dxa"/>
          </w:tcPr>
          <w:p w14:paraId="5DA7F692"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826" w:type="dxa"/>
          </w:tcPr>
          <w:p w14:paraId="0FAB21DF"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 służby publiczne uznaje się publiczne lub prywatne podmioty, które świadczą usługi publiczne (w przypadku usług publicznych zlecanych przez państwo podmiotom prywatnym lub świadczonych w ramach partnerstwa publiczno-prywatnego).</w:t>
            </w:r>
          </w:p>
          <w:p w14:paraId="333F31E4"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Przez administrację publiczną rozumie się: administrację wykonawczą i prawodawczą na poziomie centralnym, regionalnym i lokalnym; administrację i nadzór nad sprawami podatkowymi (obsługa </w:t>
            </w:r>
            <w:r w:rsidRPr="005564A4">
              <w:rPr>
                <w:rFonts w:eastAsia="Calibri" w:cs="Arial"/>
                <w:szCs w:val="24"/>
              </w:rPr>
              <w:lastRenderedPageBreak/>
              <w:t xml:space="preserve">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w:t>
            </w:r>
            <w:r w:rsidRPr="005564A4">
              <w:rPr>
                <w:rFonts w:eastAsia="Calibri" w:cs="Arial"/>
                <w:szCs w:val="24"/>
              </w:rPr>
              <w:lastRenderedPageBreak/>
              <w:t>oraz usług statystycznych na różnych szczeblach rządzenia.</w:t>
            </w:r>
          </w:p>
          <w:p w14:paraId="1A69D56B"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Informacje dotyczące podmiotów objętych wsparciem powinny pochodzić z dokumentów administracyjnych np. z umów o dofinansowanie.</w:t>
            </w:r>
          </w:p>
          <w:p w14:paraId="692D1853"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 wskaźnika wliczane są tylko te podmioty, dla których można wyróżnić wydatki (nie dotyczy pomocy technicznej).</w:t>
            </w:r>
          </w:p>
          <w:p w14:paraId="020B19AC"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 jest wliczany do wskaźnika w momencie rozpoczęcia udziału w projekcie.</w:t>
            </w:r>
          </w:p>
        </w:tc>
        <w:tc>
          <w:tcPr>
            <w:tcW w:w="1559" w:type="dxa"/>
          </w:tcPr>
          <w:p w14:paraId="7EE49613" w14:textId="3820E983" w:rsidR="009F7B0A" w:rsidRPr="005564A4" w:rsidRDefault="000E6F22"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lastRenderedPageBreak/>
              <w:t>p</w:t>
            </w:r>
            <w:r w:rsidR="009F7B0A" w:rsidRPr="06B082DB">
              <w:rPr>
                <w:rFonts w:cs="Arial"/>
              </w:rPr>
              <w:t xml:space="preserve">omiar wskaźnika odbywać się będzie na etapie realizacji projektu, w momencie objęcia wsparciem w projekcie podmiotów administracji publicznej lub służb publicznych </w:t>
            </w:r>
            <w:r w:rsidR="009F7B0A" w:rsidRPr="06B082DB">
              <w:rPr>
                <w:rFonts w:cs="Arial"/>
              </w:rPr>
              <w:lastRenderedPageBreak/>
              <w:t>na szczeblu krajowym, regionalnym lub lokalnym.</w:t>
            </w:r>
          </w:p>
        </w:tc>
        <w:tc>
          <w:tcPr>
            <w:tcW w:w="1985" w:type="dxa"/>
          </w:tcPr>
          <w:p w14:paraId="225E58C2" w14:textId="6FA12DA8"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0ED80B44" w14:textId="2E8FAC05"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009F7B0A" w:rsidRPr="005564A4" w14:paraId="373BA654" w14:textId="4F58C865" w:rsidTr="06B082DB">
        <w:tc>
          <w:tcPr>
            <w:cnfStyle w:val="001000000000" w:firstRow="0" w:lastRow="0" w:firstColumn="1" w:lastColumn="0" w:oddVBand="0" w:evenVBand="0" w:oddHBand="0" w:evenHBand="0" w:firstRowFirstColumn="0" w:firstRowLastColumn="0" w:lastRowFirstColumn="0" w:lastRowLastColumn="0"/>
            <w:tcW w:w="1413" w:type="dxa"/>
          </w:tcPr>
          <w:p w14:paraId="79DA71F6" w14:textId="25459016" w:rsidR="009F7B0A" w:rsidRPr="005564A4" w:rsidRDefault="009F7B0A" w:rsidP="009F7B0A">
            <w:pPr>
              <w:spacing w:after="160" w:line="360" w:lineRule="auto"/>
              <w:rPr>
                <w:rFonts w:eastAsia="Calibri" w:cs="Arial"/>
                <w:szCs w:val="24"/>
              </w:rPr>
            </w:pPr>
            <w:r w:rsidRPr="005564A4">
              <w:rPr>
                <w:rFonts w:eastAsia="Calibri" w:cs="Arial"/>
                <w:szCs w:val="24"/>
              </w:rPr>
              <w:lastRenderedPageBreak/>
              <w:t>EECO19</w:t>
            </w:r>
          </w:p>
        </w:tc>
        <w:tc>
          <w:tcPr>
            <w:tcW w:w="1701" w:type="dxa"/>
          </w:tcPr>
          <w:p w14:paraId="4C52E806" w14:textId="77777777" w:rsidR="009F7B0A" w:rsidRPr="00176B8D"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176B8D">
              <w:rPr>
                <w:rFonts w:eastAsia="Calibri" w:cs="Arial"/>
                <w:b/>
                <w:szCs w:val="24"/>
              </w:rPr>
              <w:t>Liczba objętych wsparciem mikro-, małych i średnich przedsiębiorstw (w tym spółdzielni i przedsiębiorstw społecznych)</w:t>
            </w:r>
          </w:p>
        </w:tc>
        <w:tc>
          <w:tcPr>
            <w:tcW w:w="1418" w:type="dxa"/>
          </w:tcPr>
          <w:p w14:paraId="239BF92F"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przedsiębiorstwa</w:t>
            </w:r>
          </w:p>
        </w:tc>
        <w:tc>
          <w:tcPr>
            <w:tcW w:w="1418" w:type="dxa"/>
          </w:tcPr>
          <w:p w14:paraId="31B35319"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826" w:type="dxa"/>
          </w:tcPr>
          <w:p w14:paraId="4787A373"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 przedsiębiorstwo uważa się podmiot prowadzący działalność gospodarczą bez względu na jego formę prawną, w tym spółdzielnie i przedsiębiorstwa społeczne.</w:t>
            </w:r>
          </w:p>
          <w:p w14:paraId="3996438D"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54AA4AB8"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Definicje na podstawie: Zalecenie Komisji z dnia 6 maja 2003 r. dotyczące definicji mikroprzedsiębiorstw oraz małych i średnich przedsiębiorstw (2003/361/WE).</w:t>
            </w:r>
          </w:p>
          <w:p w14:paraId="24014E29"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Dodatkowe informacje:</w:t>
            </w:r>
          </w:p>
          <w:p w14:paraId="61204226"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 kategorii mikroprzedsiębiorstwa należy uwzględnić również osoby prowadzące działalność na własny rachunek.</w:t>
            </w:r>
          </w:p>
          <w:p w14:paraId="2D96A20B"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Tylko MMŚP, które korzystają bezpośrednio ze wsparcia powinny być uwzględniane do wskaźnika, tj. w przypadku, kiedy wsparcie jest kierowane do </w:t>
            </w:r>
            <w:r w:rsidRPr="005564A4">
              <w:rPr>
                <w:rFonts w:eastAsia="Calibri" w:cs="Arial"/>
                <w:szCs w:val="24"/>
              </w:rPr>
              <w:lastRenderedPageBreak/>
              <w:t>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06D34B9A" w14:textId="77777777" w:rsidR="009F7B0A" w:rsidRPr="005564A4" w:rsidRDefault="009F7B0A" w:rsidP="009F7B0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 jest wliczany do wskaźnika w momencie rozpoczęcia udziału w projekcie.</w:t>
            </w:r>
          </w:p>
        </w:tc>
        <w:tc>
          <w:tcPr>
            <w:tcW w:w="1559" w:type="dxa"/>
          </w:tcPr>
          <w:p w14:paraId="730810FC" w14:textId="79423016" w:rsidR="009F7B0A" w:rsidRPr="005564A4" w:rsidRDefault="000E6F22" w:rsidP="06B082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lastRenderedPageBreak/>
              <w:t>p</w:t>
            </w:r>
            <w:r w:rsidR="009F7B0A" w:rsidRPr="06B082DB">
              <w:rPr>
                <w:rFonts w:cs="Arial"/>
              </w:rPr>
              <w:t>omiar wskaźnika odbywać się będzie na etapie realizacji projektu, w momencie objęcia wsparciem w projekcie mikro-, małych i średnich przedsiębiorstw (w tym spółdzielni i przedsiębior</w:t>
            </w:r>
            <w:r w:rsidR="009F7B0A" w:rsidRPr="06B082DB">
              <w:rPr>
                <w:rFonts w:cs="Arial"/>
              </w:rPr>
              <w:lastRenderedPageBreak/>
              <w:t>stw społecznych).</w:t>
            </w:r>
          </w:p>
        </w:tc>
        <w:tc>
          <w:tcPr>
            <w:tcW w:w="1985" w:type="dxa"/>
          </w:tcPr>
          <w:p w14:paraId="17807CAD" w14:textId="7E038704"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14:paraId="1C0CB70A" w14:textId="10157010" w:rsidR="009F7B0A" w:rsidRPr="005564A4" w:rsidRDefault="009F7B0A" w:rsidP="009F7B0A">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76B8D">
              <w:rPr>
                <w:rFonts w:cs="Arial"/>
                <w:szCs w:val="24"/>
              </w:rPr>
              <w:t>Obligatoryjny</w:t>
            </w:r>
          </w:p>
        </w:tc>
      </w:tr>
    </w:tbl>
    <w:p w14:paraId="7CD409C9" w14:textId="4C0FDB26" w:rsidR="008876A1" w:rsidRDefault="008876A1" w:rsidP="00292241">
      <w:pPr>
        <w:rPr>
          <w:sz w:val="20"/>
          <w:szCs w:val="24"/>
        </w:rPr>
      </w:pPr>
    </w:p>
    <w:p w14:paraId="17571A92" w14:textId="77777777" w:rsidR="0094783B" w:rsidRPr="00D0117A" w:rsidRDefault="0094783B" w:rsidP="00292241">
      <w:pPr>
        <w:rPr>
          <w:sz w:val="20"/>
          <w:szCs w:val="24"/>
        </w:rPr>
      </w:pPr>
    </w:p>
    <w:p w14:paraId="1951956F" w14:textId="3B1A6D57" w:rsidR="00F60526" w:rsidRDefault="00F60526" w:rsidP="00D0117A">
      <w:pPr>
        <w:pStyle w:val="Nagwek1"/>
        <w:rPr>
          <w:sz w:val="24"/>
        </w:rPr>
      </w:pPr>
      <w:r w:rsidRPr="00D0117A">
        <w:rPr>
          <w:sz w:val="24"/>
        </w:rPr>
        <w:lastRenderedPageBreak/>
        <w:t xml:space="preserve">Wskaźniki specyficzne dla projektu </w:t>
      </w:r>
    </w:p>
    <w:tbl>
      <w:tblPr>
        <w:tblStyle w:val="Tabelasiatki1jasna"/>
        <w:tblW w:w="15304" w:type="dxa"/>
        <w:tblInd w:w="-431" w:type="dxa"/>
        <w:tblLayout w:type="fixed"/>
        <w:tblLook w:val="04A0" w:firstRow="1" w:lastRow="0" w:firstColumn="1" w:lastColumn="0" w:noHBand="0" w:noVBand="1"/>
        <w:tblDescription w:val="W tabeli przedstawiono wskaźniki specyficzne dla projektu"/>
      </w:tblPr>
      <w:tblGrid>
        <w:gridCol w:w="1702"/>
        <w:gridCol w:w="2268"/>
        <w:gridCol w:w="1276"/>
        <w:gridCol w:w="1984"/>
        <w:gridCol w:w="2546"/>
        <w:gridCol w:w="1559"/>
        <w:gridCol w:w="1985"/>
        <w:gridCol w:w="1984"/>
      </w:tblGrid>
      <w:tr w:rsidR="00FC1877" w14:paraId="284D617F" w14:textId="77777777" w:rsidTr="00AA569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02" w:type="dxa"/>
            <w:shd w:val="clear" w:color="auto" w:fill="D9D9D9" w:themeFill="background1" w:themeFillShade="D9"/>
            <w:vAlign w:val="center"/>
          </w:tcPr>
          <w:p w14:paraId="055696C9" w14:textId="77777777" w:rsidR="00FC1877" w:rsidRPr="005564A4" w:rsidRDefault="00FC1877" w:rsidP="0014195F">
            <w:pPr>
              <w:spacing w:after="160" w:line="360" w:lineRule="auto"/>
              <w:jc w:val="center"/>
              <w:rPr>
                <w:rFonts w:eastAsia="Calibri" w:cs="Arial"/>
                <w:szCs w:val="24"/>
              </w:rPr>
            </w:pPr>
            <w:r w:rsidRPr="005564A4">
              <w:rPr>
                <w:rFonts w:eastAsia="Calibri" w:cs="Arial"/>
                <w:szCs w:val="24"/>
              </w:rPr>
              <w:t>Kod wskaźnika</w:t>
            </w:r>
          </w:p>
        </w:tc>
        <w:tc>
          <w:tcPr>
            <w:tcW w:w="2268" w:type="dxa"/>
            <w:shd w:val="clear" w:color="auto" w:fill="D9D9D9" w:themeFill="background1" w:themeFillShade="D9"/>
            <w:vAlign w:val="center"/>
          </w:tcPr>
          <w:p w14:paraId="65E342B5" w14:textId="77777777" w:rsidR="00FC1877" w:rsidRPr="005564A4" w:rsidRDefault="00FC1877" w:rsidP="0014195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276" w:type="dxa"/>
            <w:shd w:val="clear" w:color="auto" w:fill="D9D9D9" w:themeFill="background1" w:themeFillShade="D9"/>
            <w:vAlign w:val="center"/>
          </w:tcPr>
          <w:p w14:paraId="5A83019A" w14:textId="77777777" w:rsidR="00FC1877" w:rsidRPr="005564A4" w:rsidRDefault="00FC1877" w:rsidP="0014195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984" w:type="dxa"/>
            <w:shd w:val="clear" w:color="auto" w:fill="D9D9D9" w:themeFill="background1" w:themeFillShade="D9"/>
            <w:vAlign w:val="center"/>
          </w:tcPr>
          <w:p w14:paraId="6EE167B4" w14:textId="77777777" w:rsidR="00FC1877" w:rsidRPr="005564A4" w:rsidRDefault="00FC1877" w:rsidP="0014195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2546" w:type="dxa"/>
            <w:shd w:val="clear" w:color="auto" w:fill="D9D9D9" w:themeFill="background1" w:themeFillShade="D9"/>
            <w:vAlign w:val="center"/>
          </w:tcPr>
          <w:p w14:paraId="585460C5" w14:textId="77777777" w:rsidR="00FC1877" w:rsidRPr="005564A4" w:rsidRDefault="00FC1877" w:rsidP="0014195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w:t>
            </w:r>
          </w:p>
        </w:tc>
        <w:tc>
          <w:tcPr>
            <w:tcW w:w="1559" w:type="dxa"/>
            <w:shd w:val="clear" w:color="auto" w:fill="D9D9D9" w:themeFill="background1" w:themeFillShade="D9"/>
            <w:vAlign w:val="center"/>
          </w:tcPr>
          <w:p w14:paraId="3811537D" w14:textId="77777777" w:rsidR="00FC1877" w:rsidRPr="005564A4" w:rsidRDefault="00FC1877" w:rsidP="0014195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0BBCA7CC" w14:textId="77777777" w:rsidR="00FC1877" w:rsidRPr="005564A4" w:rsidRDefault="00FC1877" w:rsidP="0014195F">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Narzędzia pomiaru</w:t>
            </w:r>
          </w:p>
        </w:tc>
        <w:tc>
          <w:tcPr>
            <w:tcW w:w="1984" w:type="dxa"/>
            <w:shd w:val="clear" w:color="auto" w:fill="D9D9D9" w:themeFill="background1" w:themeFillShade="D9"/>
          </w:tcPr>
          <w:p w14:paraId="5F7DF83A" w14:textId="77777777" w:rsidR="00FC1877" w:rsidRDefault="00FC1877" w:rsidP="0014195F">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p>
          <w:p w14:paraId="7EA8AEF8" w14:textId="77777777" w:rsidR="00FC1877" w:rsidRDefault="00FC1877" w:rsidP="0014195F">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FC1877" w:rsidRPr="005564A4" w14:paraId="1E505DAA" w14:textId="77777777" w:rsidTr="00AA569F">
        <w:tc>
          <w:tcPr>
            <w:cnfStyle w:val="001000000000" w:firstRow="0" w:lastRow="0" w:firstColumn="1" w:lastColumn="0" w:oddVBand="0" w:evenVBand="0" w:oddHBand="0" w:evenHBand="0" w:firstRowFirstColumn="0" w:firstRowLastColumn="0" w:lastRowFirstColumn="0" w:lastRowLastColumn="0"/>
            <w:tcW w:w="1702" w:type="dxa"/>
          </w:tcPr>
          <w:p w14:paraId="3DFB4890" w14:textId="77777777" w:rsidR="00FC1877" w:rsidRPr="00DE4EA8" w:rsidRDefault="00FC1877" w:rsidP="00DE4EA8">
            <w:pPr>
              <w:spacing w:after="200" w:line="276" w:lineRule="auto"/>
              <w:rPr>
                <w:rFonts w:cs="Arial"/>
                <w:b w:val="0"/>
                <w:bCs w:val="0"/>
                <w:szCs w:val="24"/>
              </w:rPr>
            </w:pPr>
            <w:r w:rsidRPr="00DE4EA8">
              <w:rPr>
                <w:rFonts w:cs="Arial"/>
                <w:b w:val="0"/>
                <w:bCs w:val="0"/>
                <w:szCs w:val="24"/>
              </w:rPr>
              <w:t xml:space="preserve">Specyficzny dla projektu </w:t>
            </w:r>
          </w:p>
          <w:p w14:paraId="3BA2134A" w14:textId="4AF51C70" w:rsidR="00FC1877" w:rsidRPr="005564A4" w:rsidRDefault="00FC1877" w:rsidP="0014195F">
            <w:pPr>
              <w:spacing w:after="160" w:line="360" w:lineRule="auto"/>
              <w:rPr>
                <w:rFonts w:eastAsia="Calibri" w:cs="Arial"/>
                <w:szCs w:val="24"/>
              </w:rPr>
            </w:pPr>
          </w:p>
        </w:tc>
        <w:tc>
          <w:tcPr>
            <w:tcW w:w="2268" w:type="dxa"/>
          </w:tcPr>
          <w:p w14:paraId="663AD5AD" w14:textId="77777777" w:rsidR="00FC1877" w:rsidRDefault="00FC1877"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Liczba osób, które ukończyły szkolenie/warsztaty „nazwa”-*</w:t>
            </w:r>
          </w:p>
          <w:p w14:paraId="59582DFF" w14:textId="77777777" w:rsidR="00FC1877" w:rsidRDefault="00FC1877"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p>
          <w:p w14:paraId="53CAC2AB" w14:textId="188A696C" w:rsidR="00FC1877" w:rsidRPr="00D013D3" w:rsidRDefault="00FC1877"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Pr>
                <w:rFonts w:cs="Arial"/>
                <w:szCs w:val="24"/>
              </w:rPr>
              <w:t>* do każdego szkolenia powinien zostać przyporządkowany oddzielny wskaźnik</w:t>
            </w:r>
          </w:p>
        </w:tc>
        <w:tc>
          <w:tcPr>
            <w:tcW w:w="1276" w:type="dxa"/>
          </w:tcPr>
          <w:p w14:paraId="249AEA39" w14:textId="4A54715C" w:rsidR="00FC1877" w:rsidRPr="005564A4" w:rsidRDefault="00FC1877"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osoby</w:t>
            </w:r>
          </w:p>
        </w:tc>
        <w:tc>
          <w:tcPr>
            <w:tcW w:w="1984" w:type="dxa"/>
          </w:tcPr>
          <w:p w14:paraId="661846D9" w14:textId="77777777" w:rsidR="00FC1877" w:rsidRPr="00DE4EA8" w:rsidRDefault="00FC1877"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rPr>
            </w:pPr>
            <w:r w:rsidRPr="00DE4EA8">
              <w:rPr>
                <w:rFonts w:cs="Arial"/>
              </w:rPr>
              <w:t>Wartość docelowa nie została określona - wskaźnik mierzony na etapie realizacji projektu.</w:t>
            </w:r>
          </w:p>
        </w:tc>
        <w:tc>
          <w:tcPr>
            <w:tcW w:w="2546" w:type="dxa"/>
          </w:tcPr>
          <w:p w14:paraId="6B712730" w14:textId="3F15675C" w:rsidR="00FC1877" w:rsidRPr="00DE4EA8" w:rsidRDefault="00FC1877"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rPr>
            </w:pPr>
            <w:r w:rsidRPr="00DE4EA8">
              <w:rPr>
                <w:rFonts w:cs="Arial"/>
              </w:rPr>
              <w:t xml:space="preserve">Wskaźnik mierzy liczbę </w:t>
            </w:r>
            <w:r w:rsidR="00146EE6" w:rsidRPr="00DE4EA8">
              <w:rPr>
                <w:rFonts w:cs="Arial"/>
              </w:rPr>
              <w:t xml:space="preserve">osób, które ukończyły </w:t>
            </w:r>
            <w:r w:rsidR="00DE4EA8">
              <w:rPr>
                <w:rFonts w:cs="Arial"/>
              </w:rPr>
              <w:t>szkolenie/warsztaty w ramach projektu.</w:t>
            </w:r>
          </w:p>
        </w:tc>
        <w:tc>
          <w:tcPr>
            <w:tcW w:w="1559" w:type="dxa"/>
          </w:tcPr>
          <w:p w14:paraId="6EF94A94" w14:textId="4436ADAC" w:rsidR="00FC1877" w:rsidRPr="005564A4" w:rsidRDefault="00FC1877"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t>p</w:t>
            </w:r>
            <w:r w:rsidRPr="06B082DB">
              <w:rPr>
                <w:rFonts w:cs="Arial"/>
              </w:rPr>
              <w:t xml:space="preserve">omiar wskaźnika odbywać się będzie na etapie </w:t>
            </w:r>
            <w:r w:rsidRPr="00693641">
              <w:rPr>
                <w:rFonts w:cs="Arial"/>
              </w:rPr>
              <w:t>realizacji projektu</w:t>
            </w:r>
            <w:r w:rsidR="008637C3" w:rsidRPr="00693641">
              <w:rPr>
                <w:rFonts w:cs="Arial"/>
              </w:rPr>
              <w:t>, po otrzymaniu danej formy wsparcia</w:t>
            </w:r>
          </w:p>
        </w:tc>
        <w:tc>
          <w:tcPr>
            <w:tcW w:w="1985" w:type="dxa"/>
          </w:tcPr>
          <w:p w14:paraId="6CAF1091" w14:textId="384D0209" w:rsidR="00FC1877" w:rsidRPr="005564A4" w:rsidRDefault="00FC1877"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cs="Arial"/>
                <w:szCs w:val="24"/>
              </w:rPr>
              <w:t xml:space="preserve">certyfikat/zaświadczenie ukończenia szkolenia/warsztatu lub inny równoważny dokument ze wskazaniem liczby godzin, lista obecności zawierająca co najmniej datę, godziny, miejsce, imię i nazwisko uczestnika, podpis </w:t>
            </w:r>
            <w:r>
              <w:rPr>
                <w:rFonts w:cs="Arial"/>
                <w:szCs w:val="24"/>
              </w:rPr>
              <w:lastRenderedPageBreak/>
              <w:t>uczestnika, podpis prowadzącego</w:t>
            </w:r>
          </w:p>
        </w:tc>
        <w:tc>
          <w:tcPr>
            <w:tcW w:w="1984" w:type="dxa"/>
          </w:tcPr>
          <w:p w14:paraId="131B6DCF" w14:textId="77777777" w:rsidR="00FC1877" w:rsidRPr="005564A4" w:rsidRDefault="00FC1877"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lastRenderedPageBreak/>
              <w:t>Obligatoryjny</w:t>
            </w:r>
          </w:p>
        </w:tc>
      </w:tr>
      <w:tr w:rsidR="00FC1877" w:rsidRPr="005564A4" w14:paraId="190177B1" w14:textId="77777777" w:rsidTr="00AA569F">
        <w:tc>
          <w:tcPr>
            <w:cnfStyle w:val="001000000000" w:firstRow="0" w:lastRow="0" w:firstColumn="1" w:lastColumn="0" w:oddVBand="0" w:evenVBand="0" w:oddHBand="0" w:evenHBand="0" w:firstRowFirstColumn="0" w:firstRowLastColumn="0" w:lastRowFirstColumn="0" w:lastRowLastColumn="0"/>
            <w:tcW w:w="1702" w:type="dxa"/>
          </w:tcPr>
          <w:p w14:paraId="02DDA6ED" w14:textId="77777777" w:rsidR="00DE4EA8" w:rsidRPr="00DE4EA8" w:rsidRDefault="00DE4EA8" w:rsidP="00DE4EA8">
            <w:pPr>
              <w:spacing w:after="200" w:line="276" w:lineRule="auto"/>
              <w:rPr>
                <w:rFonts w:cs="Arial"/>
                <w:b w:val="0"/>
                <w:bCs w:val="0"/>
                <w:szCs w:val="24"/>
              </w:rPr>
            </w:pPr>
            <w:r w:rsidRPr="00DE4EA8">
              <w:rPr>
                <w:rFonts w:cs="Arial"/>
                <w:b w:val="0"/>
                <w:bCs w:val="0"/>
                <w:szCs w:val="24"/>
              </w:rPr>
              <w:t xml:space="preserve">Specyficzny dla projektu </w:t>
            </w:r>
          </w:p>
          <w:p w14:paraId="0E10F4D0" w14:textId="77777777" w:rsidR="00FC1877" w:rsidRPr="007058B4" w:rsidRDefault="00FC1877" w:rsidP="00FC1877">
            <w:pPr>
              <w:spacing w:after="200" w:line="276" w:lineRule="auto"/>
              <w:jc w:val="center"/>
              <w:rPr>
                <w:rFonts w:eastAsia="Times New Roman" w:cs="Arial"/>
                <w:b w:val="0"/>
                <w:color w:val="000000"/>
                <w:sz w:val="20"/>
                <w:szCs w:val="20"/>
                <w:lang w:eastAsia="pl-PL"/>
              </w:rPr>
            </w:pPr>
          </w:p>
        </w:tc>
        <w:tc>
          <w:tcPr>
            <w:tcW w:w="2268" w:type="dxa"/>
          </w:tcPr>
          <w:p w14:paraId="3B8C8F67" w14:textId="39B9B327" w:rsidR="00FC1877"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Całkowita liczba osób objętych wsparciem </w:t>
            </w:r>
          </w:p>
        </w:tc>
        <w:tc>
          <w:tcPr>
            <w:tcW w:w="1276" w:type="dxa"/>
          </w:tcPr>
          <w:p w14:paraId="1A6632F8" w14:textId="6C8E0BD3" w:rsidR="00FC1877" w:rsidRPr="005564A4"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cs="Arial"/>
                <w:szCs w:val="24"/>
              </w:rPr>
              <w:t>osoby</w:t>
            </w:r>
          </w:p>
        </w:tc>
        <w:tc>
          <w:tcPr>
            <w:tcW w:w="1984" w:type="dxa"/>
          </w:tcPr>
          <w:p w14:paraId="5DBE11AF" w14:textId="1B0F7F74" w:rsidR="00FC1877" w:rsidRPr="005564A4"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E4EA8">
              <w:rPr>
                <w:rFonts w:cs="Arial"/>
              </w:rPr>
              <w:t>Wartość docelowa nie została określona - wskaźnik mierzony na etapie realizacji projektu</w:t>
            </w:r>
          </w:p>
        </w:tc>
        <w:tc>
          <w:tcPr>
            <w:tcW w:w="2546" w:type="dxa"/>
          </w:tcPr>
          <w:p w14:paraId="5FB94C40" w14:textId="7C45FFA7" w:rsidR="00FC1877" w:rsidRPr="005564A4"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cs="Arial"/>
                <w:szCs w:val="24"/>
              </w:rPr>
              <w:t>Wskaźnik mierzy całkowitą liczbę osób objętych wsparciem w poszczególnych formach wsparcia w projekcie.</w:t>
            </w:r>
          </w:p>
        </w:tc>
        <w:tc>
          <w:tcPr>
            <w:tcW w:w="1559" w:type="dxa"/>
          </w:tcPr>
          <w:p w14:paraId="62AF1FBF" w14:textId="45D53002" w:rsidR="00FC1877" w:rsidRDefault="008637C3"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Pr="06B082DB">
              <w:rPr>
                <w:rFonts w:cs="Arial"/>
              </w:rPr>
              <w:t>omiar wskaźnika odbywać się będzie na etapie realizacji projektu</w:t>
            </w:r>
          </w:p>
        </w:tc>
        <w:tc>
          <w:tcPr>
            <w:tcW w:w="1985" w:type="dxa"/>
          </w:tcPr>
          <w:p w14:paraId="37B5742C" w14:textId="77777777" w:rsidR="00FC1877"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wykaz osób objętych wsparciem wraz ze wskazaniem daty udziału w poszczególnych formach wsparcia (szkolenie/warsztaty/edukacja zdrowotna)</w:t>
            </w:r>
          </w:p>
          <w:p w14:paraId="101F3F5E" w14:textId="77777777"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2A14788A" w14:textId="198464B7"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wykaz osób objętych wsparciem wraz </w:t>
            </w:r>
            <w:r>
              <w:rPr>
                <w:rFonts w:cs="Arial"/>
                <w:szCs w:val="24"/>
              </w:rPr>
              <w:lastRenderedPageBreak/>
              <w:t>ze wskazaniem daty udziału w poszczególnych formach wsparcia (szkolenie/warsztaty/edukacja zdrowotna)</w:t>
            </w:r>
          </w:p>
          <w:p w14:paraId="07187F80" w14:textId="51DFFBC2"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18CA2C67" w14:textId="246DA407"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wykaz osób objętych wsparciem, które otrzymały sprzęt (wraz ze wskazaniem daty otrzymania sprzętu)</w:t>
            </w:r>
          </w:p>
          <w:p w14:paraId="1D3A6BD9" w14:textId="0EDF682E"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p>
          <w:p w14:paraId="7361BCD3" w14:textId="1AB43DF9"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lastRenderedPageBreak/>
              <w:t>Narzędzia pomiaru należy wybrać adekwatnie do zadania w budżecie z daną formą wsparcia.</w:t>
            </w:r>
          </w:p>
        </w:tc>
        <w:tc>
          <w:tcPr>
            <w:tcW w:w="1984" w:type="dxa"/>
          </w:tcPr>
          <w:p w14:paraId="0795CDB6" w14:textId="30AFEA5E" w:rsidR="00FC1877" w:rsidRPr="004A049B"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lastRenderedPageBreak/>
              <w:t>Obligatoryjny</w:t>
            </w:r>
          </w:p>
        </w:tc>
      </w:tr>
      <w:tr w:rsidR="00DE4EA8" w:rsidRPr="005564A4" w14:paraId="50C95175" w14:textId="77777777" w:rsidTr="00AA569F">
        <w:tc>
          <w:tcPr>
            <w:cnfStyle w:val="001000000000" w:firstRow="0" w:lastRow="0" w:firstColumn="1" w:lastColumn="0" w:oddVBand="0" w:evenVBand="0" w:oddHBand="0" w:evenHBand="0" w:firstRowFirstColumn="0" w:firstRowLastColumn="0" w:lastRowFirstColumn="0" w:lastRowLastColumn="0"/>
            <w:tcW w:w="1702" w:type="dxa"/>
          </w:tcPr>
          <w:p w14:paraId="5646DA0E" w14:textId="77777777" w:rsidR="00DE4EA8" w:rsidRPr="00DE4EA8" w:rsidRDefault="00DE4EA8" w:rsidP="00DE4EA8">
            <w:pPr>
              <w:spacing w:after="200" w:line="276" w:lineRule="auto"/>
              <w:rPr>
                <w:rFonts w:cs="Arial"/>
                <w:b w:val="0"/>
                <w:bCs w:val="0"/>
                <w:szCs w:val="24"/>
              </w:rPr>
            </w:pPr>
            <w:r w:rsidRPr="00DE4EA8">
              <w:rPr>
                <w:rFonts w:cs="Arial"/>
                <w:b w:val="0"/>
                <w:bCs w:val="0"/>
                <w:szCs w:val="24"/>
              </w:rPr>
              <w:lastRenderedPageBreak/>
              <w:t xml:space="preserve">Specyficzny dla projektu </w:t>
            </w:r>
          </w:p>
          <w:p w14:paraId="7B4349D1" w14:textId="77777777" w:rsidR="00DE4EA8" w:rsidRPr="00DE4EA8" w:rsidRDefault="00DE4EA8" w:rsidP="00DE4EA8">
            <w:pPr>
              <w:spacing w:after="200" w:line="276" w:lineRule="auto"/>
              <w:rPr>
                <w:rFonts w:cs="Arial"/>
                <w:b w:val="0"/>
                <w:bCs w:val="0"/>
                <w:szCs w:val="24"/>
              </w:rPr>
            </w:pPr>
          </w:p>
        </w:tc>
        <w:tc>
          <w:tcPr>
            <w:tcW w:w="2268" w:type="dxa"/>
          </w:tcPr>
          <w:p w14:paraId="5F73C020" w14:textId="56CFD375" w:rsidR="00DE4EA8"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Liczba zakupionego sprzętu</w:t>
            </w:r>
          </w:p>
        </w:tc>
        <w:tc>
          <w:tcPr>
            <w:tcW w:w="1276" w:type="dxa"/>
          </w:tcPr>
          <w:p w14:paraId="769E665C" w14:textId="025F347A" w:rsidR="00DE4EA8"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sztuka</w:t>
            </w:r>
          </w:p>
        </w:tc>
        <w:tc>
          <w:tcPr>
            <w:tcW w:w="1984" w:type="dxa"/>
          </w:tcPr>
          <w:p w14:paraId="35C9D65A" w14:textId="3C993C4A" w:rsidR="00DE4EA8" w:rsidRPr="005564A4"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E4EA8">
              <w:rPr>
                <w:rFonts w:cs="Arial"/>
              </w:rPr>
              <w:t>Wartość docelowa nie została określona - wskaźnik mierzony na etapie realizacji projektu</w:t>
            </w:r>
          </w:p>
        </w:tc>
        <w:tc>
          <w:tcPr>
            <w:tcW w:w="2546" w:type="dxa"/>
          </w:tcPr>
          <w:p w14:paraId="1B310926" w14:textId="572E0732" w:rsidR="00DE4EA8" w:rsidRPr="005564A4" w:rsidRDefault="00AA569F"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Wskaźnik mierzy liczbę zakupionego sprzętu/doposażenia miejsca pracy w projekcie</w:t>
            </w:r>
            <w:r w:rsidR="00F50D7A">
              <w:rPr>
                <w:rFonts w:eastAsia="Calibri" w:cs="Arial"/>
                <w:szCs w:val="24"/>
              </w:rPr>
              <w:t>.</w:t>
            </w:r>
          </w:p>
        </w:tc>
        <w:tc>
          <w:tcPr>
            <w:tcW w:w="1559" w:type="dxa"/>
          </w:tcPr>
          <w:p w14:paraId="4338B119" w14:textId="438440C9" w:rsidR="00DE4EA8" w:rsidRPr="003A4710" w:rsidRDefault="003A4710" w:rsidP="008637C3">
            <w:pPr>
              <w:spacing w:after="160" w:line="360" w:lineRule="auto"/>
              <w:cnfStyle w:val="000000000000" w:firstRow="0" w:lastRow="0" w:firstColumn="0" w:lastColumn="0" w:oddVBand="0" w:evenVBand="0" w:oddHBand="0" w:evenHBand="0" w:firstRowFirstColumn="0" w:firstRowLastColumn="0" w:lastRowFirstColumn="0" w:lastRowLastColumn="0"/>
              <w:rPr>
                <w:rFonts w:cs="Arial"/>
                <w:highlight w:val="yellow"/>
              </w:rPr>
            </w:pPr>
            <w:r>
              <w:rPr>
                <w:rFonts w:cs="Arial"/>
              </w:rPr>
              <w:t>p</w:t>
            </w:r>
            <w:r w:rsidRPr="06B082DB">
              <w:rPr>
                <w:rFonts w:cs="Arial"/>
              </w:rPr>
              <w:t xml:space="preserve">omiar </w:t>
            </w:r>
            <w:r w:rsidRPr="00693641">
              <w:rPr>
                <w:rFonts w:cs="Arial"/>
              </w:rPr>
              <w:t xml:space="preserve">wskaźnika odbywać się będzie </w:t>
            </w:r>
            <w:r w:rsidR="008637C3" w:rsidRPr="00693641">
              <w:rPr>
                <w:rFonts w:cs="Arial"/>
              </w:rPr>
              <w:t>na zakończenie realizacji projektu</w:t>
            </w:r>
          </w:p>
        </w:tc>
        <w:tc>
          <w:tcPr>
            <w:tcW w:w="1985" w:type="dxa"/>
          </w:tcPr>
          <w:p w14:paraId="70EEF20F" w14:textId="33355FDD"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protokoły zdawczo-odbiorcze (z podpisem Zamawiającego i Wykonawcy), specyfikacja zakupionego sprzętu</w:t>
            </w:r>
          </w:p>
        </w:tc>
        <w:tc>
          <w:tcPr>
            <w:tcW w:w="1984" w:type="dxa"/>
          </w:tcPr>
          <w:p w14:paraId="19C90B75" w14:textId="5B168960" w:rsidR="00DE4EA8" w:rsidRPr="004A049B" w:rsidRDefault="003476BF"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00DE4EA8" w:rsidRPr="005564A4" w14:paraId="6291F395" w14:textId="77777777" w:rsidTr="00AA569F">
        <w:tc>
          <w:tcPr>
            <w:cnfStyle w:val="001000000000" w:firstRow="0" w:lastRow="0" w:firstColumn="1" w:lastColumn="0" w:oddVBand="0" w:evenVBand="0" w:oddHBand="0" w:evenHBand="0" w:firstRowFirstColumn="0" w:firstRowLastColumn="0" w:lastRowFirstColumn="0" w:lastRowLastColumn="0"/>
            <w:tcW w:w="1702" w:type="dxa"/>
          </w:tcPr>
          <w:p w14:paraId="143A75CC" w14:textId="77777777" w:rsidR="00DE4EA8" w:rsidRPr="00DE4EA8" w:rsidRDefault="00DE4EA8" w:rsidP="00DE4EA8">
            <w:pPr>
              <w:spacing w:after="200" w:line="276" w:lineRule="auto"/>
              <w:rPr>
                <w:rFonts w:cs="Arial"/>
                <w:b w:val="0"/>
                <w:bCs w:val="0"/>
                <w:szCs w:val="24"/>
              </w:rPr>
            </w:pPr>
            <w:r w:rsidRPr="00DE4EA8">
              <w:rPr>
                <w:rFonts w:cs="Arial"/>
                <w:b w:val="0"/>
                <w:bCs w:val="0"/>
                <w:szCs w:val="24"/>
              </w:rPr>
              <w:lastRenderedPageBreak/>
              <w:t xml:space="preserve">Specyficzny dla projektu </w:t>
            </w:r>
          </w:p>
          <w:p w14:paraId="645D0AC7" w14:textId="77777777" w:rsidR="00DE4EA8" w:rsidRPr="00DE4EA8" w:rsidRDefault="00DE4EA8" w:rsidP="00DE4EA8">
            <w:pPr>
              <w:spacing w:after="200" w:line="276" w:lineRule="auto"/>
              <w:rPr>
                <w:rFonts w:cs="Arial"/>
                <w:b w:val="0"/>
                <w:bCs w:val="0"/>
                <w:szCs w:val="24"/>
              </w:rPr>
            </w:pPr>
          </w:p>
        </w:tc>
        <w:tc>
          <w:tcPr>
            <w:tcW w:w="2268" w:type="dxa"/>
          </w:tcPr>
          <w:p w14:paraId="6073558C" w14:textId="201E8081" w:rsidR="00DE4EA8"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Liczba osób objętych pakietem badań</w:t>
            </w:r>
          </w:p>
        </w:tc>
        <w:tc>
          <w:tcPr>
            <w:tcW w:w="1276" w:type="dxa"/>
          </w:tcPr>
          <w:p w14:paraId="43A5D338" w14:textId="76378080" w:rsidR="00DE4EA8"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osoby</w:t>
            </w:r>
          </w:p>
        </w:tc>
        <w:tc>
          <w:tcPr>
            <w:tcW w:w="1984" w:type="dxa"/>
          </w:tcPr>
          <w:p w14:paraId="4BA4F2BF" w14:textId="5DAAB0BB" w:rsidR="00DE4EA8" w:rsidRPr="005564A4"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DE4EA8">
              <w:rPr>
                <w:rFonts w:cs="Arial"/>
              </w:rPr>
              <w:t>Wartość docelowa nie została określona - wskaźnik mierzony na etapie realizacji projektu</w:t>
            </w:r>
          </w:p>
        </w:tc>
        <w:tc>
          <w:tcPr>
            <w:tcW w:w="2546" w:type="dxa"/>
          </w:tcPr>
          <w:p w14:paraId="12015657" w14:textId="225E9B70" w:rsidR="00DE4EA8" w:rsidRPr="005564A4" w:rsidRDefault="00F50D7A"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Wskaźnik mierzy liczbę osób objętych pakietem badań w projekcie.</w:t>
            </w:r>
          </w:p>
        </w:tc>
        <w:tc>
          <w:tcPr>
            <w:tcW w:w="1559" w:type="dxa"/>
          </w:tcPr>
          <w:p w14:paraId="585A0FFC" w14:textId="7DE6206B" w:rsidR="00DE4EA8" w:rsidRDefault="008637C3"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Pr="06B082DB">
              <w:rPr>
                <w:rFonts w:cs="Arial"/>
              </w:rPr>
              <w:t xml:space="preserve">omiar wskaźnika odbywać się będzie na etapie </w:t>
            </w:r>
            <w:r w:rsidRPr="00693641">
              <w:rPr>
                <w:rFonts w:cs="Arial"/>
              </w:rPr>
              <w:t>realizacji projektu</w:t>
            </w:r>
            <w:r w:rsidR="00002DEE" w:rsidRPr="00693641">
              <w:rPr>
                <w:rFonts w:cs="Arial"/>
              </w:rPr>
              <w:t>, po otrzymaniu formy wsparcia</w:t>
            </w:r>
          </w:p>
        </w:tc>
        <w:tc>
          <w:tcPr>
            <w:tcW w:w="1985" w:type="dxa"/>
          </w:tcPr>
          <w:p w14:paraId="12242239" w14:textId="18303001"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wykaz osób objętych pakietem badań (wykaz uwzględnia rodzaj badania, datę badania i potwierdzenie udziału pracownika – podpis pracownika)</w:t>
            </w:r>
          </w:p>
        </w:tc>
        <w:tc>
          <w:tcPr>
            <w:tcW w:w="1984" w:type="dxa"/>
          </w:tcPr>
          <w:p w14:paraId="0F4198DC" w14:textId="2F8DCAF8" w:rsidR="00DE4EA8" w:rsidRPr="004A049B"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00DE4EA8" w:rsidRPr="005564A4" w14:paraId="1924EF64" w14:textId="77777777" w:rsidTr="00AA569F">
        <w:tc>
          <w:tcPr>
            <w:cnfStyle w:val="001000000000" w:firstRow="0" w:lastRow="0" w:firstColumn="1" w:lastColumn="0" w:oddVBand="0" w:evenVBand="0" w:oddHBand="0" w:evenHBand="0" w:firstRowFirstColumn="0" w:firstRowLastColumn="0" w:lastRowFirstColumn="0" w:lastRowLastColumn="0"/>
            <w:tcW w:w="1702" w:type="dxa"/>
          </w:tcPr>
          <w:p w14:paraId="78992133" w14:textId="77777777" w:rsidR="00856BAB" w:rsidRPr="00DE4EA8" w:rsidRDefault="00856BAB" w:rsidP="00856BAB">
            <w:pPr>
              <w:spacing w:after="200" w:line="276" w:lineRule="auto"/>
              <w:rPr>
                <w:rFonts w:cs="Arial"/>
                <w:b w:val="0"/>
                <w:bCs w:val="0"/>
                <w:szCs w:val="24"/>
              </w:rPr>
            </w:pPr>
            <w:r w:rsidRPr="00DE4EA8">
              <w:rPr>
                <w:rFonts w:cs="Arial"/>
                <w:b w:val="0"/>
                <w:bCs w:val="0"/>
                <w:szCs w:val="24"/>
              </w:rPr>
              <w:t xml:space="preserve">Specyficzny dla projektu </w:t>
            </w:r>
          </w:p>
          <w:p w14:paraId="43ED65AC" w14:textId="77777777" w:rsidR="00DE4EA8" w:rsidRPr="00DE4EA8" w:rsidRDefault="00DE4EA8" w:rsidP="00DE4EA8">
            <w:pPr>
              <w:spacing w:after="200" w:line="276" w:lineRule="auto"/>
              <w:rPr>
                <w:rFonts w:cs="Arial"/>
                <w:b w:val="0"/>
                <w:bCs w:val="0"/>
                <w:szCs w:val="24"/>
              </w:rPr>
            </w:pPr>
          </w:p>
        </w:tc>
        <w:tc>
          <w:tcPr>
            <w:tcW w:w="2268" w:type="dxa"/>
          </w:tcPr>
          <w:p w14:paraId="05624F28" w14:textId="27A1536F" w:rsidR="00DE4EA8"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Liczba inicjatyw z zakresu work-life balance</w:t>
            </w:r>
          </w:p>
        </w:tc>
        <w:tc>
          <w:tcPr>
            <w:tcW w:w="1276" w:type="dxa"/>
          </w:tcPr>
          <w:p w14:paraId="27835294" w14:textId="7BD51E1B" w:rsidR="00DE4EA8"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sztuka</w:t>
            </w:r>
          </w:p>
        </w:tc>
        <w:tc>
          <w:tcPr>
            <w:tcW w:w="1984" w:type="dxa"/>
          </w:tcPr>
          <w:p w14:paraId="7403AF36" w14:textId="009CCC14" w:rsidR="00DE4EA8" w:rsidRPr="00DE4EA8" w:rsidRDefault="00DE4EA8"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cs="Arial"/>
              </w:rPr>
            </w:pPr>
            <w:r w:rsidRPr="00DE4EA8">
              <w:rPr>
                <w:rFonts w:cs="Arial"/>
              </w:rPr>
              <w:t xml:space="preserve">Wartość docelowa nie została określona - wskaźnik mierzony na </w:t>
            </w:r>
            <w:r w:rsidRPr="00DE4EA8">
              <w:rPr>
                <w:rFonts w:cs="Arial"/>
              </w:rPr>
              <w:lastRenderedPageBreak/>
              <w:t>etapie realizacji projektu</w:t>
            </w:r>
          </w:p>
        </w:tc>
        <w:tc>
          <w:tcPr>
            <w:tcW w:w="2546" w:type="dxa"/>
          </w:tcPr>
          <w:p w14:paraId="4C659457" w14:textId="0847B28A" w:rsidR="00DE4EA8" w:rsidRPr="005564A4" w:rsidRDefault="00856BAB" w:rsidP="001419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Wskaźnik mierzy liczbę inicjatyw w zakresu WLB zrealizowanych w projekcie.</w:t>
            </w:r>
          </w:p>
        </w:tc>
        <w:tc>
          <w:tcPr>
            <w:tcW w:w="1559" w:type="dxa"/>
          </w:tcPr>
          <w:p w14:paraId="6FF8B2D5" w14:textId="74D8C695" w:rsidR="00DE4EA8" w:rsidRDefault="008637C3" w:rsidP="003A4710">
            <w:pPr>
              <w:spacing w:afterLines="160" w:after="384" w:line="360" w:lineRule="auto"/>
              <w:cnfStyle w:val="000000000000" w:firstRow="0" w:lastRow="0" w:firstColumn="0" w:lastColumn="0" w:oddVBand="0" w:evenVBand="0" w:oddHBand="0" w:evenHBand="0" w:firstRowFirstColumn="0" w:firstRowLastColumn="0" w:lastRowFirstColumn="0" w:lastRowLastColumn="0"/>
              <w:rPr>
                <w:rFonts w:cs="Arial"/>
              </w:rPr>
            </w:pPr>
            <w:r w:rsidRPr="00693641">
              <w:rPr>
                <w:rFonts w:cs="Arial"/>
              </w:rPr>
              <w:t>pomiar wskaźnika odbywać się będzie na</w:t>
            </w:r>
            <w:r w:rsidR="003A4710" w:rsidRPr="00693641">
              <w:rPr>
                <w:rFonts w:cs="Arial"/>
              </w:rPr>
              <w:t xml:space="preserve">  </w:t>
            </w:r>
            <w:proofErr w:type="spellStart"/>
            <w:r w:rsidR="003A4710" w:rsidRPr="00693641">
              <w:rPr>
                <w:rFonts w:cs="Arial"/>
              </w:rPr>
              <w:t>na</w:t>
            </w:r>
            <w:proofErr w:type="spellEnd"/>
            <w:r w:rsidR="003A4710" w:rsidRPr="00693641">
              <w:rPr>
                <w:rFonts w:cs="Arial"/>
              </w:rPr>
              <w:t xml:space="preserve"> zakończenie </w:t>
            </w:r>
            <w:r w:rsidR="003A4710" w:rsidRPr="00693641">
              <w:rPr>
                <w:rFonts w:cs="Arial"/>
              </w:rPr>
              <w:lastRenderedPageBreak/>
              <w:t>realizacji projektu</w:t>
            </w:r>
          </w:p>
        </w:tc>
        <w:tc>
          <w:tcPr>
            <w:tcW w:w="1985" w:type="dxa"/>
          </w:tcPr>
          <w:p w14:paraId="32F17E6E" w14:textId="528E2EF5" w:rsidR="00DE4EA8"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lastRenderedPageBreak/>
              <w:t>sprawozdanie</w:t>
            </w:r>
          </w:p>
        </w:tc>
        <w:tc>
          <w:tcPr>
            <w:tcW w:w="1984" w:type="dxa"/>
          </w:tcPr>
          <w:p w14:paraId="758C0EE9" w14:textId="0652F952" w:rsidR="00DE4EA8" w:rsidRPr="004A049B" w:rsidRDefault="00DE4EA8" w:rsidP="0014195F">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fakultatywny</w:t>
            </w:r>
          </w:p>
        </w:tc>
      </w:tr>
    </w:tbl>
    <w:p w14:paraId="7FE167C3" w14:textId="20D38175" w:rsidR="00F60526" w:rsidRPr="00FC1877" w:rsidRDefault="00F60526" w:rsidP="00FC1877"/>
    <w:sectPr w:rsidR="00F60526" w:rsidRPr="00FC1877" w:rsidSect="00B63FB6">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5F0A0" w14:textId="77777777" w:rsidR="00CD0D5E" w:rsidRDefault="00CD0D5E" w:rsidP="00742E8F">
      <w:pPr>
        <w:spacing w:after="0" w:line="240" w:lineRule="auto"/>
      </w:pPr>
      <w:r>
        <w:separator/>
      </w:r>
    </w:p>
  </w:endnote>
  <w:endnote w:type="continuationSeparator" w:id="0">
    <w:p w14:paraId="3825B45D" w14:textId="77777777" w:rsidR="00CD0D5E" w:rsidRDefault="00CD0D5E" w:rsidP="00742E8F">
      <w:pPr>
        <w:spacing w:after="0" w:line="240" w:lineRule="auto"/>
      </w:pPr>
      <w:r>
        <w:continuationSeparator/>
      </w:r>
    </w:p>
  </w:endnote>
  <w:endnote w:type="continuationNotice" w:id="1">
    <w:p w14:paraId="01E03DF0" w14:textId="77777777" w:rsidR="00082F04" w:rsidRDefault="00082F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1DCE7" w14:textId="7F9001B7" w:rsidR="00467719" w:rsidRDefault="00467719" w:rsidP="00467719">
    <w:pPr>
      <w:pStyle w:val="Stopka"/>
      <w:jc w:val="center"/>
    </w:pPr>
    <w:r>
      <w:rPr>
        <w:noProof/>
        <w:lang w:eastAsia="pl-PL"/>
      </w:rPr>
      <w:drawing>
        <wp:inline distT="0" distB="0" distL="0" distR="0" wp14:anchorId="21B19425" wp14:editId="6DDE1561">
          <wp:extent cx="5755005" cy="420370"/>
          <wp:effectExtent l="0" t="0" r="0" b="0"/>
          <wp:docPr id="2" name="Obraz 2" descr="Zestaw logotypów dla FE SL 2021-2027&#10;Wersja pełnokolorowa: Logo Funduszy Europejskich i napis Fe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841D4B0" w14:textId="77777777" w:rsidR="00467719" w:rsidRDefault="004677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42DB4" w14:textId="77777777" w:rsidR="00CD0D5E" w:rsidRDefault="00CD0D5E" w:rsidP="00742E8F">
      <w:pPr>
        <w:spacing w:after="0" w:line="240" w:lineRule="auto"/>
      </w:pPr>
      <w:r>
        <w:separator/>
      </w:r>
    </w:p>
  </w:footnote>
  <w:footnote w:type="continuationSeparator" w:id="0">
    <w:p w14:paraId="7ECA0C9E" w14:textId="77777777" w:rsidR="00CD0D5E" w:rsidRDefault="00CD0D5E" w:rsidP="00742E8F">
      <w:pPr>
        <w:spacing w:after="0" w:line="240" w:lineRule="auto"/>
      </w:pPr>
      <w:r>
        <w:continuationSeparator/>
      </w:r>
    </w:p>
  </w:footnote>
  <w:footnote w:type="continuationNotice" w:id="1">
    <w:p w14:paraId="1E7F848A" w14:textId="77777777" w:rsidR="00082F04" w:rsidRDefault="00082F04">
      <w:pPr>
        <w:spacing w:after="0" w:line="240" w:lineRule="auto"/>
      </w:pPr>
    </w:p>
  </w:footnote>
  <w:footnote w:id="2">
    <w:p w14:paraId="1807EDBC" w14:textId="3F8F6A9C" w:rsidR="00CD0D5E" w:rsidRDefault="00CD0D5E">
      <w:pPr>
        <w:pStyle w:val="Tekstprzypisudolnego"/>
      </w:pPr>
      <w:r>
        <w:rPr>
          <w:rStyle w:val="Odwoanieprzypisudolnego"/>
        </w:rPr>
        <w:footnoteRef/>
      </w:r>
      <w:r>
        <w:t xml:space="preserve"> </w:t>
      </w:r>
      <w:r w:rsidRPr="00742E8F">
        <w:t>Wskaźnik obligatoryjny to wskaźnik, który musisz wybrać we wniosku o dofinansowanie (dotyczy każdego wskaźnika obligatoryjnego).</w:t>
      </w:r>
      <w:r>
        <w:t xml:space="preserve"> </w:t>
      </w:r>
    </w:p>
  </w:footnote>
  <w:footnote w:id="3">
    <w:p w14:paraId="5BC1E907" w14:textId="421B2010" w:rsidR="005C76B5" w:rsidRDefault="005C76B5">
      <w:pPr>
        <w:pStyle w:val="Tekstprzypisudolnego"/>
      </w:pPr>
      <w:r>
        <w:rPr>
          <w:rStyle w:val="Odwoanieprzypisudolnego"/>
        </w:rPr>
        <w:footnoteRef/>
      </w:r>
      <w:r>
        <w:t xml:space="preserve"> </w:t>
      </w:r>
      <w:r>
        <w:t xml:space="preserve">W przypadku </w:t>
      </w:r>
      <w:r w:rsidRPr="008636C1">
        <w:t>właściciela pełniącego funkcje kierownicze; wspólnika, w tym partnera prowadzącego regularną działalność w przedsiębiorstwie</w:t>
      </w:r>
      <w:bookmarkStart w:id="2" w:name="_GoBack"/>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41928DD"/>
    <w:multiLevelType w:val="hybridMultilevel"/>
    <w:tmpl w:val="A522B020"/>
    <w:lvl w:ilvl="0" w:tplc="3730B884">
      <w:start w:val="1"/>
      <w:numFmt w:val="decimal"/>
      <w:lvlText w:val="%1)"/>
      <w:lvlJc w:val="left"/>
      <w:pPr>
        <w:ind w:left="720" w:hanging="360"/>
      </w:p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FB6"/>
    <w:rsid w:val="00002DEE"/>
    <w:rsid w:val="00015FD4"/>
    <w:rsid w:val="00034194"/>
    <w:rsid w:val="0004130D"/>
    <w:rsid w:val="000415EE"/>
    <w:rsid w:val="000433DB"/>
    <w:rsid w:val="00082F04"/>
    <w:rsid w:val="0008360C"/>
    <w:rsid w:val="000B1288"/>
    <w:rsid w:val="000D4571"/>
    <w:rsid w:val="000E6F22"/>
    <w:rsid w:val="00101C5E"/>
    <w:rsid w:val="001041A3"/>
    <w:rsid w:val="0012526B"/>
    <w:rsid w:val="00125A0E"/>
    <w:rsid w:val="00141F9D"/>
    <w:rsid w:val="0014566E"/>
    <w:rsid w:val="00146EE6"/>
    <w:rsid w:val="001609C2"/>
    <w:rsid w:val="00176B8D"/>
    <w:rsid w:val="00184471"/>
    <w:rsid w:val="00194D95"/>
    <w:rsid w:val="001A0308"/>
    <w:rsid w:val="001B4703"/>
    <w:rsid w:val="001C77C8"/>
    <w:rsid w:val="001D67FE"/>
    <w:rsid w:val="001F67A3"/>
    <w:rsid w:val="002050E8"/>
    <w:rsid w:val="0021238D"/>
    <w:rsid w:val="00223C9C"/>
    <w:rsid w:val="00225386"/>
    <w:rsid w:val="0023000C"/>
    <w:rsid w:val="00243944"/>
    <w:rsid w:val="00246299"/>
    <w:rsid w:val="002508BF"/>
    <w:rsid w:val="00251159"/>
    <w:rsid w:val="00264FFC"/>
    <w:rsid w:val="00266CD0"/>
    <w:rsid w:val="00274903"/>
    <w:rsid w:val="00281B3C"/>
    <w:rsid w:val="00292241"/>
    <w:rsid w:val="00292B14"/>
    <w:rsid w:val="002B4306"/>
    <w:rsid w:val="002D2D7B"/>
    <w:rsid w:val="002D41BB"/>
    <w:rsid w:val="002E4A7A"/>
    <w:rsid w:val="002F6DD2"/>
    <w:rsid w:val="00306485"/>
    <w:rsid w:val="00307A16"/>
    <w:rsid w:val="00314F01"/>
    <w:rsid w:val="003260E4"/>
    <w:rsid w:val="003361E5"/>
    <w:rsid w:val="00336283"/>
    <w:rsid w:val="00340A54"/>
    <w:rsid w:val="003432D7"/>
    <w:rsid w:val="003476BF"/>
    <w:rsid w:val="003542BB"/>
    <w:rsid w:val="00362A27"/>
    <w:rsid w:val="00362FE1"/>
    <w:rsid w:val="003A0255"/>
    <w:rsid w:val="003A3929"/>
    <w:rsid w:val="003A4272"/>
    <w:rsid w:val="003A4710"/>
    <w:rsid w:val="003B018F"/>
    <w:rsid w:val="003E12CC"/>
    <w:rsid w:val="003E3336"/>
    <w:rsid w:val="0040492E"/>
    <w:rsid w:val="00424987"/>
    <w:rsid w:val="00446BB2"/>
    <w:rsid w:val="00447E8D"/>
    <w:rsid w:val="0045267F"/>
    <w:rsid w:val="00467719"/>
    <w:rsid w:val="00485A0E"/>
    <w:rsid w:val="004A049B"/>
    <w:rsid w:val="004D26AB"/>
    <w:rsid w:val="004F43B3"/>
    <w:rsid w:val="004F692E"/>
    <w:rsid w:val="005038B2"/>
    <w:rsid w:val="00510C57"/>
    <w:rsid w:val="005564A4"/>
    <w:rsid w:val="0056137C"/>
    <w:rsid w:val="00577E75"/>
    <w:rsid w:val="00582C3A"/>
    <w:rsid w:val="00597823"/>
    <w:rsid w:val="005C76B5"/>
    <w:rsid w:val="005E2AFC"/>
    <w:rsid w:val="005E539F"/>
    <w:rsid w:val="006023BC"/>
    <w:rsid w:val="006156D3"/>
    <w:rsid w:val="00630073"/>
    <w:rsid w:val="006413E1"/>
    <w:rsid w:val="006435F3"/>
    <w:rsid w:val="006574F5"/>
    <w:rsid w:val="006642FF"/>
    <w:rsid w:val="006667A6"/>
    <w:rsid w:val="006912F5"/>
    <w:rsid w:val="006929C5"/>
    <w:rsid w:val="00693641"/>
    <w:rsid w:val="00696272"/>
    <w:rsid w:val="006A5AF0"/>
    <w:rsid w:val="006E32C7"/>
    <w:rsid w:val="006F6D9B"/>
    <w:rsid w:val="007029CC"/>
    <w:rsid w:val="0072C279"/>
    <w:rsid w:val="00734311"/>
    <w:rsid w:val="00742E8F"/>
    <w:rsid w:val="00753A84"/>
    <w:rsid w:val="007772AD"/>
    <w:rsid w:val="00780CCE"/>
    <w:rsid w:val="007C1FB0"/>
    <w:rsid w:val="007C2E39"/>
    <w:rsid w:val="007C79C8"/>
    <w:rsid w:val="007F344B"/>
    <w:rsid w:val="00822200"/>
    <w:rsid w:val="008551D5"/>
    <w:rsid w:val="00856BAB"/>
    <w:rsid w:val="008637C3"/>
    <w:rsid w:val="00876BCE"/>
    <w:rsid w:val="0088210A"/>
    <w:rsid w:val="008876A1"/>
    <w:rsid w:val="008B5D6E"/>
    <w:rsid w:val="00906FEB"/>
    <w:rsid w:val="009235B3"/>
    <w:rsid w:val="009342FF"/>
    <w:rsid w:val="0093598E"/>
    <w:rsid w:val="0094783B"/>
    <w:rsid w:val="00947A30"/>
    <w:rsid w:val="00961DD9"/>
    <w:rsid w:val="0099379E"/>
    <w:rsid w:val="009B6D76"/>
    <w:rsid w:val="009C3B7C"/>
    <w:rsid w:val="009F7B0A"/>
    <w:rsid w:val="00A125D0"/>
    <w:rsid w:val="00A13E38"/>
    <w:rsid w:val="00A71D8F"/>
    <w:rsid w:val="00A95FC5"/>
    <w:rsid w:val="00AA569F"/>
    <w:rsid w:val="00AB691E"/>
    <w:rsid w:val="00AD1636"/>
    <w:rsid w:val="00AF4EB8"/>
    <w:rsid w:val="00B03A51"/>
    <w:rsid w:val="00B139D0"/>
    <w:rsid w:val="00B3608E"/>
    <w:rsid w:val="00B501B5"/>
    <w:rsid w:val="00B62DAF"/>
    <w:rsid w:val="00B63FB6"/>
    <w:rsid w:val="00B671EB"/>
    <w:rsid w:val="00BA05AF"/>
    <w:rsid w:val="00BC5ACF"/>
    <w:rsid w:val="00BD062A"/>
    <w:rsid w:val="00BE2D8E"/>
    <w:rsid w:val="00BE4212"/>
    <w:rsid w:val="00BE4221"/>
    <w:rsid w:val="00BF53DE"/>
    <w:rsid w:val="00C362E7"/>
    <w:rsid w:val="00C4626A"/>
    <w:rsid w:val="00C53F07"/>
    <w:rsid w:val="00C719E2"/>
    <w:rsid w:val="00C858C1"/>
    <w:rsid w:val="00C95755"/>
    <w:rsid w:val="00CA2D2A"/>
    <w:rsid w:val="00CD0D5E"/>
    <w:rsid w:val="00CD58EA"/>
    <w:rsid w:val="00CE3683"/>
    <w:rsid w:val="00D0117A"/>
    <w:rsid w:val="00D013D3"/>
    <w:rsid w:val="00D21BA0"/>
    <w:rsid w:val="00D34848"/>
    <w:rsid w:val="00D443ED"/>
    <w:rsid w:val="00D63823"/>
    <w:rsid w:val="00D90BEE"/>
    <w:rsid w:val="00D95A80"/>
    <w:rsid w:val="00DA2E9F"/>
    <w:rsid w:val="00DB04CD"/>
    <w:rsid w:val="00DB7F7E"/>
    <w:rsid w:val="00DD0506"/>
    <w:rsid w:val="00DD3964"/>
    <w:rsid w:val="00DE1D65"/>
    <w:rsid w:val="00DE4EA8"/>
    <w:rsid w:val="00E01420"/>
    <w:rsid w:val="00E12FEF"/>
    <w:rsid w:val="00E20D48"/>
    <w:rsid w:val="00E24803"/>
    <w:rsid w:val="00E5438C"/>
    <w:rsid w:val="00E63398"/>
    <w:rsid w:val="00E72F47"/>
    <w:rsid w:val="00E74E44"/>
    <w:rsid w:val="00E942CE"/>
    <w:rsid w:val="00EB2BEA"/>
    <w:rsid w:val="00EB2FC2"/>
    <w:rsid w:val="00EE5892"/>
    <w:rsid w:val="00EF1A39"/>
    <w:rsid w:val="00EF2CBF"/>
    <w:rsid w:val="00F034A5"/>
    <w:rsid w:val="00F06668"/>
    <w:rsid w:val="00F139E3"/>
    <w:rsid w:val="00F22E3C"/>
    <w:rsid w:val="00F50D7A"/>
    <w:rsid w:val="00F53C97"/>
    <w:rsid w:val="00F55A3A"/>
    <w:rsid w:val="00F56C54"/>
    <w:rsid w:val="00F60526"/>
    <w:rsid w:val="00F61E36"/>
    <w:rsid w:val="00F72A57"/>
    <w:rsid w:val="00F9352B"/>
    <w:rsid w:val="00FA0ED1"/>
    <w:rsid w:val="00FA11F7"/>
    <w:rsid w:val="00FC1877"/>
    <w:rsid w:val="00FD4EB7"/>
    <w:rsid w:val="00FD5B9F"/>
    <w:rsid w:val="00FE2C5B"/>
    <w:rsid w:val="00FE756F"/>
    <w:rsid w:val="00FF3C09"/>
    <w:rsid w:val="00FF64DC"/>
    <w:rsid w:val="00FF66E3"/>
    <w:rsid w:val="02C13F10"/>
    <w:rsid w:val="051874ED"/>
    <w:rsid w:val="06B082DB"/>
    <w:rsid w:val="09564269"/>
    <w:rsid w:val="12C187F6"/>
    <w:rsid w:val="135D6F61"/>
    <w:rsid w:val="168BB73F"/>
    <w:rsid w:val="1A3B7E52"/>
    <w:rsid w:val="1C82B5F6"/>
    <w:rsid w:val="1DA43FB9"/>
    <w:rsid w:val="2189BAF8"/>
    <w:rsid w:val="259CDD3F"/>
    <w:rsid w:val="26B82439"/>
    <w:rsid w:val="26EE0913"/>
    <w:rsid w:val="2703A6ED"/>
    <w:rsid w:val="2738ADA0"/>
    <w:rsid w:val="294FA442"/>
    <w:rsid w:val="2C33A178"/>
    <w:rsid w:val="2CCA391D"/>
    <w:rsid w:val="308EC688"/>
    <w:rsid w:val="33C43C3B"/>
    <w:rsid w:val="36153042"/>
    <w:rsid w:val="37AED594"/>
    <w:rsid w:val="37E7A7D2"/>
    <w:rsid w:val="43340908"/>
    <w:rsid w:val="43D1750E"/>
    <w:rsid w:val="43EEFE21"/>
    <w:rsid w:val="456D456F"/>
    <w:rsid w:val="521F8AFD"/>
    <w:rsid w:val="57272720"/>
    <w:rsid w:val="59D9911D"/>
    <w:rsid w:val="5C67EEEC"/>
    <w:rsid w:val="5CBCCA84"/>
    <w:rsid w:val="5F413E8C"/>
    <w:rsid w:val="608AB1F8"/>
    <w:rsid w:val="61FD4E15"/>
    <w:rsid w:val="677D4B27"/>
    <w:rsid w:val="68ED2493"/>
    <w:rsid w:val="6D11942C"/>
    <w:rsid w:val="6E485885"/>
    <w:rsid w:val="747AC2A0"/>
    <w:rsid w:val="769238E9"/>
    <w:rsid w:val="76FE2ECC"/>
    <w:rsid w:val="77C8636C"/>
    <w:rsid w:val="79B0B14E"/>
    <w:rsid w:val="7BFD6F7C"/>
    <w:rsid w:val="7CA77F69"/>
    <w:rsid w:val="7E98C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4144"/>
  <w15:chartTrackingRefBased/>
  <w15:docId w15:val="{ABEC5057-2F8E-44B8-B069-22C9CE91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3FB6"/>
    <w:pPr>
      <w:spacing w:after="40"/>
    </w:pPr>
    <w:rPr>
      <w:rFonts w:ascii="Arial" w:hAnsi="Arial"/>
      <w:sz w:val="24"/>
    </w:rPr>
  </w:style>
  <w:style w:type="paragraph" w:styleId="Nagwek1">
    <w:name w:val="heading 1"/>
    <w:basedOn w:val="Normalny"/>
    <w:next w:val="Normalny"/>
    <w:link w:val="Nagwek1Znak"/>
    <w:uiPriority w:val="9"/>
    <w:qFormat/>
    <w:rsid w:val="00B63FB6"/>
    <w:pPr>
      <w:keepNext/>
      <w:keepLines/>
      <w:numPr>
        <w:numId w:val="1"/>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63FB6"/>
    <w:pPr>
      <w:keepNext/>
      <w:keepLines/>
      <w:numPr>
        <w:ilvl w:val="1"/>
        <w:numId w:val="1"/>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B63FB6"/>
    <w:pPr>
      <w:keepNext/>
      <w:keepLines/>
      <w:numPr>
        <w:ilvl w:val="2"/>
        <w:numId w:val="1"/>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B63FB6"/>
    <w:pPr>
      <w:keepNext/>
      <w:keepLines/>
      <w:numPr>
        <w:ilvl w:val="3"/>
        <w:numId w:val="1"/>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B63FB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B6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B6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B6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3FB6"/>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63FB6"/>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B63FB6"/>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B63FB6"/>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B63FB6"/>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B63FB6"/>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B63FB6"/>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B63FB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63FB6"/>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B63FB6"/>
  </w:style>
  <w:style w:type="table" w:customStyle="1" w:styleId="Tabela-Siatka1">
    <w:name w:val="Tabela - Siatka1"/>
    <w:basedOn w:val="Standardowy"/>
    <w:next w:val="Tabela-Siatka"/>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71D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D8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71D8F"/>
    <w:rPr>
      <w:b/>
      <w:bCs/>
    </w:rPr>
  </w:style>
  <w:style w:type="character" w:customStyle="1" w:styleId="TematkomentarzaZnak">
    <w:name w:val="Temat komentarza Znak"/>
    <w:basedOn w:val="TekstkomentarzaZnak"/>
    <w:link w:val="Tematkomentarza"/>
    <w:uiPriority w:val="99"/>
    <w:semiHidden/>
    <w:rsid w:val="00A71D8F"/>
    <w:rPr>
      <w:rFonts w:ascii="Arial" w:hAnsi="Arial"/>
      <w:b/>
      <w:bCs/>
      <w:sz w:val="20"/>
      <w:szCs w:val="20"/>
    </w:rPr>
  </w:style>
  <w:style w:type="table" w:styleId="Tabelasiatki1jasna">
    <w:name w:val="Grid Table 1 Light"/>
    <w:basedOn w:val="Standardowy"/>
    <w:uiPriority w:val="46"/>
    <w:rsid w:val="00B62D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780CCE"/>
    <w:pPr>
      <w:ind w:left="720"/>
      <w:contextualSpacing/>
    </w:pPr>
  </w:style>
  <w:style w:type="paragraph" w:styleId="Tekstprzypisudolnego">
    <w:name w:val="footnote text"/>
    <w:basedOn w:val="Normalny"/>
    <w:link w:val="TekstprzypisudolnegoZnak"/>
    <w:uiPriority w:val="99"/>
    <w:semiHidden/>
    <w:unhideWhenUsed/>
    <w:rsid w:val="00742E8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2E8F"/>
    <w:rPr>
      <w:rFonts w:ascii="Arial" w:hAnsi="Arial"/>
      <w:sz w:val="20"/>
      <w:szCs w:val="20"/>
    </w:rPr>
  </w:style>
  <w:style w:type="character" w:styleId="Odwoanieprzypisudolnego">
    <w:name w:val="footnote reference"/>
    <w:basedOn w:val="Domylnaczcionkaakapitu"/>
    <w:uiPriority w:val="99"/>
    <w:semiHidden/>
    <w:unhideWhenUsed/>
    <w:rsid w:val="00742E8F"/>
    <w:rPr>
      <w:vertAlign w:val="superscript"/>
    </w:rPr>
  </w:style>
  <w:style w:type="paragraph" w:styleId="Nagwek">
    <w:name w:val="header"/>
    <w:basedOn w:val="Normalny"/>
    <w:link w:val="NagwekZnak"/>
    <w:uiPriority w:val="99"/>
    <w:unhideWhenUsed/>
    <w:rsid w:val="00082F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2F04"/>
    <w:rPr>
      <w:rFonts w:ascii="Arial" w:hAnsi="Arial"/>
      <w:sz w:val="24"/>
    </w:rPr>
  </w:style>
  <w:style w:type="paragraph" w:styleId="Stopka">
    <w:name w:val="footer"/>
    <w:basedOn w:val="Normalny"/>
    <w:link w:val="StopkaZnak"/>
    <w:uiPriority w:val="99"/>
    <w:unhideWhenUsed/>
    <w:rsid w:val="00082F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2F0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25794046fd1d6acbbf6158ed9cf0ebee">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a4035ad423c325e7227aba4bf20a64fa"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654B0-D235-47D7-8AF6-F49CD2115548}">
  <ds:schemaRefs>
    <ds:schemaRef ds:uri="http://schemas.openxmlformats.org/package/2006/metadata/core-properties"/>
    <ds:schemaRef ds:uri="http://purl.org/dc/elements/1.1/"/>
    <ds:schemaRef ds:uri="d4f64a22-a125-4b7a-afce-4a30c86a8f7c"/>
    <ds:schemaRef ds:uri="http://schemas.microsoft.com/office/2006/metadata/properties"/>
    <ds:schemaRef ds:uri="http://schemas.microsoft.com/office/2006/documentManagement/types"/>
    <ds:schemaRef ds:uri="http://schemas.microsoft.com/office/infopath/2007/PartnerControls"/>
    <ds:schemaRef ds:uri="http://purl.org/dc/dcmitype/"/>
    <ds:schemaRef ds:uri="d47a4560-aee9-43e8-973f-2abd655c26a0"/>
    <ds:schemaRef ds:uri="http://www.w3.org/XML/1998/namespace"/>
    <ds:schemaRef ds:uri="http://purl.org/dc/terms/"/>
  </ds:schemaRefs>
</ds:datastoreItem>
</file>

<file path=customXml/itemProps2.xml><?xml version="1.0" encoding="utf-8"?>
<ds:datastoreItem xmlns:ds="http://schemas.openxmlformats.org/officeDocument/2006/customXml" ds:itemID="{0C4E21E7-3F8E-4B84-B6BC-09AC7F490276}">
  <ds:schemaRefs>
    <ds:schemaRef ds:uri="http://schemas.microsoft.com/sharepoint/v3/contenttype/forms"/>
  </ds:schemaRefs>
</ds:datastoreItem>
</file>

<file path=customXml/itemProps3.xml><?xml version="1.0" encoding="utf-8"?>
<ds:datastoreItem xmlns:ds="http://schemas.openxmlformats.org/officeDocument/2006/customXml" ds:itemID="{614D1A64-7533-4B33-909A-28357FF35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DE622D-6A42-4130-8C5E-460642CE5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56</Pages>
  <Words>4193</Words>
  <Characters>25164</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Załącznik nr 2 - Wskaźniki</vt:lpstr>
    </vt:vector>
  </TitlesOfParts>
  <Company/>
  <LinksUpToDate>false</LinksUpToDate>
  <CharactersWithSpaces>29299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 Wskaźniki</dc:title>
  <dc:subject/>
  <dc:creator>Frączek Adriana</dc:creator>
  <cp:keywords/>
  <dc:description/>
  <cp:lastModifiedBy>Szymocha Barbara</cp:lastModifiedBy>
  <cp:revision>21</cp:revision>
  <dcterms:created xsi:type="dcterms:W3CDTF">2024-11-05T09:42:00Z</dcterms:created>
  <dcterms:modified xsi:type="dcterms:W3CDTF">2024-11-19T08:15:00Z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