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:rsidTr="007C76FC">
        <w:trPr>
          <w:trHeight w:val="841"/>
        </w:trPr>
        <w:tc>
          <w:tcPr>
            <w:tcW w:w="5495" w:type="dxa"/>
            <w:gridSpan w:val="2"/>
          </w:tcPr>
          <w:p w:rsidR="00E52373" w:rsidRDefault="00E52373" w:rsidP="007C76FC"/>
        </w:tc>
        <w:tc>
          <w:tcPr>
            <w:tcW w:w="3969" w:type="dxa"/>
          </w:tcPr>
          <w:p w:rsidR="00E52373" w:rsidRDefault="00E52373" w:rsidP="007C76FC"/>
        </w:tc>
      </w:tr>
      <w:tr w:rsidR="00E52373" w:rsidTr="007C76FC">
        <w:trPr>
          <w:trHeight w:val="838"/>
        </w:trPr>
        <w:tc>
          <w:tcPr>
            <w:tcW w:w="5495" w:type="dxa"/>
            <w:gridSpan w:val="2"/>
          </w:tcPr>
          <w:p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322B01">
              <w:rPr>
                <w:rFonts w:cs="Arial"/>
                <w:szCs w:val="21"/>
              </w:rPr>
              <w:t xml:space="preserve"> 683/74/VII/2025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 dnia </w:t>
            </w:r>
            <w:r w:rsidR="00322B01">
              <w:rPr>
                <w:rFonts w:cs="Arial"/>
                <w:szCs w:val="21"/>
              </w:rPr>
              <w:t>02.04.2025 r.</w:t>
            </w:r>
          </w:p>
          <w:p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7C76FC">
        <w:tc>
          <w:tcPr>
            <w:tcW w:w="5495" w:type="dxa"/>
            <w:gridSpan w:val="2"/>
          </w:tcPr>
          <w:p w:rsidR="007048AF" w:rsidRDefault="007048AF" w:rsidP="007C76FC"/>
        </w:tc>
        <w:tc>
          <w:tcPr>
            <w:tcW w:w="3969" w:type="dxa"/>
          </w:tcPr>
          <w:p w:rsidR="00E52373" w:rsidRDefault="00E52373" w:rsidP="007C76FC"/>
        </w:tc>
      </w:tr>
      <w:tr w:rsidR="00852ADC" w:rsidTr="007C76FC">
        <w:tc>
          <w:tcPr>
            <w:tcW w:w="3510" w:type="dxa"/>
          </w:tcPr>
          <w:p w:rsidR="00E52373" w:rsidRPr="00F7055C" w:rsidRDefault="00697052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 w:rsidR="00E44DB4">
              <w:rPr>
                <w:b/>
              </w:rPr>
              <w:t xml:space="preserve"> 125</w:t>
            </w:r>
            <w:r>
              <w:rPr>
                <w:b/>
              </w:rPr>
              <w:t xml:space="preserve">/ </w:t>
            </w:r>
            <w:r w:rsidR="00E44DB4">
              <w:rPr>
                <w:b/>
              </w:rPr>
              <w:t>25</w:t>
            </w:r>
          </w:p>
        </w:tc>
      </w:tr>
      <w:tr w:rsidR="00852ADC" w:rsidTr="007C76FC"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852ADC" w:rsidTr="007C76FC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E52373" w:rsidRDefault="00E52373" w:rsidP="007C76FC">
            <w:pPr>
              <w:pStyle w:val="Arial10i50"/>
            </w:pPr>
          </w:p>
        </w:tc>
      </w:tr>
      <w:tr w:rsidR="00123593" w:rsidTr="007C76FC">
        <w:tc>
          <w:tcPr>
            <w:tcW w:w="9464" w:type="dxa"/>
            <w:gridSpan w:val="3"/>
          </w:tcPr>
          <w:p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7C76FC"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BA1260" w:rsidRDefault="00BA1260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  <w:r>
              <w:t xml:space="preserve">z dnia </w:t>
            </w:r>
            <w:r w:rsidR="00322B01">
              <w:t>0</w:t>
            </w:r>
            <w:r w:rsidR="00D3494E">
              <w:t>2</w:t>
            </w:r>
            <w:bookmarkStart w:id="0" w:name="_GoBack"/>
            <w:bookmarkEnd w:id="0"/>
            <w:r w:rsidR="00322B01">
              <w:t>.04.2025 r.</w:t>
            </w:r>
          </w:p>
        </w:tc>
        <w:tc>
          <w:tcPr>
            <w:tcW w:w="5954" w:type="dxa"/>
            <w:gridSpan w:val="2"/>
          </w:tcPr>
          <w:p w:rsidR="00564CBB" w:rsidRDefault="00564CBB" w:rsidP="007C76FC">
            <w:pPr>
              <w:pStyle w:val="Arial10i50"/>
            </w:pPr>
          </w:p>
          <w:p w:rsidR="00564CBB" w:rsidRDefault="00564CBB" w:rsidP="007C76FC">
            <w:pPr>
              <w:pStyle w:val="Arial10i50"/>
            </w:pPr>
          </w:p>
        </w:tc>
      </w:tr>
      <w:tr w:rsidR="00564CBB" w:rsidTr="007C76FC"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64CBB" w:rsidRDefault="00564CBB" w:rsidP="007C76FC">
            <w:pPr>
              <w:pStyle w:val="Arial10i50"/>
            </w:pPr>
          </w:p>
        </w:tc>
      </w:tr>
      <w:tr w:rsidR="002C0A23" w:rsidTr="007C76FC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:rsidR="002C0A23" w:rsidRDefault="002C0A23" w:rsidP="007C76FC">
            <w:pPr>
              <w:pStyle w:val="Arial10i50"/>
            </w:pPr>
          </w:p>
        </w:tc>
      </w:tr>
      <w:tr w:rsidR="002C0A23" w:rsidTr="007C76FC">
        <w:tc>
          <w:tcPr>
            <w:tcW w:w="9464" w:type="dxa"/>
            <w:gridSpan w:val="3"/>
          </w:tcPr>
          <w:p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C4673" w:rsidRPr="00EC4673" w:rsidRDefault="0023309E" w:rsidP="00EC4673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111A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 w:rsidR="00C671C8">
              <w:rPr>
                <w:rFonts w:ascii="Arial" w:hAnsi="Arial" w:cs="Arial"/>
                <w:b/>
                <w:bCs/>
                <w:sz w:val="21"/>
                <w:szCs w:val="21"/>
              </w:rPr>
              <w:t>i</w:t>
            </w:r>
            <w:r w:rsidR="00EC4673">
              <w:t xml:space="preserve"> </w:t>
            </w:r>
            <w:r w:rsidR="00EC4673" w:rsidRPr="00EC467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Małgorzacie Radwin – kierownikowi referatu nadzoru organizacyjnego </w:t>
            </w:r>
          </w:p>
          <w:p w:rsidR="00C671C8" w:rsidRDefault="00EC4673" w:rsidP="00EC4673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C4673">
              <w:rPr>
                <w:rFonts w:ascii="Arial" w:hAnsi="Arial" w:cs="Arial"/>
                <w:b/>
                <w:bCs/>
                <w:sz w:val="21"/>
                <w:szCs w:val="21"/>
              </w:rPr>
              <w:t>w Departamencie Edukacji Urzędu Marszałkowskiego Województwa Śląskiego</w:t>
            </w:r>
          </w:p>
          <w:p w:rsidR="00EC4673" w:rsidRDefault="00EC4673" w:rsidP="00EC4673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052524" w:rsidRPr="00C671C8" w:rsidRDefault="00697052" w:rsidP="007C76FC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97052">
              <w:rPr>
                <w:rFonts w:ascii="Arial" w:hAnsi="Arial" w:cs="Arial"/>
                <w:sz w:val="21"/>
                <w:szCs w:val="21"/>
              </w:rPr>
              <w:t>upoważnienia do: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ustalonych przez dyrektora szkoły prowadzącej kształcenie zawodowe zawodów, w których kształci szkoła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przekazania do szkół dla dzieci i młodzieży oraz placówek, o których mowa w art. 2 pkt 7 ustawy Prawo oświatowe informacji o podmiotach wykonujących działalność leczniczą udzielających świadczeń zdrowotnych w zakresie leczenia stomatologicznego dla dzieci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młodzieży, finansowanych ze środków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wyznaczania nauczyciela pełniącego zastępstwo w przypadku nieobecności dyrektora jednostki oświatowej, w której nie utworzono stanowiska wicedyrektora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zawiadamiania rodziców uczniów, w przypadku szkoły dla dorosłych – uczniów, o zamiarze likwidacji lub przekształcenia szkoły, co najmniej na 6 miesięcy przed terminem likwidacji lub przekształcenia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wprowadzenia przez dyrektora szkoły lub placówki szczególnego nadzoru nad pomieszczeniami szkoły lub placówki lub terenem wokół szkoły lub placówki w postaci środków technicznych umożliwiających rejestrację obrazu (monitoring) oraz uzgadniania odpowiednich środków technicznych i organizacyjnych w celu ochrony przechowywanych nagrań obrazu oraz danych osobowych uczniów, pracowników i innych osób, których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wyniku tych nagrań można zidentyfikować, uzyskanych w wyniku monitoringu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organizowanie dodatkowych zajęć edukacyjnych, o których mowa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art. 109 ust. 1 pkt 2 ustawy z dnia 14 grudnia 2016 r. Prawo oświatowe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stypendium, przyznawanego przez jednostki oświatowe prowadzone przez Województwo Śląskie za wyniki w nauce lub za osiągnięcia sportowe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przedkładania sprawozdania z wysokości średnich wynagrodzeń na poszczególnych stopniach awansu zawodowego w jednostkach oświatowych prowadzonych przez Województwo Śląskie regionalnej izbie obrachunkowej, Sejmikowi Województwa Śląskiego, dyrektorom jednostek oświatowych prowadzonych przez Województwo Śląskie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związkom zawodowym zrzeszającym nauczycieli tych jednostek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operatora Ogólnopolskiej Sieci Edukacyjnej wniosku o świadczenie usług,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art. 5 pkt 2 i 3 albo art. 6 ustawy z dnia 27 października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 Ogólnopolskiej Sieci Edukacyjnej albo wyrażania zgody dyrektorowi szkoły na złożenie takiego wniosku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składania do ministra właściwego do spraw informatyzacji wniosku o udzielenie zgody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na świadczenie usług niespełniających parametrów określonych w art. 7 ust. 5 ustawy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dnia 27 października 2017 r. o Ogólnopolskiej Sieci Edukacyjnej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zawierania umów o nieodpłatne udostępnianie pielęgniarkom środowiska nauczania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wychowania albo higienistkom szkolnym gabinetów profilaktyki zdrowotnej w szkołach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zawierania porozumień z podmiotami wykonującymi działalność leczniczą udzielającymi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świadczeń zdrowotnych z zakresu leczenia stomatologicznego dla dzieci i młodzieży finansowanych ze środków publicznych, w których określa się sposób organizacji udzielania świadczeń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dzienników, o których mowa w rozporządzeniu Ministra Edukacji Narodowej z dnia 25 sierpnia 2017 r. w sprawie sposobu prowadzenia przez publiczne przedszkola, szkoły i placówki dokumentacji przebiegu nauczania, działalności wychowawczej i opiekuńczej oraz rodzajów 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ksiąg ewidencji uczniów, słuchaczy i wychowanków,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 których mowa w rozporządzeniu Ministra Edukacji Narodowej z dnia 25 sierpnia 2017 r. </w:t>
            </w:r>
            <w:r w:rsidR="0088742B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sprawie sposobu prowadzenia przez publiczne przedszkola, szkoły i placówki dokumentacji przebiegu nauczania, działalności wychowawczej i opiekuńczej oraz rodzajów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tej dokumentacji, wyłącznie w postaci elektronicznej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przyznawania, nie więcej niż 3 godzin tygodniowo dla każdego oddziału, w przypadkach określonych w § 3 ust. 1 rozporządzenia Ministra Edukacji Narodowej z dnia 7 lutego 2012 r. w sprawie ramowych planów nauczania w szkołach publicznych oraz w § 3 ust. 1 rozporządzenia Ministra Edukacji Narodowej z dnia 3 kwietnia 2019 r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dokonanie podziału na grupy oddziału liczącego odpowiednio nie więcej niż 24 uczniów lub nie więcej niż 30 uczniów na zajęciach, o których mowa w § 7 ust. 1 pkt 1 - 4 rozporządzenia Ministra Edukacji Narodowej z dnia 7 lutego 2012 r.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sprawie ramowych planów nauczania w szkołach publicznych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akceptacji realizacji w liceum ogólnokształcącym i technikum, w grupie międzyszkolnej, przedmiotów ujętych w podstawie programowej kształcenia ogólnego w zakresie rozszerzonym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dokonanie podziału na grupy oddziału liczącego odpowiednio nie więcej niż 24, 26 lub 30 uczniów na zajęciach, o których mowa w § 7 ust. 1 pkt 1- 4 i ust. 7 rozporządzenia Ministra Edukacji Narodowej z dnia 3 kwietnia 2019 r. w sprawie ramowych planów nauczania dla publicznych szkół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podział, o którym mowa w § 5 ust. 3 rozporządzenia Ministra Edukacji Narodowej z dnia 17 marca 2017 r. w sprawie szczegółowej organizacji publicznych szkół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przedszkoli oraz w § 5 ust. 3 rozporządzenia Ministra Edukacji Narodowej z dnia 28 lutego 2019 r. w sprawie szczegółowej organizacji publicznych </w:t>
            </w:r>
            <w:r w:rsidR="0052318D">
              <w:rPr>
                <w:rFonts w:ascii="Arial" w:hAnsi="Arial" w:cs="Arial"/>
                <w:bCs/>
                <w:sz w:val="21"/>
                <w:szCs w:val="21"/>
              </w:rPr>
              <w:t>szkół i publicznych przedszkoli;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prowadzenie działalności przez internat w czasie ferii letnich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zimowych oraz wiosennej i zimowej przerwy świątecznej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organizacji dodatkowych zajęć w formach pozaszkolnych dla uczniów, w tym młodocianych pracowników w przypadku szkoły branżowej I stopnia, w szkole prowadzącej kształcenie zawodowe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mniejszą niż 20 liczbę słuchaczy kwalifikacyjnego kursu zawodowego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wysokości opłat za kształcenie prowadzone w formach pozaszkolnych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propozycji zajęć wychowania fizycznego do wyboru przez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18 kwietnia 2002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ustalanie przez dyrektora szkoły innych niż ustalone na podstawie § 5 ust. 1 rozporządzenia z dnia 11 sierpnia 2017 r. w sprawie organizacji roku szkolnego dodatkowych dni wolnych od zajęć dydaktyczno-wychowawczych, pod warunkiem zrealizowania zajęć przypadających w te dni w wyznaczone soboty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C45F40" w:rsidRDefault="00442CE9" w:rsidP="00C45F40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ustalenie przez dyrektora wyższego tygodniowego wymiaru godzin zajęć indywidualnego nauczania niż maksymalny wymiar określony w rozporządzeniu Ministra Edukacji Narodowej z dnia 28 sierpnia 2014 r. w sprawie indywidualnego nauczania dzieci i młodzieży i w rozporządzeniu Ministra Edukacji Narodowej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 dnia 9 sierpnia 2017 r. w sprawie indywidualnego obowiązkowego rocznego przygotowania przedszkolnego dzieci i indywidualnego nauczania dzieci i młodzieży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zakresu i czasu prowadzenia zajęć indywidualnego nauczania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młodzieżowego ośrodka wychowawczego do szkoły ponadgimnazjalnej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młodzieżowym ośrodku wychowawczym uczniów niebędących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przyjmowanie zawiadomień dyrektora młodzieżowego ośrodka wychowawczego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o wydarzeniach nadzwyczajnych oraz ich przyczynach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wychowanka specjalnego ośrodka szkolno-wychowawczego do szkoły ponadgimnazjalnej i ponadpodstawowej funkcjonującej poza ośrodkiem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uczęszczanie do szkoły funkcjonującej w specjalnym ośrodku szkolno-wychowawczym uczniów niebędących wychowankami tego ośrodka posiadających orzeczenie o potrzebie kształcenia specjalnego ze względu na niepełnosprawność, o której mowa w § 32 rozporządzenia MEN z dnia 2 listopada 2015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uczestniczenie w zajęciach, o których mowa w § 36 ust. 1 pkt 2 rozporządzenia MEN z dnia 2 listopada 2015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uczęszczanie do szkoły funkcjonującej w specjalnym ośrodku szkolno-wychowawczym uczniów niebędących wychowankami tego ośrodka posiadających orzeczenie o potrzebie kształcenia specjalnego wydane ze względu na niepełnosprawność, o której mowa w § 36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uczestniczenie w zajęciach, o których mowa w § 41 ust. 1 pkt 3 rozporządzenia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MEiN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z dnia 30 marca 2023 r., w specjalnym ośrodku szkolno-wychowawczym dzieci i młodzieży niebędącymi wychowankami ośrodka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zatrudnianie w specjalnym ośrodku szkolno-wychowawczym pomocy wychowawcy do grupy wychowawczej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prowadzenie działalności przez specjalny ośrodek szkolno-wychowawczy w okresie zimowej lub wiosennej przerwy świątecznej lub w okresie ferii szkolnych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akceptowania wysokości opłat za posiłki, a także terminu i sposobu ich wnoszenia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młodzieżowym ośrodku wychowawczym oraz specjalnym ośrodku szkolno-wychowawczym ustalonych przez dyrektora placówki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zwalniania rodziców dzieci przebywających w młodzieżowym ośrodku wychowawczym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specjalnym ośrodku szkolno-wychowawczym z całości lub części opłat za posiłki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w stołówkach tych ośrodków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zatrudnienie w szkołach specjalnych pomocy nauczyciela,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7 ust. 5 rozporządzenia Ministra Edukacji Narodowej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 dnia 9 sierpnia 2017 r. w sprawie warunków organizowania kształcenia, wychowania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i opieki dla dzieci i młodzieży niepełnosprawnych, niedostosowanych społecznie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i zagrożonych niedostosowaniem społecznym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ustalonej przez dyrektora szkoły zorganizowanej w podmiocie leczniczym liczby uczniów w oddziale tej szkoły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zwiększania liczby godzin przeznaczonych na specjalne działania opiekuńczo-wychowawcze w szkole zorganizowanej w podmiocie leczniczym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organizowania, w porozumieniu z właściwym kościołem lub związkiem wyznaniowym, nauki religii w grupie międzyszkolnej lub pozaszkolnym punkcie katechetycznym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organizowania nauczania religii danego wyznania w sposób odmienny niż określony w § 2 ust. 1-3 rozporządzenia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akceptowania ustalonego przez dyrektora szkoły mistrzostwa sportowego obowiązkowego tygodniowego wymiaru zajęć sportowych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placówkom doskonalenia, prowadzonym przez Województwo Śląskie, składanych przez dyrektorów tych placówek do kuratora oświaty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uczestniczenia, w charakterze obserwatora, w pracach zespołu akredytacyjnego jako przedstawiciel organu prowadzącego placówkę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delegowania przedstawiciela organu prowadzącego placówkę doskonalenia nauczycieli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do prac w zespole akredytacyjnym, w charakterze obserwatora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delegowania innej osoby do prac w zespole akredytacyjnym, w charakterze obserwatora, spełniającej jeden z warunków określonych w § 6 ust. 1 pkt 2 i pkt 3 rozporządzenia Ministra Edukacji Narodowej w sprawie akredytacji placówek doskonalenia nauczycieli.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uzgadniania wniosków o przyznanie akredytacji na kształcenie ustawiczne w danej formie pozaszkolnej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zatwierdzania planów pracy i aneksów do planów pracy placówek doskonalenia nauczycieli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zawieszenie na czas oznaczony zajęć w szkołach lub placówkach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przypadkach określonych w § 18 ust. 2 pkt 1 i pkt 2 rozporządzenia Ministra Edukacji Narodowej i Sportu z dnia 31 grudnia 2002 r. w sprawie bezpieczeństwa i higieny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w publicznych 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zgody, po uzyskaniu pozytywnej opinii właściwego państwowego powiatowego inspektora sanitarnego, na zawieszenie na czas oznaczony zajęć w szkołach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lub placówkach, jeżeli ze względu na aktualną sytuację epidemiologiczną może być zagrożone zdrowie uczniów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zawiadamiania organu sprawującego nadzór pedagogiczny o zawieszeniu zajęć, o których mowa w § 18 w ust. 1 – 2a rozporządzenia Ministra Edukacji Narodowej i Sportu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z dnia 31 grudnia 2002 r. w sprawie bezpieczeństwa i higieny w publicznych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i niepublicznych szkołach i placówkach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rozpatrywania zastrzeżeń do protokołów powypadkowych sporządzanych po wypadkach osób pozostających pod opieką szkoły lub placówki, wniesionych przez poszkodowanych pełnoletnich lub rodziców (opiekunów) poszkodowanych małoletnich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tworzenie stanowisk kierowniczych w jednostkach oświatowych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wyrażania zgody na zatrudnienie wychowawcy-opiekuna nocnego w internacie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przyznawania godzin na realizację nauki geografii państwa, którego obszarem kulturowym utożsamia się mniejszość kulturowa, zgodnie z zasadami określonymi w § 1 ust. 2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międzyszkolnych zespołów nauczania w przypadku, gdy z powodu zbyt małej liczby zgłoszonych uczniów albo braku nauczyciela nie ma możliwości zorganizowania nauczania języka mniejszości lub języka regionalnego w sposób określony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w rozporządzeniu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mniejszą liczbę uczniów w oddziale, grupie, grupie międzyoddziałowej, grupie </w:t>
            </w:r>
            <w:proofErr w:type="spellStart"/>
            <w:r w:rsidRPr="00BC0046">
              <w:rPr>
                <w:rFonts w:ascii="Arial" w:hAnsi="Arial" w:cs="Arial"/>
                <w:bCs/>
                <w:sz w:val="21"/>
                <w:szCs w:val="21"/>
              </w:rPr>
              <w:t>międzyklasowej</w:t>
            </w:r>
            <w:proofErr w:type="spellEnd"/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 i międzyszkolnym zespole nauczania niż określona w § 7 ust. 1-3 i § 8 ust. 5 rozporządzenia Ministra Edukacji Narodowej z dnia 18 sierpnia 2017 r. w sprawie warunków i sposobu wykonywania przez przedszkola, szkoły i placówki publiczne zadań umożliwiających podtrzymywanie poczucia tożsamości narodowej, etnicznej i językowej uczniów należących do mniejszości narodowych i etnicznych oraz społeczności posługującej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współdziałania z organizacjami mniejszości narodowych i etnicznych oraz społeczności posługujących się językiem regionalnym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w przypadkach uzasadnionych potrzebami dziecka i jego rodziny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na zwiększenie miesięcznego wymiaru godzin zajęć w ramach wczesnego wspomagania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dodatkowej, bezpłatnej nauki języka polskiego w formie dodatkowych zajęć lekcyjnych z języka polskiego, dla uczniów przybywających z zagranicy, podlegających obowiązkowi szkolnemu lub obowiązkowi nauki, którzy nie znają języka polskiego albo znają go na poziomie niewystarczającym do korzystania z nauki, w szkole,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 xml:space="preserve">w której uczeń realizuje naukę zgodnie z podstawą programową kształcenia ogólnego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oraz ustalania tygodniowego rozkładu i wymiaru godzin dodatkowych zajęć lekcyjnych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organizowania dodatkowych zajęć wyrównawczych dla uczniów przybywających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>z zagranicy, podlegających obowiązkowi szkolnemu lub obowiązkowi nauki, w odniesieniu do których nauczyciel prowadzący zajęcia edukacyjne z danego przedmiotu stwierdzi konieczność uzupełnienia różnic programowych z tego przedmiotu oraz ustalania tygodniowego rozkładu dodatkowych zajęć wyrównawczych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zatwierdzania sprawozdań z wykonania zadań publicznych wynikających z zawartych umów o wsparcie i powierzenie zadań publicznych realizowanych zgodnie z przepisami Ustawy z dnia 24 kwietnia 2003 r. o działalności pożytku publicznego i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wolontariacie;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uznawania celowości realizacji zadania publicznego z pominięciem otwartego konkursu ofert (tzw. „mały grant”) poprzez – przygotowanie przez Departament Edukacji Karty oceny formalnej i merytorycznej oferty wraz z uzasadnieniem celowości zadania, oraz w terminie nie dłuższym niż 7 dni roboczych  od dnia wpłynięcia oferty, zamieszczenia oferty na okres 7 dni na tablicy ogłoszeń Urzędu Marszałkowskiego Województwa Śląskiego, stronie internetowej Województwa Śląskiego i w Biuletynie Informacji Publicznej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przyznawania pomocy zdrowotnej w formie zasiłku pieniężnego nauczycielom szkół 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lastRenderedPageBreak/>
              <w:t>i placówek oświatowych, dla których organem prowadzącym jest Województwo Śląskie, korzystających z opieki zdrowotnej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wyrażania zgody na ustaloną przez dyrektora Planetarium i Obserwatorium Astronomicznego im. Mikołaja Kopernika w Chorzowie wysokość opłat za udział </w:t>
            </w:r>
            <w:r w:rsidR="00C45F4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w zajęciach organizowanych przez Planetarium w ramach stałych form oraz wyrażanie zgody na dokonywanie przez dyrektora Planetarium zniżek i zwolnień z opłat </w:t>
            </w:r>
            <w:r w:rsidRPr="00BC0046">
              <w:rPr>
                <w:rFonts w:ascii="Arial" w:hAnsi="Arial" w:cs="Arial"/>
                <w:bCs/>
                <w:sz w:val="21"/>
                <w:szCs w:val="21"/>
              </w:rPr>
              <w:br/>
              <w:t>za udział w zajęciach organizowanych przez Planetarium w ramach stałych form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442CE9" w:rsidRPr="00BC0046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 i not odsetkowych, not obciążeniowych i uznaniowych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8C5DA4" w:rsidRDefault="00442CE9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 xml:space="preserve">rozpatrywania skarg, wniosków i petycji, znajdujących się w zakresie zadań realizowanych przez Departament Edukacji Urzędu Marszałkowskiego Województwa Śląskiego oraz podległe jednostki, w tym do podpisywania odpowiedzi - zawiadomień o sposobie załatwienia skargi, wniosku i petycji oraz wszelkich pism w sprawie skarg, wniosków </w:t>
            </w:r>
          </w:p>
          <w:p w:rsidR="00442CE9" w:rsidRDefault="00442CE9" w:rsidP="008C5DA4">
            <w:pPr>
              <w:widowControl w:val="0"/>
              <w:suppressAutoHyphens/>
              <w:autoSpaceDE w:val="0"/>
              <w:ind w:left="72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BC0046">
              <w:rPr>
                <w:rFonts w:ascii="Arial" w:hAnsi="Arial" w:cs="Arial"/>
                <w:bCs/>
                <w:sz w:val="21"/>
                <w:szCs w:val="21"/>
              </w:rPr>
              <w:t>i petycji, w przypadku, gdy organem właściwym do ich rozpatrzenia jest Zarząd Województwa Śląskiego</w:t>
            </w:r>
            <w:r w:rsidR="00697052">
              <w:rPr>
                <w:rFonts w:ascii="Arial" w:hAnsi="Arial" w:cs="Arial"/>
                <w:bCs/>
                <w:sz w:val="21"/>
                <w:szCs w:val="21"/>
              </w:rPr>
              <w:t>.</w:t>
            </w:r>
          </w:p>
          <w:p w:rsidR="00F3370B" w:rsidRDefault="00F3370B" w:rsidP="00442CE9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9B5DD6">
              <w:rPr>
                <w:rFonts w:ascii="Arial" w:hAnsi="Arial" w:cs="Arial"/>
                <w:sz w:val="21"/>
                <w:szCs w:val="21"/>
              </w:rPr>
              <w:t>wyrażani</w:t>
            </w:r>
            <w:r>
              <w:rPr>
                <w:rFonts w:ascii="Arial" w:hAnsi="Arial" w:cs="Arial"/>
                <w:sz w:val="21"/>
                <w:szCs w:val="21"/>
              </w:rPr>
              <w:t xml:space="preserve">e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zgody na ustaloną przez dyrektora Planetarium i Obserwatorium Astronomicznego im. Mikołaja Kopernika </w:t>
            </w:r>
            <w:r>
              <w:rPr>
                <w:rFonts w:ascii="Arial" w:hAnsi="Arial" w:cs="Arial"/>
                <w:sz w:val="21"/>
                <w:szCs w:val="21"/>
              </w:rPr>
              <w:t xml:space="preserve">w Chorzowie organizację zajęć, 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o których mowa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w § 4 ust. 1 rozporządzenia Ministerstwa Edukacji i Nauki z dnia 30 marca 2023 r.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sprawie niektórych publi</w:t>
            </w:r>
            <w:r>
              <w:rPr>
                <w:rFonts w:ascii="Arial" w:hAnsi="Arial" w:cs="Arial"/>
                <w:sz w:val="21"/>
                <w:szCs w:val="21"/>
              </w:rPr>
              <w:t>cznych placówek systemu oświaty</w:t>
            </w:r>
            <w:r w:rsidRPr="009B5DD6">
              <w:rPr>
                <w:rFonts w:ascii="Arial" w:hAnsi="Arial" w:cs="Arial"/>
                <w:sz w:val="21"/>
                <w:szCs w:val="21"/>
              </w:rPr>
              <w:t xml:space="preserve"> i liczbę wychowanków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9B5DD6">
              <w:rPr>
                <w:rFonts w:ascii="Arial" w:hAnsi="Arial" w:cs="Arial"/>
                <w:sz w:val="21"/>
                <w:szCs w:val="21"/>
              </w:rPr>
              <w:t>w grupie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052524" w:rsidRPr="00EC4673" w:rsidRDefault="00697052" w:rsidP="00EC467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EC4673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EC4673">
              <w:t xml:space="preserve"> </w:t>
            </w:r>
            <w:r w:rsidR="00EC4673">
              <w:rPr>
                <w:rFonts w:ascii="Arial" w:hAnsi="Arial" w:cs="Arial"/>
                <w:sz w:val="21"/>
                <w:szCs w:val="21"/>
              </w:rPr>
              <w:t>kierownika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 xml:space="preserve"> re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feratu nadzoru organizacyjnego </w:t>
            </w:r>
            <w:r w:rsidR="00EC4673" w:rsidRPr="00EC4673">
              <w:rPr>
                <w:rFonts w:ascii="Arial" w:hAnsi="Arial" w:cs="Arial"/>
                <w:sz w:val="21"/>
                <w:szCs w:val="21"/>
              </w:rPr>
              <w:t>w Departamencie Edukacji Urzędu Marszałkowskiego Województwa Śląskiego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 wyłącznie podczas równoczesnej nieobecności dyrektora oraz zastępcy dyrektora Departamentu Edukacji w Urzędzie Marszałkowskim</w:t>
            </w:r>
            <w:r w:rsidR="00EC4673">
              <w:t xml:space="preserve"> </w:t>
            </w:r>
            <w:r w:rsidR="00EC4673">
              <w:rPr>
                <w:rFonts w:ascii="Arial" w:hAnsi="Arial" w:cs="Arial"/>
                <w:sz w:val="21"/>
                <w:szCs w:val="21"/>
              </w:rPr>
              <w:t xml:space="preserve">Województwa Śląskiego. </w:t>
            </w:r>
          </w:p>
          <w:p w:rsidR="00052524" w:rsidRPr="0027185F" w:rsidRDefault="00697052" w:rsidP="0069705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B0573B" w:rsidP="00697052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poważniony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5C1BA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C457C1">
              <w:rPr>
                <w:rFonts w:ascii="Arial" w:hAnsi="Arial" w:cs="Arial"/>
                <w:bCs/>
                <w:w w:val="101"/>
                <w:sz w:val="21"/>
                <w:szCs w:val="21"/>
              </w:rPr>
              <w:t>dokument po utracie</w:t>
            </w:r>
            <w:r w:rsidR="00052524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</w:t>
            </w:r>
            <w:r w:rsidR="00697052"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7C76FC">
            <w:pPr>
              <w:pStyle w:val="Arial10i50"/>
            </w:pPr>
          </w:p>
          <w:p w:rsidR="002C0A23" w:rsidRDefault="002C0A23" w:rsidP="007C76FC">
            <w:pPr>
              <w:pStyle w:val="Arial10i50"/>
            </w:pPr>
          </w:p>
        </w:tc>
      </w:tr>
      <w:tr w:rsidR="004608B9" w:rsidTr="007C76FC">
        <w:tc>
          <w:tcPr>
            <w:tcW w:w="9464" w:type="dxa"/>
            <w:gridSpan w:val="3"/>
          </w:tcPr>
          <w:p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C45F40" w:rsidRDefault="00C45F40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>
        <w:rPr>
          <w:szCs w:val="21"/>
        </w:rPr>
        <w:t>upoważnienia</w:t>
      </w:r>
      <w:r w:rsidRPr="00B0573B">
        <w:rPr>
          <w:szCs w:val="21"/>
        </w:rPr>
        <w:t xml:space="preserve">, jednocześnie potwierdzając jego odbiór. </w:t>
      </w:r>
    </w:p>
    <w:p w:rsidR="003B3E19" w:rsidRDefault="003B3E19" w:rsidP="00620CB0">
      <w:pPr>
        <w:pStyle w:val="Arial10i50"/>
        <w:rPr>
          <w:szCs w:val="21"/>
        </w:rPr>
      </w:pPr>
    </w:p>
    <w:p w:rsidR="00AA37CA" w:rsidRDefault="00AA37CA" w:rsidP="00620CB0">
      <w:pPr>
        <w:pStyle w:val="Arial10i50"/>
        <w:rPr>
          <w:szCs w:val="21"/>
        </w:rPr>
      </w:pPr>
    </w:p>
    <w:p w:rsidR="007415CA" w:rsidRPr="00B0573B" w:rsidRDefault="007415CA" w:rsidP="00620CB0">
      <w:pPr>
        <w:pStyle w:val="Arial10i50"/>
        <w:rPr>
          <w:szCs w:val="21"/>
        </w:rPr>
      </w:pPr>
    </w:p>
    <w:p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C4673">
          <w:rPr>
            <w:rFonts w:ascii="Arial" w:hAnsi="Arial" w:cs="Arial"/>
            <w:bCs/>
            <w:noProof/>
            <w:sz w:val="18"/>
            <w:szCs w:val="18"/>
          </w:rPr>
          <w:t>4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C4673">
          <w:rPr>
            <w:rFonts w:ascii="Arial" w:hAnsi="Arial" w:cs="Arial"/>
            <w:bCs/>
            <w:noProof/>
            <w:sz w:val="18"/>
            <w:szCs w:val="18"/>
          </w:rPr>
          <w:t>5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D3494E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19F8"/>
    <w:multiLevelType w:val="hybridMultilevel"/>
    <w:tmpl w:val="7AFA5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F2F"/>
    <w:multiLevelType w:val="hybridMultilevel"/>
    <w:tmpl w:val="60B0D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A19EB"/>
    <w:rsid w:val="002C0A23"/>
    <w:rsid w:val="002C723D"/>
    <w:rsid w:val="002D4290"/>
    <w:rsid w:val="002E7963"/>
    <w:rsid w:val="00300DF1"/>
    <w:rsid w:val="00301E8D"/>
    <w:rsid w:val="00322B01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42CE9"/>
    <w:rsid w:val="00454C6B"/>
    <w:rsid w:val="004608B9"/>
    <w:rsid w:val="004619BA"/>
    <w:rsid w:val="004942D1"/>
    <w:rsid w:val="004C6D3D"/>
    <w:rsid w:val="004F0FB2"/>
    <w:rsid w:val="00507025"/>
    <w:rsid w:val="00515AAD"/>
    <w:rsid w:val="0052318D"/>
    <w:rsid w:val="00564CBB"/>
    <w:rsid w:val="00567ACB"/>
    <w:rsid w:val="00573304"/>
    <w:rsid w:val="00593C69"/>
    <w:rsid w:val="005B22B8"/>
    <w:rsid w:val="005C1BA7"/>
    <w:rsid w:val="005E5A54"/>
    <w:rsid w:val="00620CB0"/>
    <w:rsid w:val="00626A69"/>
    <w:rsid w:val="006459B7"/>
    <w:rsid w:val="00666C7A"/>
    <w:rsid w:val="006725F6"/>
    <w:rsid w:val="00681890"/>
    <w:rsid w:val="006951B5"/>
    <w:rsid w:val="00697052"/>
    <w:rsid w:val="006971B1"/>
    <w:rsid w:val="006A0CF9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8268F"/>
    <w:rsid w:val="007A17D2"/>
    <w:rsid w:val="007C1DF1"/>
    <w:rsid w:val="007C76FC"/>
    <w:rsid w:val="0080236A"/>
    <w:rsid w:val="008352D2"/>
    <w:rsid w:val="00852ADC"/>
    <w:rsid w:val="00857F95"/>
    <w:rsid w:val="00862CC3"/>
    <w:rsid w:val="0088742B"/>
    <w:rsid w:val="008A514E"/>
    <w:rsid w:val="008B05B5"/>
    <w:rsid w:val="008C2B5D"/>
    <w:rsid w:val="008C4B7B"/>
    <w:rsid w:val="008C5DA4"/>
    <w:rsid w:val="008F0B85"/>
    <w:rsid w:val="00936961"/>
    <w:rsid w:val="00985405"/>
    <w:rsid w:val="0099437C"/>
    <w:rsid w:val="00996FEA"/>
    <w:rsid w:val="009B12DD"/>
    <w:rsid w:val="009B4FFC"/>
    <w:rsid w:val="009C4410"/>
    <w:rsid w:val="00A20E17"/>
    <w:rsid w:val="00A30330"/>
    <w:rsid w:val="00A37271"/>
    <w:rsid w:val="00A70A08"/>
    <w:rsid w:val="00A80E72"/>
    <w:rsid w:val="00AA37CA"/>
    <w:rsid w:val="00AB08C2"/>
    <w:rsid w:val="00AC5256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45F40"/>
    <w:rsid w:val="00C671C8"/>
    <w:rsid w:val="00C76FBB"/>
    <w:rsid w:val="00C8531A"/>
    <w:rsid w:val="00C91F47"/>
    <w:rsid w:val="00CD394D"/>
    <w:rsid w:val="00CD6155"/>
    <w:rsid w:val="00D2335A"/>
    <w:rsid w:val="00D2518C"/>
    <w:rsid w:val="00D3494E"/>
    <w:rsid w:val="00D500AE"/>
    <w:rsid w:val="00D50B0D"/>
    <w:rsid w:val="00D57311"/>
    <w:rsid w:val="00D62B1A"/>
    <w:rsid w:val="00D83EDA"/>
    <w:rsid w:val="00DA40D1"/>
    <w:rsid w:val="00DD111A"/>
    <w:rsid w:val="00E01203"/>
    <w:rsid w:val="00E03D07"/>
    <w:rsid w:val="00E30E0D"/>
    <w:rsid w:val="00E36344"/>
    <w:rsid w:val="00E44DB4"/>
    <w:rsid w:val="00E52373"/>
    <w:rsid w:val="00E6638A"/>
    <w:rsid w:val="00E841A4"/>
    <w:rsid w:val="00E90CF1"/>
    <w:rsid w:val="00EC4673"/>
    <w:rsid w:val="00EF57E5"/>
    <w:rsid w:val="00F329F9"/>
    <w:rsid w:val="00F3370B"/>
    <w:rsid w:val="00F445AC"/>
    <w:rsid w:val="00F7055C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C96E9D5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4B5D-B632-4E3E-9F90-DBD94D8B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2672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Kościańska-Podciborska Ewa</cp:lastModifiedBy>
  <cp:revision>5</cp:revision>
  <cp:lastPrinted>2019-12-27T10:24:00Z</cp:lastPrinted>
  <dcterms:created xsi:type="dcterms:W3CDTF">2025-04-04T08:35:00Z</dcterms:created>
  <dcterms:modified xsi:type="dcterms:W3CDTF">2025-04-04T10:12:00Z</dcterms:modified>
</cp:coreProperties>
</file>