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3F096B" w:rsidRPr="0023742D">
        <w:rPr>
          <w:rFonts w:ascii="Tahoma" w:hAnsi="Tahoma" w:cs="Tahoma"/>
          <w:sz w:val="28"/>
          <w:szCs w:val="28"/>
        </w:rPr>
        <w:t>2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468E0F78" w:rsidR="005E0825" w:rsidRPr="0023742D" w:rsidRDefault="00EE3D69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(zwykła - EFS+) 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  <w:bookmarkStart w:id="0" w:name="_GoBack"/>
      <w:bookmarkEnd w:id="0"/>
    </w:p>
    <w:p w14:paraId="1876D70A" w14:textId="630E4921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Społecznego Plus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730A5C9E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23742D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165397">
        <w:t xml:space="preserve"> </w:t>
      </w:r>
      <w:r w:rsidR="00165397" w:rsidRPr="00165397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Pr="0023742D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3B7961">
        <w:t xml:space="preserve"> </w:t>
      </w:r>
      <w:r w:rsidR="003B7961" w:rsidRPr="003B7961">
        <w:rPr>
          <w:rFonts w:ascii="Tahoma" w:hAnsi="Tahoma" w:cs="Tahoma"/>
          <w:sz w:val="24"/>
        </w:rPr>
        <w:t>z późn. zm.</w:t>
      </w:r>
      <w:r w:rsidRPr="0023742D">
        <w:rPr>
          <w:rFonts w:ascii="Tahoma" w:hAnsi="Tahoma" w:cs="Tahoma"/>
          <w:sz w:val="24"/>
        </w:rPr>
        <w:t>)</w:t>
      </w:r>
      <w:r w:rsidR="003B7961">
        <w:rPr>
          <w:rFonts w:ascii="Tahoma" w:hAnsi="Tahoma" w:cs="Tahoma"/>
          <w:sz w:val="24"/>
        </w:rPr>
        <w:t>,</w:t>
      </w:r>
      <w:r w:rsidR="00166F4F" w:rsidRPr="0023742D">
        <w:rPr>
          <w:rFonts w:ascii="Tahoma" w:hAnsi="Tahoma" w:cs="Tahoma"/>
          <w:sz w:val="24"/>
        </w:rPr>
        <w:t xml:space="preserve"> zwanego dalej rozporządzeniem EFS+</w:t>
      </w:r>
      <w:r w:rsidRPr="0023742D">
        <w:rPr>
          <w:rFonts w:ascii="Tahoma" w:hAnsi="Tahoma" w:cs="Tahoma"/>
          <w:sz w:val="24"/>
        </w:rPr>
        <w:t>;</w:t>
      </w:r>
    </w:p>
    <w:p w14:paraId="282FE34D" w14:textId="2D0FC0F2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Rozporządzenia Komisji (UE) </w:t>
      </w:r>
      <w:r w:rsidR="00E11BB8" w:rsidRPr="00E11BB8">
        <w:rPr>
          <w:rFonts w:ascii="Tahoma" w:hAnsi="Tahoma" w:cs="Tahoma"/>
          <w:sz w:val="24"/>
        </w:rPr>
        <w:t>2023/2831 z dnia 13 grudnia 2023 r. w sprawie stosowania art. 107 i 108 Traktatu o funkcjonowaniu Unii Europejskiej do pomocy de minimis (Dz. Urz. UE L, 2023/2831 z 15.12.2023)</w:t>
      </w:r>
      <w:r w:rsidRPr="0023742D">
        <w:rPr>
          <w:rFonts w:ascii="Tahoma" w:hAnsi="Tahoma" w:cs="Tahoma"/>
          <w:sz w:val="24"/>
        </w:rPr>
        <w:t>;</w:t>
      </w:r>
    </w:p>
    <w:p w14:paraId="502FCC33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1CB0839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5274F20C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</w:t>
      </w:r>
      <w:r w:rsidR="000222B2">
        <w:rPr>
          <w:rFonts w:ascii="Tahoma" w:hAnsi="Tahoma" w:cs="Tahoma"/>
          <w:sz w:val="24"/>
        </w:rPr>
        <w:t>a</w:t>
      </w:r>
      <w:r w:rsidRPr="0023742D">
        <w:rPr>
          <w:rFonts w:ascii="Tahoma" w:hAnsi="Tahoma" w:cs="Tahoma"/>
          <w:sz w:val="24"/>
        </w:rPr>
        <w:t xml:space="preserve"> Ministra Funduszy i Polityki Regionalnej </w:t>
      </w:r>
      <w:r w:rsidR="0012669D" w:rsidRPr="0023742D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r w:rsidR="0012669D" w:rsidRPr="0023742D">
        <w:rPr>
          <w:rFonts w:ascii="Tahoma" w:hAnsi="Tahoma" w:cs="Tahoma"/>
          <w:sz w:val="24"/>
        </w:rPr>
        <w:t xml:space="preserve">minimis oraz pomocy publicznej w ramach programów finansowanych z Europejskiego Funduszu Społecznego Plus (EFS+) na lata 2021-2027 (Dz.U. </w:t>
      </w:r>
      <w:r w:rsidR="0004026F" w:rsidRPr="0023742D">
        <w:rPr>
          <w:rFonts w:ascii="Tahoma" w:hAnsi="Tahoma" w:cs="Tahoma"/>
          <w:sz w:val="24"/>
        </w:rPr>
        <w:t>202</w:t>
      </w:r>
      <w:r w:rsidR="0004026F">
        <w:rPr>
          <w:rFonts w:ascii="Tahoma" w:hAnsi="Tahoma" w:cs="Tahoma"/>
          <w:sz w:val="24"/>
        </w:rPr>
        <w:t>5</w:t>
      </w:r>
      <w:r w:rsidR="0004026F" w:rsidRPr="0023742D">
        <w:rPr>
          <w:rFonts w:ascii="Tahoma" w:hAnsi="Tahoma" w:cs="Tahoma"/>
          <w:sz w:val="24"/>
        </w:rPr>
        <w:t xml:space="preserve"> </w:t>
      </w:r>
      <w:r w:rsidR="0012669D" w:rsidRPr="0023742D">
        <w:rPr>
          <w:rFonts w:ascii="Tahoma" w:hAnsi="Tahoma" w:cs="Tahoma"/>
          <w:sz w:val="24"/>
        </w:rPr>
        <w:t xml:space="preserve">poz. </w:t>
      </w:r>
      <w:r w:rsidR="0004026F">
        <w:rPr>
          <w:rFonts w:ascii="Tahoma" w:hAnsi="Tahoma" w:cs="Tahoma"/>
          <w:sz w:val="24"/>
        </w:rPr>
        <w:t>37</w:t>
      </w:r>
      <w:r w:rsidR="002E0221">
        <w:rPr>
          <w:rFonts w:ascii="Tahoma" w:hAnsi="Tahoma" w:cs="Tahoma"/>
          <w:sz w:val="24"/>
        </w:rPr>
        <w:t>.</w:t>
      </w:r>
      <w:r w:rsidR="0012669D" w:rsidRPr="0023742D">
        <w:rPr>
          <w:rFonts w:ascii="Tahoma" w:hAnsi="Tahoma" w:cs="Tahoma"/>
          <w:sz w:val="24"/>
        </w:rPr>
        <w:t>);</w:t>
      </w:r>
    </w:p>
    <w:p w14:paraId="71804181" w14:textId="31EE3D3C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(Dz. U. z 2022 r., poz. 1079</w:t>
      </w:r>
      <w:r w:rsidR="00FA19DB">
        <w:rPr>
          <w:rFonts w:ascii="Tahoma" w:hAnsi="Tahoma" w:cs="Tahoma"/>
          <w:kern w:val="3"/>
          <w:sz w:val="24"/>
          <w:szCs w:val="24"/>
          <w:lang w:eastAsia="pl-PL"/>
        </w:rPr>
        <w:t xml:space="preserve"> z późn</w:t>
      </w:r>
      <w:r w:rsidR="00514762">
        <w:rPr>
          <w:rFonts w:ascii="Tahoma" w:hAnsi="Tahoma" w:cs="Tahoma"/>
          <w:kern w:val="3"/>
          <w:sz w:val="24"/>
          <w:szCs w:val="24"/>
          <w:lang w:eastAsia="pl-PL"/>
        </w:rPr>
        <w:t>. zm.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="00EA0ED4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5FCD4501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lastRenderedPageBreak/>
        <w:t>Ustawy z dnia 27 sierpnia 2009 r. o finansach publicznych (</w:t>
      </w:r>
      <w:proofErr w:type="spellStart"/>
      <w:r w:rsidR="002B44EC" w:rsidRPr="002B44EC">
        <w:rPr>
          <w:rFonts w:ascii="Tahoma" w:hAnsi="Tahoma" w:cs="Tahoma"/>
          <w:sz w:val="24"/>
        </w:rPr>
        <w:t>t.j</w:t>
      </w:r>
      <w:proofErr w:type="spellEnd"/>
      <w:r w:rsidR="002B44EC" w:rsidRPr="002B44EC">
        <w:rPr>
          <w:rFonts w:ascii="Tahoma" w:hAnsi="Tahoma" w:cs="Tahoma"/>
          <w:sz w:val="24"/>
        </w:rPr>
        <w:t>. Dz. U. 2024 r., poz. 1530</w:t>
      </w:r>
      <w:r w:rsidR="00AB70B8">
        <w:rPr>
          <w:rFonts w:ascii="Tahoma" w:hAnsi="Tahoma" w:cs="Tahoma"/>
          <w:sz w:val="24"/>
        </w:rPr>
        <w:t xml:space="preserve"> z późn. zm.</w:t>
      </w:r>
      <w:r w:rsidR="002B44EC" w:rsidRPr="002B44E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UFP;</w:t>
      </w:r>
    </w:p>
    <w:p w14:paraId="0DEB95A2" w14:textId="410A761B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3345DC">
        <w:rPr>
          <w:rFonts w:ascii="Tahoma" w:hAnsi="Tahoma" w:cs="Tahoma"/>
          <w:sz w:val="24"/>
        </w:rPr>
        <w:t>(</w:t>
      </w:r>
      <w:proofErr w:type="spellStart"/>
      <w:r w:rsidR="003345DC" w:rsidRPr="003345DC">
        <w:rPr>
          <w:rFonts w:ascii="Tahoma" w:hAnsi="Tahoma" w:cs="Tahoma"/>
          <w:sz w:val="24"/>
        </w:rPr>
        <w:t>t.j</w:t>
      </w:r>
      <w:proofErr w:type="spellEnd"/>
      <w:r w:rsidR="003345DC" w:rsidRPr="003345DC">
        <w:rPr>
          <w:rFonts w:ascii="Tahoma" w:hAnsi="Tahoma" w:cs="Tahoma"/>
          <w:sz w:val="24"/>
        </w:rPr>
        <w:t>. Dz. U. z 2024 r. poz. 1320</w:t>
      </w:r>
      <w:r w:rsidR="00AB70B8">
        <w:rPr>
          <w:rFonts w:ascii="Tahoma" w:hAnsi="Tahoma" w:cs="Tahoma"/>
          <w:sz w:val="24"/>
        </w:rPr>
        <w:t xml:space="preserve"> z późn. zm.</w:t>
      </w:r>
      <w:r w:rsidR="003345DC" w:rsidRPr="003345DC">
        <w:rPr>
          <w:rFonts w:ascii="Tahoma" w:hAnsi="Tahoma" w:cs="Tahoma"/>
          <w:sz w:val="24"/>
        </w:rPr>
        <w:t>)</w:t>
      </w:r>
      <w:r w:rsidR="00EA0ED4">
        <w:rPr>
          <w:rFonts w:ascii="Tahoma" w:hAnsi="Tahoma" w:cs="Tahoma"/>
          <w:sz w:val="24"/>
        </w:rPr>
        <w:t xml:space="preserve">, </w:t>
      </w:r>
      <w:r w:rsidRPr="0023742D">
        <w:rPr>
          <w:rFonts w:ascii="Tahoma" w:hAnsi="Tahoma" w:cs="Tahoma"/>
          <w:sz w:val="24"/>
        </w:rPr>
        <w:t>zwana dalej PZP;</w:t>
      </w:r>
    </w:p>
    <w:p w14:paraId="21D830AF" w14:textId="2E84300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3345DC">
        <w:rPr>
          <w:rFonts w:ascii="Tahoma" w:hAnsi="Tahoma" w:cs="Tahoma"/>
          <w:sz w:val="24"/>
        </w:rPr>
        <w:t>(</w:t>
      </w:r>
      <w:proofErr w:type="spellStart"/>
      <w:r w:rsidR="003345DC" w:rsidRPr="003345DC">
        <w:rPr>
          <w:rFonts w:ascii="Tahoma" w:hAnsi="Tahoma" w:cs="Tahoma"/>
          <w:sz w:val="24"/>
        </w:rPr>
        <w:t>t.j</w:t>
      </w:r>
      <w:proofErr w:type="spellEnd"/>
      <w:r w:rsidR="003345DC" w:rsidRPr="003345DC">
        <w:rPr>
          <w:rFonts w:ascii="Tahoma" w:hAnsi="Tahoma" w:cs="Tahoma"/>
          <w:sz w:val="24"/>
        </w:rPr>
        <w:t>. Dz. U. z 2024 r. poz. 1061 z późn. zm.);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6D5183DF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23742D">
        <w:rPr>
          <w:rFonts w:ascii="Tahoma" w:hAnsi="Tahoma" w:cs="Tahoma"/>
          <w:sz w:val="24"/>
        </w:rPr>
        <w:t>t.j</w:t>
      </w:r>
      <w:proofErr w:type="spellEnd"/>
      <w:r w:rsidRPr="0023742D">
        <w:rPr>
          <w:rFonts w:ascii="Tahoma" w:hAnsi="Tahoma" w:cs="Tahoma"/>
          <w:sz w:val="24"/>
        </w:rPr>
        <w:t>. Dz.U. z 202</w:t>
      </w:r>
      <w:r w:rsidR="00467369">
        <w:rPr>
          <w:rFonts w:ascii="Tahoma" w:hAnsi="Tahoma" w:cs="Tahoma"/>
          <w:sz w:val="24"/>
        </w:rPr>
        <w:t>4</w:t>
      </w:r>
      <w:r w:rsidRPr="0023742D">
        <w:rPr>
          <w:rFonts w:ascii="Tahoma" w:hAnsi="Tahoma" w:cs="Tahoma"/>
          <w:sz w:val="24"/>
        </w:rPr>
        <w:t xml:space="preserve"> r. poz. </w:t>
      </w:r>
      <w:r w:rsidR="00467369">
        <w:rPr>
          <w:rFonts w:ascii="Tahoma" w:hAnsi="Tahoma" w:cs="Tahoma"/>
          <w:sz w:val="24"/>
        </w:rPr>
        <w:t>361</w:t>
      </w:r>
      <w:r w:rsidR="003345DC">
        <w:rPr>
          <w:rFonts w:ascii="Tahoma" w:hAnsi="Tahoma" w:cs="Tahoma"/>
          <w:sz w:val="24"/>
        </w:rPr>
        <w:t xml:space="preserve"> z późn. zm.</w:t>
      </w:r>
      <w:r w:rsidRPr="0023742D">
        <w:rPr>
          <w:rFonts w:ascii="Tahoma" w:hAnsi="Tahoma" w:cs="Tahoma"/>
          <w:sz w:val="24"/>
        </w:rPr>
        <w:t>);</w:t>
      </w:r>
    </w:p>
    <w:p w14:paraId="76F0AE2D" w14:textId="608BB6A8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 xml:space="preserve">. Dz. U. z </w:t>
      </w:r>
      <w:r w:rsidR="006A0347" w:rsidRPr="0023742D">
        <w:rPr>
          <w:rStyle w:val="Uwydatnienie"/>
          <w:rFonts w:ascii="Tahoma" w:hAnsi="Tahoma" w:cs="Tahoma"/>
          <w:i w:val="0"/>
          <w:sz w:val="24"/>
        </w:rPr>
        <w:t>202</w:t>
      </w:r>
      <w:r w:rsidR="006A0347">
        <w:rPr>
          <w:rStyle w:val="Uwydatnienie"/>
          <w:rFonts w:ascii="Tahoma" w:hAnsi="Tahoma" w:cs="Tahoma"/>
          <w:i w:val="0"/>
          <w:sz w:val="24"/>
        </w:rPr>
        <w:t>5</w:t>
      </w:r>
      <w:r w:rsidR="006A0347" w:rsidRPr="0023742D">
        <w:rPr>
          <w:rStyle w:val="Uwydatnienie"/>
          <w:rFonts w:ascii="Tahoma" w:hAnsi="Tahoma" w:cs="Tahoma"/>
          <w:i w:val="0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r. poz. </w:t>
      </w:r>
      <w:r w:rsidR="006A0347">
        <w:rPr>
          <w:rStyle w:val="Uwydatnienie"/>
          <w:rFonts w:ascii="Tahoma" w:hAnsi="Tahoma" w:cs="Tahoma"/>
          <w:i w:val="0"/>
          <w:sz w:val="24"/>
        </w:rPr>
        <w:t>4</w:t>
      </w:r>
      <w:r w:rsidR="00C806C4">
        <w:rPr>
          <w:rStyle w:val="Uwydatnienie"/>
          <w:rFonts w:ascii="Tahoma" w:hAnsi="Tahoma" w:cs="Tahoma"/>
          <w:i w:val="0"/>
          <w:sz w:val="24"/>
        </w:rPr>
        <w:t>68</w:t>
      </w:r>
      <w:r w:rsidRPr="0023742D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677C0084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</w:t>
      </w:r>
      <w:r w:rsidR="009662CE">
        <w:rPr>
          <w:rStyle w:val="Uwydatnienie"/>
          <w:rFonts w:ascii="Tahoma" w:hAnsi="Tahoma" w:cs="Tahoma"/>
          <w:i w:val="0"/>
          <w:sz w:val="24"/>
        </w:rPr>
        <w:t>y</w:t>
      </w:r>
      <w:r w:rsidRPr="0023742D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</w:t>
      </w:r>
      <w:proofErr w:type="spellStart"/>
      <w:r w:rsidRPr="0023742D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23742D">
        <w:rPr>
          <w:rStyle w:val="Uwydatnienie"/>
          <w:rFonts w:ascii="Tahoma" w:hAnsi="Tahoma" w:cs="Tahoma"/>
          <w:i w:val="0"/>
          <w:sz w:val="24"/>
        </w:rPr>
        <w:t>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23742D">
        <w:rPr>
          <w:rFonts w:ascii="Tahoma" w:hAnsi="Tahoma" w:cs="Tahoma"/>
        </w:rPr>
        <w:t>t.j</w:t>
      </w:r>
      <w:proofErr w:type="spellEnd"/>
      <w:r w:rsidR="39BF17A1" w:rsidRPr="0023742D">
        <w:rPr>
          <w:rFonts w:ascii="Tahoma" w:hAnsi="Tahoma" w:cs="Tahoma"/>
        </w:rPr>
        <w:t>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23742D" w:rsidRDefault="0075479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003272E5" w:rsidRPr="0023742D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23742D">
        <w:rPr>
          <w:rFonts w:ascii="Tahoma" w:hAnsi="Tahoma" w:cs="Tahoma"/>
        </w:rPr>
        <w:t>,</w:t>
      </w:r>
      <w:r w:rsidR="003272E5" w:rsidRPr="0023742D">
        <w:rPr>
          <w:rFonts w:ascii="Tahoma" w:hAnsi="Tahoma" w:cs="Tahoma"/>
        </w:rPr>
        <w:t xml:space="preserve"> o którym mowa w art. 2 pkt </w:t>
      </w:r>
      <w:r w:rsidR="00814B0A" w:rsidRPr="0023742D">
        <w:rPr>
          <w:rFonts w:ascii="Tahoma" w:hAnsi="Tahoma" w:cs="Tahoma"/>
        </w:rPr>
        <w:t xml:space="preserve">37 </w:t>
      </w:r>
      <w:r w:rsidR="00166F4F" w:rsidRPr="0023742D">
        <w:rPr>
          <w:rFonts w:ascii="Tahoma" w:hAnsi="Tahoma" w:cs="Tahoma"/>
        </w:rPr>
        <w:t>u</w:t>
      </w:r>
      <w:r w:rsidR="003272E5" w:rsidRPr="0023742D">
        <w:rPr>
          <w:rFonts w:ascii="Tahoma" w:hAnsi="Tahoma" w:cs="Tahoma"/>
        </w:rPr>
        <w:t>stawy wdrożeniowej</w:t>
      </w:r>
      <w:r w:rsidR="003272E5" w:rsidRPr="0023742D">
        <w:rPr>
          <w:rFonts w:ascii="Tahoma" w:hAnsi="Tahoma" w:cs="Tahoma"/>
          <w:kern w:val="0"/>
        </w:rPr>
        <w:t>;</w:t>
      </w:r>
    </w:p>
    <w:p w14:paraId="462F63E7" w14:textId="0D650BCE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„ePUAP” </w:t>
      </w:r>
      <w:r w:rsidR="00E46B1E" w:rsidRPr="00E46B1E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</w:t>
      </w:r>
      <w:proofErr w:type="spellStart"/>
      <w:r w:rsidR="00E46B1E" w:rsidRPr="00E46B1E">
        <w:rPr>
          <w:rFonts w:ascii="Tahoma" w:hAnsi="Tahoma" w:cs="Tahoma"/>
        </w:rPr>
        <w:t>t.j</w:t>
      </w:r>
      <w:proofErr w:type="spellEnd"/>
      <w:r w:rsidR="00E46B1E" w:rsidRPr="00E46B1E">
        <w:rPr>
          <w:rFonts w:ascii="Tahoma" w:hAnsi="Tahoma" w:cs="Tahoma"/>
        </w:rPr>
        <w:t>. Dz. U. z 2024 poz. 1045). Wszelkie odniesienia do „ePUAP”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23742D">
        <w:rPr>
          <w:rFonts w:ascii="Tahoma" w:hAnsi="Tahoma" w:cs="Tahoma"/>
        </w:rPr>
        <w:t>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23742D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>„</w:t>
      </w:r>
      <w:r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Pr="0023742D">
        <w:rPr>
          <w:rFonts w:ascii="Tahoma" w:hAnsi="Tahoma" w:cs="Tahoma"/>
        </w:rPr>
        <w:t xml:space="preserve"> projekt na warunkach określonych w porozumieniu albo umowie </w:t>
      </w:r>
      <w:r w:rsidRPr="0023742D">
        <w:rPr>
          <w:rFonts w:ascii="Tahoma" w:hAnsi="Tahoma" w:cs="Tahoma"/>
        </w:rPr>
        <w:lastRenderedPageBreak/>
        <w:t>o partnerstwie</w:t>
      </w:r>
      <w:r w:rsidR="009547D5" w:rsidRPr="0023742D">
        <w:rPr>
          <w:rStyle w:val="Odwoanieprzypisudolnego"/>
          <w:rFonts w:ascii="Tahoma" w:hAnsi="Tahoma" w:cs="Tahoma"/>
        </w:rPr>
        <w:footnoteReference w:id="5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4DF783F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23742D">
        <w:rPr>
          <w:rFonts w:ascii="Tahoma" w:hAnsi="Tahoma" w:cs="Tahoma"/>
        </w:rPr>
        <w:t xml:space="preserve"> P</w:t>
      </w:r>
      <w:r w:rsidR="06DAF296" w:rsidRPr="0023742D">
        <w:rPr>
          <w:rFonts w:ascii="Tahoma" w:hAnsi="Tahoma" w:cs="Tahoma"/>
        </w:rPr>
        <w:t>lus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465C9223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proofErr w:type="spellStart"/>
      <w:r w:rsidR="003345DC" w:rsidRPr="003345DC">
        <w:rPr>
          <w:rFonts w:ascii="Tahoma" w:hAnsi="Tahoma" w:cs="Tahoma"/>
        </w:rPr>
        <w:t>t.j</w:t>
      </w:r>
      <w:proofErr w:type="spellEnd"/>
      <w:r w:rsidR="003345DC" w:rsidRPr="003345DC">
        <w:rPr>
          <w:rFonts w:ascii="Tahoma" w:hAnsi="Tahoma" w:cs="Tahoma"/>
        </w:rPr>
        <w:t>.</w:t>
      </w:r>
      <w:r w:rsidR="00EA0ED4">
        <w:rPr>
          <w:rFonts w:ascii="Tahoma" w:hAnsi="Tahoma" w:cs="Tahoma"/>
        </w:rPr>
        <w:t xml:space="preserve"> </w:t>
      </w:r>
      <w:r w:rsidR="003345DC" w:rsidRPr="003345DC">
        <w:rPr>
          <w:rFonts w:ascii="Tahoma" w:hAnsi="Tahoma" w:cs="Tahoma"/>
        </w:rPr>
        <w:t>Dz.U. z 2024 r., poz. 422 z późn. zm.</w:t>
      </w:r>
      <w:r w:rsidRPr="0023742D">
        <w:rPr>
          <w:rFonts w:ascii="Tahoma" w:hAnsi="Tahoma" w:cs="Tahoma"/>
        </w:rPr>
        <w:t>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2" w:name="_Ref477239917"/>
    </w:p>
    <w:p w14:paraId="4427A46C" w14:textId="12FE312F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2"/>
      <w:r w:rsidR="00067344" w:rsidRPr="0023742D">
        <w:rPr>
          <w:rFonts w:ascii="Tahoma" w:hAnsi="Tahoma" w:cs="Tahoma"/>
        </w:rPr>
        <w:t>współfinansowany z EFS+,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29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70855B13" w14:textId="111354DA" w:rsidR="00C76DD6" w:rsidRPr="0023742D" w:rsidRDefault="00C76DD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„SM EFS” oznacza System Monitorowania EFS - narzędzie informatyczne, wchodzące w skład architektury Systemu CST2021, przeznaczone do obsługi </w:t>
      </w:r>
      <w:r w:rsidRPr="0023742D">
        <w:rPr>
          <w:rFonts w:ascii="Tahoma" w:hAnsi="Tahoma" w:cs="Tahoma"/>
        </w:rPr>
        <w:lastRenderedPageBreak/>
        <w:t>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3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Pr="0023742D">
        <w:rPr>
          <w:rFonts w:ascii="Tahoma" w:hAnsi="Tahoma" w:cs="Tahoma"/>
        </w:rPr>
        <w:t>;</w:t>
      </w:r>
      <w:bookmarkEnd w:id="3"/>
    </w:p>
    <w:p w14:paraId="2C587DC8" w14:textId="08C6A96E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35B9A9A6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>
        <w:rPr>
          <w:rFonts w:ascii="Tahoma" w:hAnsi="Tahoma" w:cs="Tahoma"/>
        </w:rPr>
        <w:t>dotyczących</w:t>
      </w:r>
      <w:r w:rsidR="69CB81E7" w:rsidRPr="0023742D">
        <w:rPr>
          <w:rFonts w:ascii="Tahoma" w:hAnsi="Tahoma" w:cs="Tahoma"/>
        </w:rPr>
        <w:t xml:space="preserve">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4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4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5" w:name="_Hlk129852024"/>
    </w:p>
    <w:bookmarkEnd w:id="5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 xml:space="preserve">sposobu korygowania </w:t>
      </w:r>
      <w:r w:rsidR="00DC4BB7">
        <w:rPr>
          <w:rFonts w:ascii="Tahoma" w:hAnsi="Tahoma" w:cs="Tahoma"/>
          <w:bCs/>
        </w:rPr>
        <w:t>nieprawidłowości</w:t>
      </w:r>
      <w:r w:rsidR="00F91BF4" w:rsidRPr="0023742D">
        <w:rPr>
          <w:rFonts w:ascii="Tahoma" w:hAnsi="Tahoma" w:cs="Tahoma"/>
          <w:bCs/>
        </w:rPr>
        <w:t xml:space="preserve"> na lata 2021-2027</w:t>
      </w:r>
      <w:r w:rsidRPr="0023742D">
        <w:rPr>
          <w:rFonts w:ascii="Tahoma" w:hAnsi="Tahoma" w:cs="Tahoma"/>
        </w:rPr>
        <w:t>;</w:t>
      </w:r>
    </w:p>
    <w:p w14:paraId="2D2078C5" w14:textId="140C22B8" w:rsidR="00132DCD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k</w:t>
      </w:r>
      <w:r w:rsidR="00132DCD" w:rsidRPr="0023742D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0BFB1033" w14:textId="53351346" w:rsidR="008453A1" w:rsidRPr="0023742D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6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rojektu, w tym:</w:t>
      </w:r>
      <w:bookmarkEnd w:id="6"/>
    </w:p>
    <w:p w14:paraId="66546034" w14:textId="77777777" w:rsidR="003272E5" w:rsidRPr="0023742D" w:rsidRDefault="003272E5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jc w:val="left"/>
        <w:rPr>
          <w:rFonts w:ascii="Tahoma" w:hAnsi="Tahoma" w:cs="Tahoma"/>
        </w:rPr>
      </w:pPr>
      <w:bookmarkStart w:id="7" w:name="_Ref477167708"/>
      <w:r w:rsidRPr="0023742D">
        <w:rPr>
          <w:rFonts w:ascii="Tahoma" w:hAnsi="Tahoma" w:cs="Tahoma"/>
        </w:rPr>
        <w:t xml:space="preserve">płatność ze środków europejskich w kwocie </w:t>
      </w:r>
      <w:r w:rsidRPr="0023742D">
        <w:rPr>
          <w:rFonts w:ascii="Tahoma" w:hAnsi="Tahoma" w:cs="Tahoma"/>
          <w:b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rojektu;</w:t>
      </w:r>
      <w:bookmarkStart w:id="8" w:name="_Ref477167446"/>
      <w:bookmarkEnd w:id="7"/>
    </w:p>
    <w:p w14:paraId="4DFBA852" w14:textId="48E08C2D" w:rsidR="003272E5" w:rsidRPr="0023742D" w:rsidRDefault="79F7B624" w:rsidP="0023742D">
      <w:pPr>
        <w:pStyle w:val="Textbody"/>
        <w:numPr>
          <w:ilvl w:val="0"/>
          <w:numId w:val="8"/>
        </w:numPr>
        <w:tabs>
          <w:tab w:val="clear" w:pos="900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dotację celową z budżetu krajowego w kwocie </w:t>
      </w:r>
      <w:r w:rsidRPr="0023742D">
        <w:rPr>
          <w:rFonts w:ascii="Tahoma" w:hAnsi="Tahoma" w:cs="Tahoma"/>
          <w:b/>
          <w:bCs/>
        </w:rPr>
        <w:t>……..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  <w:bCs/>
        </w:rPr>
        <w:t>…….%</w:t>
      </w:r>
      <w:r w:rsidRPr="0023742D">
        <w:rPr>
          <w:rFonts w:ascii="Tahoma" w:hAnsi="Tahoma" w:cs="Tahoma"/>
        </w:rPr>
        <w:t xml:space="preserve"> całkowitych wydatków kwalifikowalnych </w:t>
      </w:r>
      <w:r w:rsidR="6D21AEF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rojektu.</w:t>
      </w:r>
      <w:bookmarkEnd w:id="8"/>
      <w:r w:rsidR="009547D5" w:rsidRPr="0023742D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23742D" w:rsidRDefault="00D144CD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23742D">
        <w:rPr>
          <w:rFonts w:ascii="Tahoma" w:hAnsi="Tahoma" w:cs="Tahoma"/>
        </w:rPr>
        <w:t xml:space="preserve"> wskazanym w ust</w:t>
      </w:r>
      <w:r w:rsidR="009534D8" w:rsidRPr="0023742D">
        <w:rPr>
          <w:rFonts w:ascii="Tahoma" w:hAnsi="Tahoma" w:cs="Tahoma"/>
        </w:rPr>
        <w:t>.</w:t>
      </w:r>
      <w:r w:rsidR="00471B16" w:rsidRPr="0023742D">
        <w:rPr>
          <w:rFonts w:ascii="Tahoma" w:hAnsi="Tahoma" w:cs="Tahoma"/>
        </w:rPr>
        <w:t xml:space="preserve"> 1</w:t>
      </w:r>
      <w:r w:rsidRPr="0023742D">
        <w:rPr>
          <w:rFonts w:ascii="Tahoma" w:hAnsi="Tahoma" w:cs="Tahoma"/>
        </w:rPr>
        <w:t>.</w:t>
      </w:r>
      <w:r w:rsidR="00472E2F" w:rsidRPr="0023742D">
        <w:rPr>
          <w:rFonts w:ascii="Tahoma" w:hAnsi="Tahoma" w:cs="Tahoma"/>
        </w:rPr>
        <w:t xml:space="preserve"> </w:t>
      </w:r>
    </w:p>
    <w:p w14:paraId="0C794CC4" w14:textId="77777777" w:rsidR="00F74821" w:rsidRPr="0023742D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23742D" w:rsidRDefault="39BF17A1" w:rsidP="0023742D">
      <w:pPr>
        <w:pStyle w:val="Textbody"/>
        <w:tabs>
          <w:tab w:val="left" w:pos="1326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niewniesienia wkładu własnego w ww. kwocie,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kwotę przyznanego dofinansowania, o której mowa w </w:t>
      </w:r>
      <w:r w:rsidR="7A593F28" w:rsidRPr="0023742D">
        <w:rPr>
          <w:rFonts w:ascii="Tahoma" w:hAnsi="Tahoma" w:cs="Tahoma"/>
        </w:rPr>
        <w:t>ust. 1</w:t>
      </w:r>
      <w:r w:rsidRPr="0023742D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23742D">
        <w:rPr>
          <w:rFonts w:ascii="Tahoma" w:hAnsi="Tahoma" w:cs="Tahoma"/>
        </w:rPr>
        <w:t>ust.1</w:t>
      </w:r>
      <w:r w:rsidR="7BA98B2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="009547D5" w:rsidRPr="0023742D">
        <w:rPr>
          <w:rStyle w:val="Odwoanieprzypisudolnego"/>
          <w:rFonts w:ascii="Tahoma" w:hAnsi="Tahoma" w:cs="Tahoma"/>
        </w:rPr>
        <w:footnoteReference w:id="9"/>
      </w:r>
      <w:r w:rsidRPr="0023742D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</w:t>
      </w:r>
      <w:r w:rsidR="00F74821" w:rsidRPr="0023742D">
        <w:rPr>
          <w:rFonts w:ascii="Tahoma" w:hAnsi="Tahoma" w:cs="Tahoma"/>
        </w:rPr>
        <w:br/>
      </w:r>
      <w:r w:rsidRPr="0023742D">
        <w:rPr>
          <w:rFonts w:ascii="Tahoma" w:hAnsi="Tahoma" w:cs="Tahoma"/>
        </w:rPr>
        <w:t xml:space="preserve">w </w:t>
      </w:r>
      <w:r w:rsidR="7D64D72D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ust. </w:t>
      </w:r>
      <w:r w:rsidR="00094542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. </w:t>
      </w:r>
    </w:p>
    <w:p w14:paraId="466284A3" w14:textId="77777777" w:rsidR="00A71A4F" w:rsidRPr="0023742D" w:rsidRDefault="00A71A4F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Całkowita wartość projektu wynosi </w:t>
      </w:r>
      <w:r w:rsidRPr="0023742D">
        <w:rPr>
          <w:rFonts w:ascii="Tahoma" w:hAnsi="Tahoma" w:cs="Tahoma"/>
          <w:b/>
          <w:bCs/>
        </w:rPr>
        <w:t>………………………PLN (słownie:…….)</w:t>
      </w:r>
      <w:r w:rsidRPr="0023742D">
        <w:rPr>
          <w:rFonts w:ascii="Tahoma" w:hAnsi="Tahoma" w:cs="Tahoma"/>
        </w:rPr>
        <w:t xml:space="preserve">. </w:t>
      </w:r>
    </w:p>
    <w:p w14:paraId="4C874EAF" w14:textId="371B9BB9" w:rsidR="00F74821" w:rsidRPr="0023742D" w:rsidRDefault="6C05BD42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</w:t>
      </w:r>
      <w:r w:rsidR="00D2F390" w:rsidRPr="0023742D">
        <w:rPr>
          <w:rFonts w:ascii="Tahoma" w:hAnsi="Tahoma" w:cs="Tahoma"/>
        </w:rPr>
        <w:t xml:space="preserve">1 </w:t>
      </w:r>
      <w:r w:rsidR="373233FC" w:rsidRPr="0023742D">
        <w:rPr>
          <w:rFonts w:ascii="Tahoma" w:hAnsi="Tahoma" w:cs="Tahoma"/>
        </w:rPr>
        <w:t xml:space="preserve">oraz ust. 3 </w:t>
      </w:r>
      <w:r w:rsidR="00D2F390" w:rsidRPr="0023742D">
        <w:rPr>
          <w:rFonts w:ascii="Tahoma" w:hAnsi="Tahoma" w:cs="Tahoma"/>
        </w:rPr>
        <w:t>niniejszego paragrafu</w:t>
      </w:r>
      <w:r w:rsidRPr="0023742D">
        <w:rPr>
          <w:rFonts w:ascii="Tahoma" w:hAnsi="Tahoma" w:cs="Tahoma"/>
        </w:rPr>
        <w:t xml:space="preserve">. </w:t>
      </w:r>
      <w:r w:rsidR="48483120" w:rsidRPr="0023742D">
        <w:rPr>
          <w:rFonts w:ascii="Tahoma" w:hAnsi="Tahoma" w:cs="Tahoma"/>
        </w:rPr>
        <w:t>Montaż finansowy, o którym mowa w zdaniu pierwszym</w:t>
      </w:r>
      <w:r w:rsidR="5892A59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odnosi się do poniesionych w ramach </w:t>
      </w:r>
      <w:r w:rsidR="48ADB785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 wydatków kwalifikowalnych.</w:t>
      </w:r>
      <w:r w:rsidR="74FA75BE" w:rsidRPr="0023742D">
        <w:rPr>
          <w:rFonts w:ascii="Tahoma" w:hAnsi="Tahoma" w:cs="Tahoma"/>
        </w:rPr>
        <w:t xml:space="preserve"> </w:t>
      </w:r>
    </w:p>
    <w:p w14:paraId="7DE277DF" w14:textId="2F8647B9" w:rsidR="00A71A4F" w:rsidRPr="0023742D" w:rsidRDefault="69AD65AB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Koszty pośrednie projektu rozliczane stawką ryczałtową, zdefiniowane w Wytycznych, o których mowa w § 1 pkt 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23742D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23742D" w:rsidRDefault="001210E8" w:rsidP="0023742D">
      <w:pPr>
        <w:numPr>
          <w:ilvl w:val="0"/>
          <w:numId w:val="7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23742D" w:rsidRDefault="00A71A4F" w:rsidP="0023742D">
      <w:pPr>
        <w:numPr>
          <w:ilvl w:val="0"/>
          <w:numId w:val="7"/>
        </w:numPr>
        <w:spacing w:after="60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w ramach projektu nie mogą obejmować koszt</w:t>
      </w:r>
      <w:r w:rsidR="00116FF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przeliczonej zgodnie z kursem, określonym </w:t>
      </w:r>
      <w:r w:rsidR="63E11C8A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</w:t>
      </w:r>
    </w:p>
    <w:p w14:paraId="44188F2D" w14:textId="34954B48" w:rsidR="008C44F3" w:rsidRPr="0023742D" w:rsidRDefault="008C44F3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23742D">
        <w:rPr>
          <w:rFonts w:ascii="Tahoma" w:hAnsi="Tahoma" w:cs="Tahoma"/>
        </w:rPr>
        <w:t>EUR</w:t>
      </w:r>
      <w:r w:rsidRPr="0023742D">
        <w:rPr>
          <w:rFonts w:ascii="Tahoma" w:hAnsi="Tahoma" w:cs="Tahoma"/>
        </w:rPr>
        <w:t xml:space="preserve">, przeliczoną zgodnie z kursem, określonym </w:t>
      </w:r>
      <w:r w:rsidR="001E1C94" w:rsidRPr="0023742D">
        <w:rPr>
          <w:rFonts w:ascii="Tahoma" w:hAnsi="Tahoma" w:cs="Tahoma"/>
        </w:rPr>
        <w:t xml:space="preserve">w </w:t>
      </w:r>
      <w:r w:rsidRPr="0023742D">
        <w:rPr>
          <w:rFonts w:ascii="Tahoma" w:hAnsi="Tahoma" w:cs="Tahoma"/>
        </w:rPr>
        <w:t xml:space="preserve">Wytycznych, o których mowa w § 1 pkt </w:t>
      </w:r>
      <w:r w:rsidR="00C76DD6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a, jeżeli </w:t>
      </w:r>
      <w:r w:rsidR="00D00695" w:rsidRPr="0023742D">
        <w:rPr>
          <w:rFonts w:ascii="Tahoma" w:hAnsi="Tahoma" w:cs="Tahoma"/>
        </w:rPr>
        <w:t xml:space="preserve">podatek ten </w:t>
      </w:r>
      <w:r w:rsidRPr="0023742D">
        <w:rPr>
          <w:rFonts w:ascii="Tahoma" w:hAnsi="Tahoma" w:cs="Tahoma"/>
        </w:rPr>
        <w:t xml:space="preserve">nie podlega zwrotowi zgodnie z przedłożonym przez </w:t>
      </w:r>
      <w:r w:rsidR="00607E8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/ </w:t>
      </w:r>
      <w:r w:rsidR="00607E8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607E82" w:rsidRPr="0023742D">
        <w:rPr>
          <w:rFonts w:ascii="Tahoma" w:hAnsi="Tahoma" w:cs="Tahoma"/>
        </w:rPr>
        <w:t xml:space="preserve">a / </w:t>
      </w:r>
      <w:r w:rsidRPr="0023742D">
        <w:rPr>
          <w:rFonts w:ascii="Tahoma" w:hAnsi="Tahoma" w:cs="Tahoma"/>
        </w:rPr>
        <w:t xml:space="preserve">ów oświadczeniem, </w:t>
      </w:r>
      <w:r w:rsidR="00D00695" w:rsidRPr="0023742D">
        <w:rPr>
          <w:rFonts w:ascii="Tahoma" w:hAnsi="Tahoma" w:cs="Tahoma"/>
        </w:rPr>
        <w:t>wskazanym w § 4 niniejszej umowy</w:t>
      </w:r>
      <w:r w:rsidR="00C03210">
        <w:rPr>
          <w:rFonts w:ascii="Tahoma" w:hAnsi="Tahoma" w:cs="Tahoma"/>
        </w:rPr>
        <w:t>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77777777" w:rsidR="0039415D" w:rsidRPr="0023742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C03210">
        <w:rPr>
          <w:rStyle w:val="Odwoanieprzypisudolnego"/>
          <w:rFonts w:ascii="Tahoma" w:hAnsi="Tahoma" w:cs="Tahoma"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23742D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osiągnięcia </w:t>
      </w:r>
      <w:r w:rsidR="00156A36" w:rsidRPr="0023742D">
        <w:rPr>
          <w:rFonts w:ascii="Tahoma" w:hAnsi="Tahoma" w:cs="Tahoma"/>
        </w:rPr>
        <w:t xml:space="preserve">i zachowania </w:t>
      </w:r>
      <w:r w:rsidRPr="0023742D">
        <w:rPr>
          <w:rFonts w:ascii="Tahoma" w:hAnsi="Tahoma" w:cs="Tahoma"/>
        </w:rPr>
        <w:t xml:space="preserve">wskaźników produktu </w:t>
      </w:r>
      <w:r w:rsidR="332ED288" w:rsidRPr="0023742D">
        <w:rPr>
          <w:rFonts w:ascii="Tahoma" w:hAnsi="Tahoma" w:cs="Tahoma"/>
        </w:rPr>
        <w:t>oraz rezultatu określonych we wniosku</w:t>
      </w:r>
      <w:r w:rsidR="00564BE9" w:rsidRPr="0023742D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2CAFDA02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5D0795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określonym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23742D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42057E" w:rsidRDefault="5D0FAE40" w:rsidP="0042057E">
      <w:pPr>
        <w:pStyle w:val="Akapitzlist"/>
        <w:numPr>
          <w:ilvl w:val="0"/>
          <w:numId w:val="11"/>
        </w:numPr>
        <w:rPr>
          <w:rFonts w:ascii="Tahoma" w:hAnsi="Tahoma" w:cs="Tahoma"/>
        </w:rPr>
      </w:pPr>
      <w:r w:rsidRPr="0042057E">
        <w:rPr>
          <w:rFonts w:ascii="Tahoma" w:hAnsi="Tahoma" w:cs="Tahoma"/>
        </w:rPr>
        <w:t xml:space="preserve">Beneficjent </w:t>
      </w:r>
      <w:r w:rsidR="0042057E" w:rsidRPr="0042057E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23742D">
        <w:rPr>
          <w:rFonts w:ascii="Tahoma" w:hAnsi="Tahoma" w:cs="Tahoma"/>
        </w:rPr>
        <w:t>newslettera</w:t>
      </w:r>
      <w:proofErr w:type="spellEnd"/>
      <w:r w:rsidRPr="0023742D">
        <w:rPr>
          <w:rFonts w:ascii="Tahoma" w:hAnsi="Tahoma" w:cs="Tahoma"/>
        </w:rPr>
        <w:t xml:space="preserve"> IZ FESL, dostępnego na stronie internetowej </w:t>
      </w:r>
      <w:hyperlink r:id="rId15" w:history="1">
        <w:r w:rsidRPr="0023742D">
          <w:rPr>
            <w:rStyle w:val="Hipercze"/>
            <w:rFonts w:ascii="Tahoma" w:hAnsi="Tahoma" w:cs="Tahoma"/>
          </w:rPr>
          <w:t>https://funduszeue.slaskie.pl/</w:t>
        </w:r>
      </w:hyperlink>
      <w:r w:rsidRPr="0023742D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9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9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23742D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23742D" w:rsidRDefault="1EB6E41A" w:rsidP="0023742D">
      <w:pPr>
        <w:numPr>
          <w:ilvl w:val="0"/>
          <w:numId w:val="11"/>
        </w:numPr>
        <w:spacing w:after="0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73EF4CDA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>a także partner/</w:t>
      </w:r>
      <w:proofErr w:type="spellStart"/>
      <w:r w:rsidR="39BF17A1" w:rsidRPr="0023742D">
        <w:rPr>
          <w:rFonts w:ascii="Tahoma" w:hAnsi="Tahoma" w:cs="Tahoma"/>
        </w:rPr>
        <w:t>rzy</w:t>
      </w:r>
      <w:proofErr w:type="spellEnd"/>
      <w:r w:rsidR="39BF17A1" w:rsidRPr="0023742D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 xml:space="preserve">VAT, jeżeli zaistnieją przesłanki </w:t>
      </w:r>
      <w:r w:rsidR="39BF17A1" w:rsidRPr="0023742D">
        <w:rPr>
          <w:rFonts w:ascii="Tahoma" w:hAnsi="Tahoma" w:cs="Tahoma"/>
        </w:rPr>
        <w:lastRenderedPageBreak/>
        <w:t>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>, a także partner/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</w:t>
      </w:r>
      <w:proofErr w:type="spellStart"/>
      <w:r w:rsidRPr="0023742D">
        <w:rPr>
          <w:rFonts w:ascii="Tahoma" w:hAnsi="Tahoma" w:cs="Tahoma"/>
          <w:iCs/>
        </w:rPr>
        <w:t>rzy</w:t>
      </w:r>
      <w:proofErr w:type="spellEnd"/>
      <w:r w:rsidRPr="0023742D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00E0D4FD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proofErr w:type="spellStart"/>
      <w:r w:rsidRPr="0023742D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</w:t>
      </w:r>
      <w:proofErr w:type="spellStart"/>
      <w:r w:rsidR="007B363C">
        <w:rPr>
          <w:rFonts w:ascii="Tahoma" w:hAnsi="Tahoma" w:cs="Tahoma"/>
        </w:rPr>
        <w:t>t.j</w:t>
      </w:r>
      <w:proofErr w:type="spellEnd"/>
      <w:r w:rsidR="007B363C">
        <w:rPr>
          <w:rFonts w:ascii="Tahoma" w:hAnsi="Tahoma" w:cs="Tahoma"/>
        </w:rPr>
        <w:t xml:space="preserve">: </w:t>
      </w:r>
      <w:r w:rsidRPr="0023742D">
        <w:rPr>
          <w:rFonts w:ascii="Tahoma" w:hAnsi="Tahoma" w:cs="Tahoma"/>
        </w:rPr>
        <w:t>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</w:t>
      </w:r>
      <w:proofErr w:type="spellStart"/>
      <w:r w:rsidRPr="0023742D">
        <w:rPr>
          <w:rFonts w:ascii="Tahoma" w:hAnsi="Tahoma" w:cs="Tahoma"/>
        </w:rPr>
        <w:t>t</w:t>
      </w:r>
      <w:r w:rsidR="00E2175A">
        <w:rPr>
          <w:rFonts w:ascii="Tahoma" w:hAnsi="Tahoma" w:cs="Tahoma"/>
        </w:rPr>
        <w:t>.j</w:t>
      </w:r>
      <w:proofErr w:type="spellEnd"/>
      <w:r w:rsidRPr="0023742D">
        <w:rPr>
          <w:rFonts w:ascii="Tahoma" w:hAnsi="Tahoma" w:cs="Tahoma"/>
        </w:rPr>
        <w:t>: Dz.U. 20</w:t>
      </w:r>
      <w:r w:rsidR="00664877" w:rsidRPr="0023742D">
        <w:rPr>
          <w:rFonts w:ascii="Tahoma" w:hAnsi="Tahoma" w:cs="Tahoma"/>
        </w:rPr>
        <w:t>2</w:t>
      </w:r>
      <w:r w:rsidR="00DC4BB7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r. poz. </w:t>
      </w:r>
      <w:r w:rsidR="00DC4BB7">
        <w:rPr>
          <w:rFonts w:ascii="Tahoma" w:hAnsi="Tahoma" w:cs="Tahoma"/>
        </w:rPr>
        <w:t>659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DB7C9C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</w:t>
      </w:r>
      <w:r w:rsidR="00020915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DC4BB7">
        <w:rPr>
          <w:rFonts w:ascii="Tahoma" w:hAnsi="Tahoma" w:cs="Tahoma"/>
          <w:kern w:val="3"/>
          <w:sz w:val="24"/>
          <w:szCs w:val="24"/>
          <w:lang w:eastAsia="pl-PL"/>
        </w:rPr>
        <w:t>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 poz.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507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20DED8D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jest świadomy odpowiedzialności karnej za złożenie fałszywych oświadczeń, wynikającej z art. 233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 Dz.U. z 202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r., </w:t>
      </w:r>
      <w:r w:rsidR="00467369">
        <w:rPr>
          <w:rFonts w:ascii="Tahoma" w:hAnsi="Tahoma" w:cs="Tahoma"/>
          <w:kern w:val="3"/>
          <w:sz w:val="24"/>
          <w:szCs w:val="24"/>
          <w:lang w:eastAsia="pl-PL"/>
        </w:rPr>
        <w:t>poz. 17).</w:t>
      </w:r>
    </w:p>
    <w:p w14:paraId="59B04ACC" w14:textId="77777777" w:rsidR="00746042" w:rsidRPr="00746042" w:rsidRDefault="00746042" w:rsidP="00746042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746042" w:rsidRDefault="00746042" w:rsidP="00746042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746042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7A84A148" w14:textId="77777777" w:rsidR="002C1779" w:rsidRPr="0023742D" w:rsidRDefault="002C1779" w:rsidP="00746042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02B922E2" w14:textId="77777777" w:rsidR="005B309F" w:rsidRPr="0023742D" w:rsidRDefault="005B309F" w:rsidP="0023742D">
      <w:pPr>
        <w:pStyle w:val="Akapitzlist"/>
        <w:spacing w:line="276" w:lineRule="auto"/>
        <w:rPr>
          <w:rFonts w:ascii="Tahoma" w:hAnsi="Tahoma" w:cs="Tahoma"/>
        </w:rPr>
      </w:pPr>
    </w:p>
    <w:p w14:paraId="137BF313" w14:textId="3E9DAF60" w:rsidR="009F2A17" w:rsidRPr="0023742D" w:rsidRDefault="00B8372B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Stawki jednostkowe</w:t>
      </w:r>
      <w:r w:rsidR="00460634" w:rsidRPr="0023742D">
        <w:rPr>
          <w:rStyle w:val="Odwoanieprzypisudolnego"/>
          <w:rFonts w:ascii="Tahoma" w:hAnsi="Tahoma" w:cs="Tahoma"/>
          <w:b/>
        </w:rPr>
        <w:footnoteReference w:id="15"/>
      </w:r>
    </w:p>
    <w:p w14:paraId="6BDF4CFF" w14:textId="7099CDF7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</w:p>
    <w:p w14:paraId="577F7C55" w14:textId="26264C8A" w:rsidR="004A5E78" w:rsidRPr="0023742D" w:rsidRDefault="004A5E78" w:rsidP="0023742D">
      <w:pPr>
        <w:pStyle w:val="Akapitzlist"/>
        <w:tabs>
          <w:tab w:val="left" w:pos="1988"/>
        </w:tabs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§5.</w:t>
      </w:r>
    </w:p>
    <w:p w14:paraId="0D5E246F" w14:textId="65830265" w:rsidR="00156A36" w:rsidRPr="0023742D" w:rsidRDefault="00737486" w:rsidP="00737486">
      <w:pPr>
        <w:pStyle w:val="Standard"/>
        <w:spacing w:before="240" w:after="60" w:line="276" w:lineRule="auto"/>
        <w:ind w:left="714" w:hanging="357"/>
        <w:rPr>
          <w:rFonts w:ascii="Tahoma" w:hAnsi="Tahoma" w:cs="Tahoma"/>
        </w:rPr>
      </w:pPr>
      <w:bookmarkStart w:id="10" w:name="_Ref477164060"/>
      <w:r>
        <w:rPr>
          <w:rFonts w:ascii="Tahoma" w:hAnsi="Tahoma" w:cs="Tahoma"/>
        </w:rPr>
        <w:t xml:space="preserve">1. </w:t>
      </w:r>
      <w:r w:rsidR="00BC761D" w:rsidRPr="0023742D">
        <w:rPr>
          <w:rFonts w:ascii="Tahoma" w:hAnsi="Tahoma" w:cs="Tahoma"/>
        </w:rPr>
        <w:t>B</w:t>
      </w:r>
      <w:bookmarkStart w:id="11" w:name="_Ref477165375"/>
      <w:bookmarkEnd w:id="10"/>
      <w:r w:rsidR="00156A36" w:rsidRPr="0023742D">
        <w:rPr>
          <w:rFonts w:ascii="Tahoma" w:hAnsi="Tahoma" w:cs="Tahoma"/>
        </w:rPr>
        <w:t xml:space="preserve">eneficjent rozlicza usługi objęte stawkami jednostkowymi, zgodnie z </w:t>
      </w:r>
      <w:r w:rsidR="00156A36" w:rsidRPr="0023742D">
        <w:rPr>
          <w:rFonts w:ascii="Tahoma" w:hAnsi="Tahoma" w:cs="Tahoma"/>
          <w:kern w:val="0"/>
        </w:rPr>
        <w:t>Wytycznymi,</w:t>
      </w:r>
      <w:r w:rsidR="00156A36" w:rsidRPr="0023742D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2" w:name="_Ref477165364"/>
      <w:r w:rsidR="00156A36" w:rsidRPr="0023742D">
        <w:rPr>
          <w:rFonts w:ascii="Tahoma" w:hAnsi="Tahoma" w:cs="Tahoma"/>
        </w:rPr>
        <w:t xml:space="preserve">beneficjent zobowiązuje się do przedstawienia wymienionych poniżej dokumentów potwierdzających wykonanie określonej stawki jednostkowej. Rozliczenie stawki jednostkowej następuje według określonej kwoty stawki jednostkowej i liczby </w:t>
      </w:r>
      <w:r w:rsidR="00156A36" w:rsidRPr="0023742D">
        <w:rPr>
          <w:rFonts w:ascii="Tahoma" w:hAnsi="Tahoma" w:cs="Tahoma"/>
        </w:rPr>
        <w:lastRenderedPageBreak/>
        <w:t>stawek jednostkowych (produktów lub rezultatów) zrealizowanych w ramach projektu.</w:t>
      </w:r>
    </w:p>
    <w:p w14:paraId="6FA8732A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4190"/>
      </w:tblGrid>
      <w:tr w:rsidR="00156A36" w:rsidRPr="0023742D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23742D" w:rsidDel="007E78C7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156A36" w:rsidRPr="0023742D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23742D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23742D" w:rsidRDefault="00156A36" w:rsidP="0023742D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23742D" w:rsidRDefault="00156A36" w:rsidP="0023742D">
      <w:pPr>
        <w:pStyle w:val="Standard"/>
        <w:spacing w:after="6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>2)….</w:t>
      </w:r>
    </w:p>
    <w:bookmarkEnd w:id="12"/>
    <w:p w14:paraId="656A6888" w14:textId="77777777" w:rsidR="00156A36" w:rsidRPr="0023742D" w:rsidRDefault="00156A36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  <w:r w:rsidRPr="0023742D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23742D" w:rsidRDefault="00737486" w:rsidP="00737486">
      <w:pPr>
        <w:pStyle w:val="Standard"/>
        <w:spacing w:before="240" w:after="60" w:line="276" w:lineRule="auto"/>
        <w:ind w:left="714" w:hanging="357"/>
        <w:jc w:val="both"/>
        <w:rPr>
          <w:rFonts w:ascii="Tahoma" w:hAnsi="Tahoma" w:cs="Tahoma"/>
        </w:rPr>
      </w:pPr>
      <w:r w:rsidRPr="00E20476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3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3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Wydatki poniesione w ramach projektu mogą być uznane za kwalifikowalne</w:t>
      </w:r>
      <w:r w:rsidR="705F82A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jeśli zostały poniesione przez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23742D">
        <w:rPr>
          <w:rFonts w:ascii="Tahoma" w:hAnsi="Tahoma" w:cs="Tahoma"/>
        </w:rPr>
        <w:t>erminu zawartego w § 1</w:t>
      </w:r>
      <w:r w:rsidR="2CD1BAC8" w:rsidRPr="0023742D">
        <w:rPr>
          <w:rFonts w:ascii="Tahoma" w:hAnsi="Tahoma" w:cs="Tahoma"/>
        </w:rPr>
        <w:t>0</w:t>
      </w:r>
      <w:r w:rsidR="66F67F6F" w:rsidRPr="0023742D">
        <w:rPr>
          <w:rFonts w:ascii="Tahoma" w:hAnsi="Tahoma" w:cs="Tahoma"/>
        </w:rPr>
        <w:t xml:space="preserve"> ust. </w:t>
      </w:r>
      <w:r w:rsidR="00086247">
        <w:rPr>
          <w:rFonts w:ascii="Tahoma" w:hAnsi="Tahoma" w:cs="Tahoma"/>
        </w:rPr>
        <w:t>5</w:t>
      </w:r>
      <w:r w:rsidR="66F67F6F" w:rsidRPr="0023742D">
        <w:rPr>
          <w:rFonts w:ascii="Tahoma" w:hAnsi="Tahoma" w:cs="Tahoma"/>
        </w:rPr>
        <w:t>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7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8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742D">
      <w:pPr>
        <w:pStyle w:val="Standard"/>
        <w:numPr>
          <w:ilvl w:val="0"/>
          <w:numId w:val="72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b) odpowiedzialny za zapewnienie trwałości projektu zgodnie z art. 65 rozporządzenia ogólnego,</w:t>
      </w:r>
    </w:p>
    <w:p w14:paraId="62C90D0F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c)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4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5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>. 4.</w:t>
      </w:r>
    </w:p>
    <w:bookmarkEnd w:id="16"/>
    <w:p w14:paraId="58CD7802" w14:textId="7635206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 xml:space="preserve">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11</w:t>
      </w:r>
      <w:r w:rsidR="005D0795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7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21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2"/>
      </w:r>
      <w:r w:rsidRPr="0023742D">
        <w:rPr>
          <w:rFonts w:ascii="Tahoma" w:hAnsi="Tahoma" w:cs="Tahoma"/>
        </w:rPr>
        <w:t xml:space="preserve"> roboczych od dnia otrzymania aktualizacji terminarza. </w:t>
      </w:r>
      <w:bookmarkStart w:id="18" w:name="_Hlk48717664"/>
      <w:r w:rsidRPr="0023742D">
        <w:rPr>
          <w:rFonts w:ascii="Tahoma" w:hAnsi="Tahoma" w:cs="Tahoma"/>
        </w:rPr>
        <w:t xml:space="preserve">Zmiana terminarza płatności nie powoduje konieczności aneksowania niniejszej umowy. </w:t>
      </w:r>
      <w:bookmarkEnd w:id="18"/>
      <w:r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23742D">
        <w:rPr>
          <w:rFonts w:ascii="Tahoma" w:hAnsi="Tahoma" w:cs="Tahoma"/>
        </w:rPr>
        <w:t>IZ FESL</w:t>
      </w:r>
      <w:r w:rsidR="00437AC9" w:rsidRPr="0023742D">
        <w:rPr>
          <w:rFonts w:ascii="Tahoma" w:hAnsi="Tahoma" w:cs="Tahoma"/>
        </w:rPr>
        <w:t>.</w:t>
      </w:r>
    </w:p>
    <w:p w14:paraId="0DC0BADB" w14:textId="336D9882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9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9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0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0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1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1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End w:id="17"/>
    </w:p>
    <w:p w14:paraId="63CE32BC" w14:textId="6A3B2C4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dofinansowania, o których mowa w § 8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2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2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3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4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4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pkt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5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6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6"/>
    <w:p w14:paraId="479FFACF" w14:textId="32513C79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o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płatność w wysokości co najmniej 70% łącznej kwoty dotychczas otrzymanych zaliczek</w:t>
      </w:r>
      <w:r w:rsidR="00B318DD" w:rsidRPr="00B318DD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7"/>
    </w:p>
    <w:p w14:paraId="1BDB1C6A" w14:textId="79ABBA6E" w:rsidR="00B05095" w:rsidRPr="0023742D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B318DD" w:rsidRPr="00B318DD">
        <w:rPr>
          <w:rFonts w:ascii="Tahoma" w:hAnsi="Tahoma" w:cs="Tahoma"/>
          <w:kern w:val="3"/>
          <w:sz w:val="24"/>
          <w:szCs w:val="24"/>
          <w:lang w:eastAsia="pl-PL"/>
        </w:rPr>
        <w:t>przy uwzględnieniu dokonanego przez beneficjenta zwrotu zaliczki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23742D" w:rsidRDefault="006250CA" w:rsidP="0023742D">
      <w:pPr>
        <w:numPr>
          <w:ilvl w:val="0"/>
          <w:numId w:val="23"/>
        </w:numPr>
        <w:suppressAutoHyphens/>
        <w:autoSpaceDN w:val="0"/>
        <w:spacing w:after="40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8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tym opóźnień w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5398A6B8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25C15C4B" w:rsidR="00C906D5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23742D" w:rsidRDefault="006250CA" w:rsidP="0023742D">
      <w:pPr>
        <w:numPr>
          <w:ilvl w:val="0"/>
          <w:numId w:val="24"/>
        </w:numPr>
        <w:suppressAutoHyphens/>
        <w:autoSpaceDN w:val="0"/>
        <w:spacing w:after="40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dokumentów poświadczających prawidłowość wydatków ujętych we wniosku zgodnie z wezwaniem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9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29"/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737486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23742D" w:rsidRDefault="00737486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0" w:name="_Ref477165712"/>
    </w:p>
    <w:p w14:paraId="21FDA1D0" w14:textId="6BDF966A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0"/>
    </w:p>
    <w:p w14:paraId="1A3578E3" w14:textId="6C6350D3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1" w:name="_Ref477165178"/>
    </w:p>
    <w:p w14:paraId="106B6B84" w14:textId="797D38D0" w:rsidR="006250CA" w:rsidRPr="0023742D" w:rsidRDefault="0012363C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1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2"/>
    </w:p>
    <w:p w14:paraId="532275DC" w14:textId="0F47AB74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23742D" w:rsidRDefault="00837EDC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23742D" w:rsidRDefault="006250CA" w:rsidP="00737486">
      <w:pPr>
        <w:numPr>
          <w:ilvl w:val="0"/>
          <w:numId w:val="84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23742D" w:rsidRDefault="006250CA" w:rsidP="00737486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4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65F019E5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3" w:name="_Ref477166043"/>
      <w:r w:rsidRPr="0023742D">
        <w:rPr>
          <w:rFonts w:ascii="Tahoma" w:hAnsi="Tahoma" w:cs="Tahoma"/>
          <w:b/>
          <w:iCs/>
        </w:rPr>
        <w:lastRenderedPageBreak/>
        <w:t>§11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3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4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5" w:name="_Ref477166180"/>
      <w:bookmarkEnd w:id="34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5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 xml:space="preserve">wyrazi zgodę na pomniejszenie kwoty wydatków </w:t>
      </w:r>
      <w:r w:rsidR="009E7A0C" w:rsidRPr="0023742D">
        <w:rPr>
          <w:rFonts w:ascii="Tahoma" w:hAnsi="Tahoma" w:cs="Tahoma"/>
        </w:rPr>
        <w:lastRenderedPageBreak/>
        <w:t>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6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6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 xml:space="preserve">§ </w:t>
      </w:r>
      <w:r w:rsidR="7234A1C3" w:rsidRPr="0023742D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</w:t>
      </w:r>
      <w:r w:rsidR="00C01212">
        <w:rPr>
          <w:rFonts w:ascii="Tahoma" w:hAnsi="Tahoma" w:cs="Tahoma"/>
        </w:rPr>
        <w:t>us</w:t>
      </w:r>
      <w:r w:rsidR="00666012" w:rsidRPr="0023742D">
        <w:rPr>
          <w:rFonts w:ascii="Tahoma" w:hAnsi="Tahoma" w:cs="Tahoma"/>
        </w:rPr>
        <w:t>t</w:t>
      </w:r>
      <w:r w:rsidRPr="0023742D">
        <w:rPr>
          <w:rFonts w:ascii="Tahoma" w:hAnsi="Tahoma" w:cs="Tahoma"/>
        </w:rPr>
        <w:t xml:space="preserve">.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7113E8FC" w:rsidR="00837D86" w:rsidRPr="0023742D" w:rsidRDefault="7C3157A5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w projekcie nieprawidłowości, o których mowa w ust. 1, po zatwierdzeniu wniosku </w:t>
      </w:r>
      <w:r w:rsidR="00C01212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 płatność oraz w sytuacji, o której mowa w ust. 4 pkt 2</w:t>
      </w:r>
      <w:r w:rsidR="26CB1260" w:rsidRPr="0023742D">
        <w:rPr>
          <w:rFonts w:ascii="Tahoma" w:hAnsi="Tahoma" w:cs="Tahoma"/>
        </w:rPr>
        <w:t xml:space="preserve"> oraz pkt 3</w:t>
      </w:r>
      <w:r w:rsidRPr="0023742D">
        <w:rPr>
          <w:rFonts w:ascii="Tahoma" w:hAnsi="Tahoma" w:cs="Tahoma"/>
        </w:rPr>
        <w:t xml:space="preserve">, wartość projektu określona w aktualnym wniosku, o którym mowa w §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ust. </w:t>
      </w:r>
      <w:r w:rsidR="005D0795">
        <w:rPr>
          <w:rFonts w:ascii="Tahoma" w:hAnsi="Tahoma" w:cs="Tahoma"/>
        </w:rPr>
        <w:t xml:space="preserve">1 i </w:t>
      </w:r>
      <w:r w:rsidRPr="0023742D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</w:p>
    <w:p w14:paraId="6C3A7EA7" w14:textId="01983C1F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12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7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7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6204A4A4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>
        <w:rPr>
          <w:rStyle w:val="Odwoanieprzypisudolnego"/>
          <w:rFonts w:ascii="Tahoma" w:hAnsi="Tahoma"/>
          <w:sz w:val="24"/>
          <w:szCs w:val="24"/>
          <w:lang w:eastAsia="pl-PL"/>
        </w:rPr>
        <w:footnoteReference w:id="40"/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8" w:name="_Ref477167372"/>
    </w:p>
    <w:p w14:paraId="36260E59" w14:textId="2B6795B5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C01212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23742D">
        <w:rPr>
          <w:rFonts w:ascii="Tahoma" w:hAnsi="Tahoma" w:cs="Tahoma"/>
          <w:sz w:val="24"/>
          <w:szCs w:val="24"/>
          <w:lang w:eastAsia="pl-PL"/>
        </w:rPr>
        <w:t>dokonywani</w:t>
      </w:r>
      <w:r w:rsidR="00C01212">
        <w:rPr>
          <w:rFonts w:ascii="Tahoma" w:hAnsi="Tahoma" w:cs="Tahoma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EA4EA98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8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minimis przyznanej beneficjentowi </w:t>
      </w:r>
      <w:bookmarkStart w:id="39" w:name="_Hlk156305233"/>
      <w:bookmarkStart w:id="40" w:name="_Hlk156305785"/>
      <w:bookmarkStart w:id="41" w:name="_Hlk156306068"/>
      <w:r w:rsidR="00F416A1">
        <w:rPr>
          <w:rFonts w:ascii="Tahoma" w:hAnsi="Tahoma" w:cs="Tahoma"/>
          <w:sz w:val="24"/>
          <w:szCs w:val="24"/>
          <w:lang w:eastAsia="pl-PL"/>
        </w:rPr>
        <w:t>i/lub partnerowi/partnerom (w przypadku udzielonej im pomocy de minimis)</w:t>
      </w:r>
      <w:bookmarkEnd w:id="39"/>
      <w:r w:rsidR="00F416A1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0"/>
      <w:r w:rsidR="00F416A1" w:rsidRPr="0082693D">
        <w:rPr>
          <w:rFonts w:ascii="Tahoma" w:hAnsi="Tahoma" w:cs="Tahoma"/>
          <w:sz w:val="24"/>
          <w:szCs w:val="24"/>
          <w:lang w:eastAsia="pl-PL"/>
        </w:rPr>
        <w:t>w</w:t>
      </w:r>
      <w:bookmarkEnd w:id="41"/>
      <w:r w:rsidR="00F416A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23742D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23742D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23742D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23742D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2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2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23742D" w:rsidRDefault="1E16AF5A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>Trwałość</w:t>
      </w:r>
      <w:r w:rsidR="7C391F09" w:rsidRPr="0023742D">
        <w:rPr>
          <w:rFonts w:ascii="Tahoma" w:hAnsi="Tahoma" w:cs="Tahoma"/>
          <w:b/>
          <w:bCs/>
        </w:rPr>
        <w:t xml:space="preserve"> w</w:t>
      </w:r>
      <w:r w:rsidRPr="0023742D">
        <w:rPr>
          <w:rFonts w:ascii="Tahoma" w:hAnsi="Tahoma" w:cs="Tahoma"/>
          <w:b/>
          <w:bCs/>
        </w:rPr>
        <w:t xml:space="preserve"> projek</w:t>
      </w:r>
      <w:r w:rsidR="7C391F09" w:rsidRPr="0023742D">
        <w:rPr>
          <w:rFonts w:ascii="Tahoma" w:hAnsi="Tahoma" w:cs="Tahoma"/>
          <w:b/>
          <w:bCs/>
        </w:rPr>
        <w:t>cie</w:t>
      </w:r>
      <w:r w:rsidR="00281D47" w:rsidRPr="00C03210">
        <w:rPr>
          <w:rStyle w:val="Odwoanieprzypisudolnego"/>
          <w:rFonts w:ascii="Tahoma" w:hAnsi="Tahoma" w:cs="Tahoma"/>
          <w:bCs/>
        </w:rPr>
        <w:footnoteReference w:id="42"/>
      </w:r>
    </w:p>
    <w:p w14:paraId="53CCFCC4" w14:textId="48473239" w:rsidR="00727619" w:rsidRPr="0023742D" w:rsidRDefault="0093251B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13</w:t>
      </w:r>
      <w:r w:rsidR="00345808" w:rsidRPr="0023742D">
        <w:rPr>
          <w:rFonts w:ascii="Tahoma" w:hAnsi="Tahoma" w:cs="Tahoma"/>
          <w:b/>
          <w:iCs/>
        </w:rPr>
        <w:t>.</w:t>
      </w:r>
    </w:p>
    <w:p w14:paraId="7A09D765" w14:textId="11CB7789" w:rsidR="009C7E97" w:rsidRPr="0023742D" w:rsidRDefault="009C7E97" w:rsidP="0023742D">
      <w:pPr>
        <w:pStyle w:val="Akapitzlist"/>
        <w:numPr>
          <w:ilvl w:val="0"/>
          <w:numId w:val="34"/>
        </w:numPr>
        <w:spacing w:line="276" w:lineRule="auto"/>
        <w:rPr>
          <w:rFonts w:ascii="Tahoma" w:hAnsi="Tahoma" w:cs="Tahoma"/>
        </w:rPr>
      </w:pPr>
      <w:bookmarkStart w:id="43" w:name="_Ref477166272"/>
      <w:r w:rsidRPr="0023742D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8A222B" w:rsidRPr="0023742D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 xml:space="preserve"> oraz wydatki w ramach cross-</w:t>
      </w:r>
      <w:proofErr w:type="spellStart"/>
      <w:r w:rsidRPr="0023742D">
        <w:rPr>
          <w:rFonts w:ascii="Tahoma" w:hAnsi="Tahoma" w:cs="Tahoma"/>
        </w:rPr>
        <w:t>financingu</w:t>
      </w:r>
      <w:proofErr w:type="spellEnd"/>
      <w:r w:rsidRPr="0023742D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23742D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 xml:space="preserve">zgodnie z postanowieniami art. </w:t>
      </w:r>
      <w:r w:rsidR="000F15EE" w:rsidRPr="0023742D">
        <w:rPr>
          <w:rFonts w:ascii="Tahoma" w:hAnsi="Tahoma" w:cs="Tahoma"/>
        </w:rPr>
        <w:t>65</w:t>
      </w:r>
      <w:r w:rsidRPr="0023742D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23742D" w:rsidRDefault="00837D86" w:rsidP="0023742D">
      <w:pPr>
        <w:pStyle w:val="Akapitzlist"/>
        <w:numPr>
          <w:ilvl w:val="0"/>
          <w:numId w:val="34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3"/>
    </w:p>
    <w:p w14:paraId="2191B8CD" w14:textId="0D2AFF55" w:rsidR="00B22096" w:rsidRPr="0023742D" w:rsidRDefault="45063207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przypadku, gdy wniosek przewiduje trwałość projektu lub rezultatów, </w:t>
      </w:r>
      <w:r w:rsidR="00A841A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przedkładania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Rocznego </w:t>
      </w:r>
      <w:r w:rsidRPr="0023742D">
        <w:rPr>
          <w:rFonts w:ascii="Tahoma" w:hAnsi="Tahoma" w:cs="Tahoma"/>
        </w:rPr>
        <w:lastRenderedPageBreak/>
        <w:t>sprawozdania z zachowania trwałości</w:t>
      </w:r>
      <w:r w:rsidR="6119A2D1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22096" w:rsidRPr="0023742D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23742D">
        <w:rPr>
          <w:rFonts w:ascii="Tahoma" w:hAnsi="Tahoma" w:cs="Tahoma"/>
        </w:rPr>
        <w:t>.</w:t>
      </w:r>
      <w:r w:rsidR="300E4343" w:rsidRPr="0023742D">
        <w:rPr>
          <w:rFonts w:ascii="Tahoma" w:hAnsi="Tahoma" w:cs="Tahoma"/>
        </w:rPr>
        <w:t xml:space="preserve"> Beneficjent przedkłada sprawozdanie w</w:t>
      </w:r>
      <w:r w:rsidR="1261C2F5" w:rsidRPr="0023742D">
        <w:rPr>
          <w:rFonts w:ascii="Tahoma" w:hAnsi="Tahoma" w:cs="Tahoma"/>
        </w:rPr>
        <w:t> </w:t>
      </w:r>
      <w:r w:rsidR="300E4343" w:rsidRPr="0023742D">
        <w:rPr>
          <w:rFonts w:ascii="Tahoma" w:hAnsi="Tahoma" w:cs="Tahoma"/>
        </w:rPr>
        <w:t xml:space="preserve">wersji elektronicznej </w:t>
      </w:r>
      <w:r w:rsidR="5F44D87D" w:rsidRPr="0023742D">
        <w:rPr>
          <w:rFonts w:ascii="Tahoma" w:hAnsi="Tahoma" w:cs="Tahoma"/>
        </w:rPr>
        <w:t>zgodnie z § 20 niniejszej umowy.</w:t>
      </w:r>
    </w:p>
    <w:p w14:paraId="6E6B4E5C" w14:textId="117E8A67" w:rsidR="00837D86" w:rsidRPr="0023742D" w:rsidRDefault="00837D86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Beneficjent niezwłocznie informuje </w:t>
      </w:r>
      <w:r w:rsidR="0012363C" w:rsidRPr="0023742D">
        <w:rPr>
          <w:rFonts w:ascii="Tahoma" w:hAnsi="Tahoma" w:cs="Tahoma"/>
          <w:kern w:val="0"/>
        </w:rPr>
        <w:t>IZ FESL</w:t>
      </w:r>
      <w:r w:rsidRPr="0023742D">
        <w:rPr>
          <w:rFonts w:ascii="Tahoma" w:hAnsi="Tahoma" w:cs="Tahoma"/>
          <w:kern w:val="0"/>
        </w:rPr>
        <w:t xml:space="preserve"> o wszelkich okolicznościach </w:t>
      </w:r>
      <w:r w:rsidR="008A222B" w:rsidRPr="0023742D">
        <w:rPr>
          <w:rFonts w:ascii="Tahoma" w:hAnsi="Tahoma" w:cs="Tahoma"/>
          <w:kern w:val="0"/>
        </w:rPr>
        <w:t>mających wpływ na</w:t>
      </w:r>
      <w:r w:rsidRPr="0023742D">
        <w:rPr>
          <w:rFonts w:ascii="Tahoma" w:hAnsi="Tahoma" w:cs="Tahoma"/>
          <w:kern w:val="0"/>
        </w:rPr>
        <w:t xml:space="preserve"> naruszenie trwałości projektu</w:t>
      </w:r>
      <w:r w:rsidR="008A222B" w:rsidRPr="0023742D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23742D" w:rsidRDefault="0012363C" w:rsidP="0023742D">
      <w:pPr>
        <w:pStyle w:val="Akapitzlist"/>
        <w:numPr>
          <w:ilvl w:val="0"/>
          <w:numId w:val="34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>IZ FESL</w:t>
      </w:r>
      <w:r w:rsidR="00837D86" w:rsidRPr="0023742D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0ABFCC8C" w14:textId="77777777" w:rsidR="00823E79" w:rsidRPr="0023742D" w:rsidRDefault="00823E79" w:rsidP="0023742D">
      <w:pPr>
        <w:pStyle w:val="Akapitzlist"/>
        <w:spacing w:after="60" w:line="276" w:lineRule="auto"/>
        <w:contextualSpacing/>
        <w:rPr>
          <w:rFonts w:ascii="Tahoma" w:hAnsi="Tahoma" w:cs="Tahoma"/>
        </w:rPr>
      </w:pPr>
    </w:p>
    <w:p w14:paraId="7B16D366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6E5EA10D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14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39CE911B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32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4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32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44"/>
    </w:p>
    <w:p w14:paraId="3DDBE9A1" w14:textId="17C8CFCB" w:rsidR="00823E79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lastRenderedPageBreak/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0DD85AEB" w14:textId="77777777" w:rsidR="00F416A1" w:rsidRPr="006C58FD" w:rsidRDefault="00F416A1" w:rsidP="00F416A1">
      <w:pPr>
        <w:pStyle w:val="Akapitzlist"/>
        <w:spacing w:after="160"/>
        <w:ind w:left="720"/>
        <w:contextualSpacing/>
        <w:rPr>
          <w:rFonts w:ascii="Tahoma" w:hAnsi="Tahoma" w:cs="Tahoma"/>
        </w:rPr>
      </w:pP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421CD700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>
        <w:rPr>
          <w:rFonts w:ascii="Tahoma" w:eastAsia="Tahoma" w:hAnsi="Tahoma" w:cs="Tahoma"/>
        </w:rPr>
        <w:t>ie</w:t>
      </w:r>
      <w:r w:rsidR="44CCC63A" w:rsidRPr="0023742D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2ECB9A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16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4413C2A7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W okresie realizacji projektu oraz w okresie wskazanym w § 16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7799CA50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16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5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45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508E90C2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23742D">
        <w:rPr>
          <w:rFonts w:ascii="Tahoma" w:hAnsi="Tahoma" w:cs="Tahoma"/>
        </w:rPr>
        <w:t xml:space="preserve"> / 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3545FCB9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publiczna/Pomoc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44"/>
      </w:r>
    </w:p>
    <w:p w14:paraId="00B87C08" w14:textId="7901D0F4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17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6AFF9F9D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6" w:name="_Ref477166618"/>
      <w:r w:rsidRPr="009B3A17">
        <w:rPr>
          <w:rFonts w:ascii="Tahoma" w:hAnsi="Tahoma" w:cs="Tahoma"/>
        </w:rPr>
        <w:t>Pomoc publiczna/pomoc de minimis udzielana w oparciu o niniejszą umowę,</w:t>
      </w:r>
      <w:r w:rsidR="00281D47" w:rsidRPr="009B3A17">
        <w:rPr>
          <w:rStyle w:val="Odwoanieprzypisudolnego"/>
          <w:rFonts w:ascii="Tahoma" w:hAnsi="Tahoma" w:cs="Tahoma"/>
        </w:rPr>
        <w:footnoteReference w:id="45"/>
      </w:r>
      <w:r w:rsidRPr="009B3A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6"/>
      <w:r w:rsidRPr="009B3A17">
        <w:rPr>
          <w:rFonts w:ascii="Tahoma" w:hAnsi="Tahoma" w:cs="Tahoma"/>
        </w:rPr>
        <w:t xml:space="preserve"> </w:t>
      </w:r>
      <w:bookmarkStart w:id="47" w:name="_Ref477166654"/>
    </w:p>
    <w:p w14:paraId="3F095D2A" w14:textId="3D25803C" w:rsidR="00E06DDB" w:rsidRPr="009B3A17" w:rsidRDefault="00E06DDB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>
        <w:rPr>
          <w:rFonts w:ascii="Tahoma" w:hAnsi="Tahoma" w:cs="Tahoma"/>
        </w:rPr>
        <w:t>0</w:t>
      </w:r>
      <w:r w:rsidRPr="009B3A17">
        <w:rPr>
          <w:rFonts w:ascii="Tahoma" w:hAnsi="Tahoma" w:cs="Tahoma"/>
        </w:rPr>
        <w:t xml:space="preserve"> grudnia 2022 r. w sprawie udzielania pomocy de minimis oraz pomocy publicznej w ramach programów finansowanych z Europejskiego Funduszu Społecznego Plus (EFS+) na lata 2021-2027 </w:t>
      </w:r>
      <w:r w:rsidRPr="009B3A17">
        <w:rPr>
          <w:rFonts w:ascii="Tahoma" w:hAnsi="Tahoma" w:cs="Tahoma"/>
          <w:kern w:val="0"/>
        </w:rPr>
        <w:t>(Dz.U. z 2022 r. poz. 2782</w:t>
      </w:r>
      <w:r w:rsidR="00DA7DBB">
        <w:rPr>
          <w:rFonts w:ascii="Tahoma" w:hAnsi="Tahoma" w:cs="Tahoma"/>
          <w:kern w:val="0"/>
        </w:rPr>
        <w:t xml:space="preserve"> z późn. zm.</w:t>
      </w:r>
      <w:r w:rsidRPr="009B3A17">
        <w:rPr>
          <w:rFonts w:ascii="Tahoma" w:hAnsi="Tahoma" w:cs="Tahoma"/>
          <w:kern w:val="0"/>
        </w:rPr>
        <w:t>) o numerze referencyjnym</w:t>
      </w:r>
      <w:r w:rsidR="002E0221">
        <w:rPr>
          <w:rFonts w:ascii="Tahoma" w:hAnsi="Tahoma" w:cs="Tahoma"/>
          <w:kern w:val="0"/>
        </w:rPr>
        <w:t xml:space="preserve"> SA.106051</w:t>
      </w:r>
      <w:r w:rsidR="002E0221">
        <w:rPr>
          <w:rStyle w:val="Odwoanieprzypisudolnego"/>
          <w:rFonts w:ascii="Tahoma" w:hAnsi="Tahoma"/>
          <w:kern w:val="0"/>
        </w:rPr>
        <w:footnoteReference w:id="46"/>
      </w:r>
      <w:r w:rsidR="002E0221">
        <w:rPr>
          <w:rFonts w:ascii="Tahoma" w:hAnsi="Tahoma" w:cs="Tahoma"/>
          <w:kern w:val="0"/>
        </w:rPr>
        <w:t>.</w:t>
      </w:r>
    </w:p>
    <w:p w14:paraId="1529B3E0" w14:textId="5F5BA8A2" w:rsidR="00E06DDB" w:rsidRPr="00F416A1" w:rsidRDefault="59DAEEA0" w:rsidP="0023742D">
      <w:pPr>
        <w:pStyle w:val="Akapitzlist"/>
        <w:numPr>
          <w:ilvl w:val="0"/>
          <w:numId w:val="47"/>
        </w:numPr>
        <w:spacing w:after="60" w:line="276" w:lineRule="auto"/>
        <w:rPr>
          <w:rFonts w:ascii="Tahoma" w:hAnsi="Tahoma" w:cs="Tahoma"/>
          <w:b/>
          <w:bCs/>
        </w:rPr>
      </w:pPr>
      <w:r w:rsidRPr="009B3A17">
        <w:rPr>
          <w:rFonts w:ascii="Tahoma" w:hAnsi="Tahoma" w:cs="Tahoma"/>
        </w:rPr>
        <w:t xml:space="preserve">W oparciu o niniejszą umowę </w:t>
      </w:r>
      <w:r w:rsidR="008B3414" w:rsidRPr="009B3A17">
        <w:rPr>
          <w:rFonts w:ascii="Tahoma" w:hAnsi="Tahoma" w:cs="Tahoma"/>
        </w:rPr>
        <w:t>b</w:t>
      </w:r>
      <w:r w:rsidRPr="009B3A17">
        <w:rPr>
          <w:rFonts w:ascii="Tahoma" w:hAnsi="Tahoma" w:cs="Tahoma"/>
        </w:rPr>
        <w:t>eneficjentowi przyznana zostaje pomoc</w:t>
      </w:r>
      <w:r w:rsidRPr="0023742D">
        <w:rPr>
          <w:rFonts w:ascii="Tahoma" w:hAnsi="Tahoma" w:cs="Tahoma"/>
        </w:rPr>
        <w:t xml:space="preserve"> publiczna/pomoc de minimis, w wysokości i zakresie określonym w aktualnym wniosku. Wysokość udzielonej </w:t>
      </w:r>
      <w:r w:rsidR="00F63ED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pomocy de minimis stwierdza wydane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zaświadczenie o pomocy de minimis, zgodnie z art. 5 ust. 3 ustawy o postępowaniu w sprawach dotyczących pomocy publicznej, z zastrzeżeniem art. 5 ust. 3a wspomnianej ustawy.</w:t>
      </w:r>
    </w:p>
    <w:p w14:paraId="294CD3E8" w14:textId="78F72E76" w:rsidR="00F416A1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bookmarkStart w:id="48" w:name="_Hlk156305272"/>
      <w:r w:rsidRPr="00876336">
        <w:rPr>
          <w:rFonts w:ascii="Tahoma" w:hAnsi="Tahoma" w:cs="Tahoma"/>
          <w:bCs/>
        </w:rPr>
        <w:lastRenderedPageBreak/>
        <w:t xml:space="preserve">W oparciu o niniejszą umowę </w:t>
      </w:r>
      <w:r>
        <w:rPr>
          <w:rFonts w:ascii="Tahoma" w:hAnsi="Tahoma" w:cs="Tahoma"/>
          <w:bCs/>
        </w:rPr>
        <w:t>partnerowi/ partnerom</w:t>
      </w:r>
      <w:r w:rsidRPr="00876336">
        <w:rPr>
          <w:rFonts w:ascii="Tahoma" w:hAnsi="Tahoma" w:cs="Tahoma"/>
          <w:bCs/>
        </w:rPr>
        <w:t>……</w:t>
      </w:r>
      <w:r>
        <w:rPr>
          <w:rStyle w:val="Odwoanieprzypisudolnego"/>
          <w:rFonts w:ascii="Tahoma" w:hAnsi="Tahoma"/>
        </w:rPr>
        <w:footnoteReference w:id="47"/>
      </w:r>
      <w:r w:rsidRPr="00876336">
        <w:rPr>
          <w:rFonts w:ascii="Tahoma" w:hAnsi="Tahoma" w:cs="Tahoma"/>
        </w:rPr>
        <w:t xml:space="preserve"> </w:t>
      </w:r>
      <w:r w:rsidRPr="00876336">
        <w:rPr>
          <w:rFonts w:ascii="Tahoma" w:hAnsi="Tahoma" w:cs="Tahoma"/>
          <w:bCs/>
        </w:rPr>
        <w:t xml:space="preserve">  przyznana zostaje pomoc de minimis, w wysokości i zakresie określonym w aktualnym wniosku. Wysokość udzielonej </w:t>
      </w:r>
      <w:r>
        <w:rPr>
          <w:rFonts w:ascii="Tahoma" w:hAnsi="Tahoma" w:cs="Tahoma"/>
          <w:bCs/>
        </w:rPr>
        <w:t>partnerowi/partnerom</w:t>
      </w:r>
      <w:r w:rsidRPr="00876336">
        <w:rPr>
          <w:rFonts w:ascii="Tahoma" w:hAnsi="Tahoma" w:cs="Tahoma"/>
          <w:bCs/>
        </w:rPr>
        <w:t xml:space="preserve"> pomocy de minimis stwierdza</w:t>
      </w:r>
      <w:r>
        <w:rPr>
          <w:rFonts w:ascii="Tahoma" w:hAnsi="Tahoma" w:cs="Tahoma"/>
          <w:bCs/>
        </w:rPr>
        <w:t>/ stwierdzają</w:t>
      </w:r>
      <w:r w:rsidRPr="00876336">
        <w:rPr>
          <w:rFonts w:ascii="Tahoma" w:hAnsi="Tahoma" w:cs="Tahoma"/>
          <w:bCs/>
        </w:rPr>
        <w:t xml:space="preserve"> wydane przez IZ FESL zaświadczenie</w:t>
      </w:r>
      <w:r>
        <w:rPr>
          <w:rFonts w:ascii="Tahoma" w:hAnsi="Tahoma" w:cs="Tahoma"/>
          <w:bCs/>
        </w:rPr>
        <w:t>/zaświadczenia</w:t>
      </w:r>
      <w:r w:rsidRPr="00876336">
        <w:rPr>
          <w:rFonts w:ascii="Tahoma" w:hAnsi="Tahoma" w:cs="Tahoma"/>
          <w:bCs/>
        </w:rPr>
        <w:t xml:space="preserve"> o pomocy de minimis, zgodnie z art. 5 ust. 3 ustawy o postępowaniu w sprawach dotyczących pomocy publicznej, z zastrzeżeniem art. 5 ust. 3a wspomnianej ustawy.</w:t>
      </w:r>
    </w:p>
    <w:p w14:paraId="036A335E" w14:textId="77777777" w:rsidR="00F416A1" w:rsidRPr="00876336" w:rsidRDefault="00F416A1" w:rsidP="00F416A1">
      <w:pPr>
        <w:pStyle w:val="Akapitzlist"/>
        <w:numPr>
          <w:ilvl w:val="0"/>
          <w:numId w:val="47"/>
        </w:numPr>
        <w:rPr>
          <w:rFonts w:ascii="Tahoma" w:hAnsi="Tahoma" w:cs="Tahoma"/>
          <w:bCs/>
        </w:rPr>
      </w:pPr>
      <w:r w:rsidRPr="003759DD">
        <w:rPr>
          <w:rFonts w:ascii="Tahoma" w:hAnsi="Tahoma" w:cs="Tahoma"/>
          <w:bCs/>
        </w:rPr>
        <w:t xml:space="preserve">W przypadku </w:t>
      </w:r>
      <w:r>
        <w:rPr>
          <w:rFonts w:ascii="Tahoma" w:hAnsi="Tahoma" w:cs="Tahoma"/>
          <w:bCs/>
        </w:rPr>
        <w:t xml:space="preserve">każdej </w:t>
      </w:r>
      <w:r w:rsidRPr="003759DD">
        <w:rPr>
          <w:rFonts w:ascii="Tahoma" w:hAnsi="Tahoma" w:cs="Tahoma"/>
          <w:bCs/>
        </w:rPr>
        <w:t xml:space="preserve">zmiany prowadzącej do zwiększenia wartości przyznanej </w:t>
      </w:r>
      <w:r>
        <w:rPr>
          <w:rFonts w:ascii="Tahoma" w:hAnsi="Tahoma" w:cs="Tahoma"/>
          <w:bCs/>
        </w:rPr>
        <w:t xml:space="preserve">beneficjentowi i/lub </w:t>
      </w:r>
      <w:r w:rsidRPr="003759DD">
        <w:rPr>
          <w:rFonts w:ascii="Tahoma" w:hAnsi="Tahoma" w:cs="Tahoma"/>
          <w:bCs/>
        </w:rPr>
        <w:t>partnerowi</w:t>
      </w:r>
      <w:r>
        <w:rPr>
          <w:rFonts w:ascii="Tahoma" w:hAnsi="Tahoma" w:cs="Tahoma"/>
          <w:bCs/>
        </w:rPr>
        <w:t>/partnerom</w:t>
      </w:r>
      <w:r w:rsidRPr="003759DD">
        <w:rPr>
          <w:rFonts w:ascii="Tahoma" w:hAnsi="Tahoma" w:cs="Tahoma"/>
          <w:bCs/>
        </w:rPr>
        <w:t xml:space="preserve"> pomocy de minimis w projekcie, beneficjent </w:t>
      </w:r>
      <w:r>
        <w:rPr>
          <w:rFonts w:ascii="Tahoma" w:hAnsi="Tahoma" w:cs="Tahoma"/>
          <w:bCs/>
        </w:rPr>
        <w:t xml:space="preserve">i/lub partner </w:t>
      </w:r>
      <w:r w:rsidRPr="003759DD">
        <w:rPr>
          <w:rFonts w:ascii="Tahoma" w:hAnsi="Tahoma" w:cs="Tahoma"/>
          <w:bCs/>
        </w:rPr>
        <w:t>jest zobowiązany do przedstawienia IZ FESL informacji o aktualnej (na dzień udzielenia zwiększonej pomocy przez IZ FESL), wysokości dotychczas udzielonej temu podmiotowi pomocy de minimis</w:t>
      </w:r>
      <w:r>
        <w:rPr>
          <w:rFonts w:ascii="Tahoma" w:hAnsi="Tahoma" w:cs="Tahoma"/>
          <w:bCs/>
        </w:rPr>
        <w:t>.</w:t>
      </w:r>
    </w:p>
    <w:bookmarkEnd w:id="47"/>
    <w:bookmarkEnd w:id="48"/>
    <w:p w14:paraId="30349422" w14:textId="77777777" w:rsidR="00E06DDB" w:rsidRPr="0023742D" w:rsidRDefault="00E06DDB" w:rsidP="00F416A1">
      <w:pPr>
        <w:pStyle w:val="Akapitzlist"/>
        <w:numPr>
          <w:ilvl w:val="0"/>
          <w:numId w:val="47"/>
        </w:numPr>
        <w:spacing w:before="240"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 </w:t>
      </w:r>
    </w:p>
    <w:p w14:paraId="6C23A63A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wystąpienia efektu zachęty,</w:t>
      </w:r>
    </w:p>
    <w:p w14:paraId="2EAD0305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23742D" w:rsidRDefault="00E06DDB" w:rsidP="0023742D">
      <w:pPr>
        <w:pStyle w:val="Akapitzlist"/>
        <w:numPr>
          <w:ilvl w:val="0"/>
          <w:numId w:val="48"/>
        </w:numPr>
        <w:tabs>
          <w:tab w:val="left" w:pos="1418"/>
        </w:tabs>
        <w:spacing w:after="60" w:line="276" w:lineRule="auto"/>
        <w:ind w:left="1418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dopuszczalnego pułapu pomocy de minimis określonego w rozporządzeniu, o którym mowa w ust. 2.</w:t>
      </w:r>
    </w:p>
    <w:p w14:paraId="111D373E" w14:textId="77777777" w:rsidR="00E06DDB" w:rsidRPr="0023742D" w:rsidRDefault="00E06DDB" w:rsidP="0023742D">
      <w:pPr>
        <w:pStyle w:val="Akapitzlist"/>
        <w:spacing w:after="60" w:line="276" w:lineRule="auto"/>
        <w:ind w:left="720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</w:t>
      </w:r>
      <w:r w:rsidR="002E0221">
        <w:rPr>
          <w:rFonts w:ascii="Tahoma" w:hAnsi="Tahoma" w:cs="Tahoma"/>
        </w:rPr>
        <w:t xml:space="preserve"> / partner/</w:t>
      </w:r>
      <w:proofErr w:type="spellStart"/>
      <w:r w:rsidR="002E0221">
        <w:rPr>
          <w:rFonts w:ascii="Tahoma" w:hAnsi="Tahoma" w:cs="Tahoma"/>
        </w:rPr>
        <w:t>rzy</w:t>
      </w:r>
      <w:proofErr w:type="spellEnd"/>
      <w:r w:rsidRPr="0023742D">
        <w:rPr>
          <w:rFonts w:ascii="Tahoma" w:hAnsi="Tahoma" w:cs="Tahoma"/>
        </w:rPr>
        <w:t xml:space="preserve"> </w:t>
      </w:r>
      <w:r w:rsidR="002E0221">
        <w:rPr>
          <w:rFonts w:ascii="Tahoma" w:hAnsi="Tahoma" w:cs="Tahoma"/>
        </w:rPr>
        <w:t xml:space="preserve">projektu </w:t>
      </w:r>
      <w:r w:rsidRPr="0023742D">
        <w:rPr>
          <w:rFonts w:ascii="Tahoma" w:hAnsi="Tahoma" w:cs="Tahoma"/>
        </w:rPr>
        <w:t>jako podmiot udzielający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17 odnoszących się do pomocy de minimis.</w:t>
      </w:r>
    </w:p>
    <w:p w14:paraId="03F2A0B7" w14:textId="05A95D51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</w:t>
      </w:r>
      <w:r w:rsidR="002E0221">
        <w:rPr>
          <w:rFonts w:ascii="Tahoma" w:hAnsi="Tahoma" w:cs="Tahoma"/>
        </w:rPr>
        <w:t xml:space="preserve">/ partnera/ów projektu </w:t>
      </w:r>
      <w:r w:rsidRPr="0023742D">
        <w:rPr>
          <w:rFonts w:ascii="Tahoma" w:hAnsi="Tahoma" w:cs="Tahoma"/>
        </w:rPr>
        <w:t>jako podmiot udzielający pomocy do wypełniania wszelkich obowiązków, jakie nakładają na niego przepisy prawa wspólnotowego i krajowego w zakresie pomocy de minimis, w szczególności:</w:t>
      </w:r>
    </w:p>
    <w:p w14:paraId="0E0C3E76" w14:textId="332FF7AF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</w:t>
      </w:r>
      <w:r w:rsidR="0020422B">
        <w:rPr>
          <w:rFonts w:ascii="Tahoma" w:hAnsi="Tahoma" w:cs="Tahoma"/>
        </w:rPr>
        <w:t>wymaganych obowiązującymi przepisami</w:t>
      </w:r>
      <w:r w:rsidRPr="0023742D">
        <w:rPr>
          <w:rFonts w:ascii="Tahoma" w:hAnsi="Tahoma" w:cs="Tahoma"/>
        </w:rPr>
        <w:t xml:space="preserve">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0BDCC21B" w:rsidR="00E06DDB" w:rsidRPr="0023742D" w:rsidRDefault="00E06DDB" w:rsidP="00F416A1">
      <w:pPr>
        <w:pStyle w:val="Akapitzlist"/>
        <w:numPr>
          <w:ilvl w:val="0"/>
          <w:numId w:val="47"/>
        </w:numPr>
        <w:spacing w:after="60" w:line="276" w:lineRule="auto"/>
        <w:contextualSpacing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2E022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11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55BA148E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796275" w:rsidRPr="0023742D">
        <w:rPr>
          <w:rFonts w:ascii="Tahoma" w:hAnsi="Tahoma" w:cs="Tahoma"/>
          <w:b/>
          <w:iCs/>
        </w:rPr>
        <w:t>8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2363A6A1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23742D">
        <w:rPr>
          <w:rFonts w:ascii="Tahoma" w:hAnsi="Tahoma" w:cs="Tahoma"/>
        </w:rPr>
        <w:t>koszty pośrednie</w:t>
      </w:r>
      <w:r w:rsidRPr="0023742D">
        <w:rPr>
          <w:rFonts w:ascii="Tahoma" w:hAnsi="Tahoma" w:cs="Tahoma"/>
        </w:rPr>
        <w:t xml:space="preserve">. Stopień nieosiągnięcia założeń projektu określany jest przez </w:t>
      </w:r>
      <w:r w:rsidR="0012363C" w:rsidRPr="0023742D">
        <w:rPr>
          <w:rFonts w:ascii="Tahoma" w:hAnsi="Tahoma" w:cs="Tahoma"/>
        </w:rPr>
        <w:t>IZ FESL</w:t>
      </w:r>
      <w:r w:rsidR="00632AF9" w:rsidRPr="0023742D">
        <w:rPr>
          <w:rFonts w:ascii="Tahoma" w:hAnsi="Tahoma" w:cs="Tahoma"/>
        </w:rPr>
        <w:t>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17518A2A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</w:t>
      </w:r>
      <w:r w:rsidRPr="0023742D">
        <w:rPr>
          <w:rFonts w:ascii="Tahoma" w:hAnsi="Tahoma" w:cs="Tahoma"/>
          <w:kern w:val="0"/>
        </w:rPr>
        <w:lastRenderedPageBreak/>
        <w:t>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23742D">
        <w:rPr>
          <w:rFonts w:ascii="Tahoma" w:hAnsi="Tahoma" w:cs="Tahoma"/>
        </w:rPr>
        <w:t>11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524AC6DF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51305726" w14:textId="77777777" w:rsidR="00D9481D" w:rsidRPr="0023742D" w:rsidRDefault="00D9481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>Zabezpieczenie prawidłowej realizacji umowy</w:t>
      </w:r>
    </w:p>
    <w:p w14:paraId="468C2C1D" w14:textId="66FBBA2A" w:rsidR="00F55C53" w:rsidRPr="0023742D" w:rsidRDefault="0093251B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23742D">
        <w:rPr>
          <w:rFonts w:ascii="Tahoma" w:hAnsi="Tahoma" w:cs="Tahoma"/>
          <w:b/>
          <w:sz w:val="24"/>
          <w:szCs w:val="24"/>
        </w:rPr>
        <w:t>19</w:t>
      </w:r>
      <w:r w:rsidR="00345808" w:rsidRPr="0023742D">
        <w:rPr>
          <w:rFonts w:ascii="Tahoma" w:hAnsi="Tahoma" w:cs="Tahoma"/>
          <w:b/>
          <w:sz w:val="24"/>
          <w:szCs w:val="24"/>
        </w:rPr>
        <w:t>.</w:t>
      </w:r>
      <w:r w:rsidR="00032721" w:rsidRPr="009B3A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0A85302D" w14:textId="77777777" w:rsidR="00F55C53" w:rsidRPr="0023742D" w:rsidRDefault="00F55C53" w:rsidP="0023742D">
      <w:pPr>
        <w:pStyle w:val="Tekstpodstawowy"/>
        <w:spacing w:after="40" w:line="276" w:lineRule="auto"/>
        <w:ind w:left="714" w:hanging="357"/>
        <w:jc w:val="both"/>
        <w:rPr>
          <w:rFonts w:ascii="Tahoma" w:hAnsi="Tahoma" w:cs="Tahoma"/>
          <w:b/>
          <w:sz w:val="24"/>
          <w:szCs w:val="24"/>
        </w:rPr>
      </w:pPr>
    </w:p>
    <w:p w14:paraId="3295E772" w14:textId="0E025B63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1.</w:t>
      </w:r>
      <w:r w:rsidRPr="0023742D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nie później niż w terminie 10 dni roboczych, od dnia podpisania </w:t>
      </w:r>
      <w:r w:rsidRPr="0023742D">
        <w:rPr>
          <w:rFonts w:ascii="Tahoma" w:hAnsi="Tahoma" w:cs="Tahoma"/>
          <w:sz w:val="24"/>
          <w:szCs w:val="24"/>
        </w:rPr>
        <w:lastRenderedPageBreak/>
        <w:t>przez obie strony umowy, weksel in blanco wraz z wypełnioną deklaracją wystawcy weksla in blanco, z zastrzeżeniem ust. 4 i 5.</w:t>
      </w:r>
      <w:r w:rsidR="000E135B" w:rsidRPr="0023742D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0E135B" w:rsidRPr="0023742D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23742D" w:rsidRDefault="00D9481D" w:rsidP="0023742D">
      <w:pPr>
        <w:pStyle w:val="Tekstpodstawowy"/>
        <w:spacing w:after="4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</w:t>
      </w:r>
      <w:r w:rsidRPr="0023742D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a)</w:t>
      </w:r>
      <w:r w:rsidRPr="0023742D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b)</w:t>
      </w:r>
      <w:r w:rsidRPr="0023742D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c)</w:t>
      </w:r>
      <w:r w:rsidRPr="0023742D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23742D" w:rsidRDefault="00D9481D" w:rsidP="0023742D">
      <w:pPr>
        <w:pStyle w:val="Tekstpodstawowy"/>
        <w:spacing w:after="0" w:line="276" w:lineRule="auto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d)</w:t>
      </w:r>
      <w:r w:rsidRPr="0023742D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zakończeniu realizacji projektu i braku przesłanek świadczących o możliwości zastosowania procedury odzyskiwania środków.</w:t>
      </w:r>
    </w:p>
    <w:p w14:paraId="69A4D16F" w14:textId="10A9A158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3.</w:t>
      </w:r>
      <w:r w:rsidRPr="0023742D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23742D" w:rsidRDefault="00D9481D" w:rsidP="0023742D">
      <w:pPr>
        <w:pStyle w:val="Tekstpodstawowy"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4.</w:t>
      </w:r>
      <w:r w:rsidRPr="0023742D">
        <w:rPr>
          <w:rFonts w:ascii="Tahoma" w:hAnsi="Tahoma" w:cs="Tahoma"/>
          <w:sz w:val="24"/>
          <w:szCs w:val="24"/>
        </w:rPr>
        <w:tab/>
        <w:t>W przypadku</w:t>
      </w:r>
      <w:r w:rsidR="1C3BE80C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23742D">
        <w:rPr>
          <w:rFonts w:ascii="Tahoma" w:hAnsi="Tahoma" w:cs="Tahoma"/>
          <w:sz w:val="24"/>
          <w:szCs w:val="24"/>
        </w:rPr>
        <w:t xml:space="preserve"> przez </w:t>
      </w:r>
      <w:r w:rsidR="00C32BD8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>,</w:t>
      </w:r>
      <w:r w:rsidR="00FE7461" w:rsidRPr="0023742D">
        <w:rPr>
          <w:rFonts w:ascii="Tahoma" w:hAnsi="Tahoma" w:cs="Tahoma"/>
          <w:sz w:val="24"/>
          <w:szCs w:val="24"/>
        </w:rPr>
        <w:t xml:space="preserve"> w ramach EFS+,</w:t>
      </w:r>
      <w:r w:rsidRPr="0023742D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23742D">
        <w:rPr>
          <w:rFonts w:ascii="Tahoma" w:hAnsi="Tahoma" w:cs="Tahoma"/>
          <w:sz w:val="24"/>
          <w:szCs w:val="24"/>
        </w:rPr>
        <w:t>wyboru projektów</w:t>
      </w:r>
      <w:r w:rsidRPr="0023742D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23742D" w:rsidRDefault="00D9481D" w:rsidP="0023742D">
      <w:pPr>
        <w:pStyle w:val="Tekstpodstawowy"/>
        <w:widowControl/>
        <w:suppressAutoHyphens w:val="0"/>
        <w:autoSpaceDN/>
        <w:spacing w:after="0" w:line="276" w:lineRule="auto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5.</w:t>
      </w:r>
      <w:r w:rsidRPr="0023742D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6E18C882" w14:textId="77777777" w:rsidR="00627007" w:rsidRPr="0023742D" w:rsidRDefault="00627007" w:rsidP="0023742D">
      <w:pPr>
        <w:pStyle w:val="Tekstpodstawowy"/>
        <w:widowControl/>
        <w:suppressAutoHyphens w:val="0"/>
        <w:autoSpaceDN/>
        <w:spacing w:after="40" w:line="276" w:lineRule="auto"/>
        <w:ind w:left="720"/>
        <w:rPr>
          <w:rFonts w:ascii="Tahoma" w:hAnsi="Tahoma" w:cs="Tahoma"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2346D846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0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9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0" w:name="_Hlk122080973"/>
      <w:r w:rsidRPr="0023742D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50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51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1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32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9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20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23742D">
        <w:rPr>
          <w:rFonts w:ascii="Tahoma" w:hAnsi="Tahoma" w:cs="Tahoma"/>
          <w:sz w:val="24"/>
          <w:szCs w:val="24"/>
        </w:rPr>
        <w:t>8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4)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23742D">
        <w:rPr>
          <w:rFonts w:ascii="Tahoma" w:hAnsi="Tahoma" w:cs="Tahoma"/>
          <w:sz w:val="24"/>
          <w:szCs w:val="24"/>
        </w:rPr>
        <w:t>do realizacji forma</w:t>
      </w:r>
      <w:r w:rsidR="00B26E1A" w:rsidRPr="0023742D">
        <w:rPr>
          <w:rFonts w:ascii="Tahoma" w:hAnsi="Tahoma" w:cs="Tahoma"/>
          <w:sz w:val="24"/>
          <w:szCs w:val="24"/>
        </w:rPr>
        <w:t>ch</w:t>
      </w:r>
      <w:r w:rsidRPr="0023742D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23742D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23742D">
        <w:rPr>
          <w:rFonts w:ascii="Tahoma" w:hAnsi="Tahoma" w:cs="Tahoma"/>
          <w:sz w:val="24"/>
          <w:szCs w:val="24"/>
        </w:rPr>
        <w:t>3</w:t>
      </w:r>
      <w:r w:rsidRPr="0023742D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23742D" w:rsidRDefault="00520E51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 </w:t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3 oraz 5 system informatyczny LSI2021 oblicza sumę kontrolną pliku, która pozwala sprawdzać integralność przesłanych przez platformę ePU</w:t>
      </w:r>
      <w:r w:rsidR="00141EF6">
        <w:rPr>
          <w:rFonts w:ascii="Tahoma" w:hAnsi="Tahoma" w:cs="Tahoma"/>
        </w:rPr>
        <w:t>A</w:t>
      </w:r>
      <w:r w:rsidRPr="0023742D">
        <w:rPr>
          <w:rFonts w:ascii="Tahoma" w:hAnsi="Tahoma" w:cs="Tahoma"/>
        </w:rPr>
        <w:t>P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23742D" w:rsidRDefault="00617B77" w:rsidP="0023742D">
      <w:pPr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4)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23742D">
        <w:rPr>
          <w:rFonts w:ascii="Tahoma" w:hAnsi="Tahoma" w:cs="Tahoma"/>
          <w:sz w:val="24"/>
          <w:szCs w:val="24"/>
        </w:rPr>
        <w:t>odwzorowań</w:t>
      </w:r>
      <w:proofErr w:type="spellEnd"/>
      <w:r w:rsidRPr="0023742D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5)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23742D" w:rsidRDefault="00617B77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23742D">
        <w:rPr>
          <w:rFonts w:ascii="Tahoma" w:hAnsi="Tahoma" w:cs="Tahoma"/>
          <w:sz w:val="24"/>
          <w:szCs w:val="24"/>
        </w:rPr>
        <w:t xml:space="preserve">do </w:t>
      </w:r>
      <w:r w:rsidRPr="0023742D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6793977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5D0795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2426847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272843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5D0795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5D079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 oraz </w:t>
      </w:r>
      <w:r w:rsidR="001B4990">
        <w:rPr>
          <w:rFonts w:ascii="Tahoma" w:hAnsi="Tahoma" w:cs="Tahoma"/>
        </w:rPr>
        <w:t xml:space="preserve">ust. 10 i </w:t>
      </w:r>
      <w:r w:rsidRPr="0023742D">
        <w:rPr>
          <w:rFonts w:ascii="Tahoma" w:hAnsi="Tahoma" w:cs="Tahoma"/>
        </w:rPr>
        <w:t>ust. 1</w:t>
      </w:r>
      <w:r w:rsidR="005D0795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</w:t>
      </w:r>
      <w:r w:rsidRPr="0023742D">
        <w:rPr>
          <w:rFonts w:ascii="Tahoma" w:hAnsi="Tahoma" w:cs="Tahoma"/>
        </w:rPr>
        <w:lastRenderedPageBreak/>
        <w:t>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1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385EA0D6" w:rsidR="00617B77" w:rsidRPr="0023742D" w:rsidRDefault="00617B77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</w:t>
      </w:r>
      <w:r w:rsidR="59ABBC1C" w:rsidRPr="0023742D">
        <w:rPr>
          <w:rFonts w:ascii="Tahoma" w:hAnsi="Tahoma" w:cs="Tahoma"/>
        </w:rPr>
        <w:t>w</w:t>
      </w:r>
      <w:r w:rsidR="00B26E1A" w:rsidRPr="0023742D">
        <w:rPr>
          <w:rFonts w:ascii="Tahoma" w:hAnsi="Tahoma" w:cs="Tahoma"/>
        </w:rPr>
        <w:t xml:space="preserve"> </w:t>
      </w:r>
      <w:r w:rsidR="59ABBC1C" w:rsidRPr="0023742D">
        <w:rPr>
          <w:rFonts w:ascii="Tahoma" w:hAnsi="Tahoma" w:cs="Tahoma"/>
        </w:rPr>
        <w:t>(tym w</w:t>
      </w:r>
      <w:r w:rsidRPr="0023742D">
        <w:rPr>
          <w:rFonts w:ascii="Tahoma" w:hAnsi="Tahoma" w:cs="Tahoma"/>
        </w:rPr>
        <w:t xml:space="preserve"> SM EFS</w:t>
      </w:r>
      <w:r w:rsidR="00B26E1A" w:rsidRPr="0023742D">
        <w:rPr>
          <w:rFonts w:ascii="Tahoma" w:hAnsi="Tahoma" w:cs="Tahoma"/>
        </w:rPr>
        <w:t>),</w:t>
      </w:r>
      <w:r w:rsidRPr="0023742D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</w:t>
      </w:r>
      <w:r w:rsidRPr="0023742D">
        <w:rPr>
          <w:rFonts w:ascii="Tahoma" w:hAnsi="Tahoma" w:cs="Tahoma"/>
        </w:rPr>
        <w:lastRenderedPageBreak/>
        <w:t xml:space="preserve">zgodnie z procedurą określoną w Wytycznych, o których mowa w § 1 pkt </w:t>
      </w:r>
      <w:r w:rsidR="00403352" w:rsidRPr="0023742D">
        <w:rPr>
          <w:rFonts w:ascii="Tahoma" w:hAnsi="Tahoma" w:cs="Tahoma"/>
        </w:rPr>
        <w:t>32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zapewnia, </w:t>
      </w:r>
      <w:r w:rsidR="007815EE" w:rsidRPr="007815EE">
        <w:rPr>
          <w:rFonts w:ascii="Tahoma" w:hAnsi="Tahoma" w:cs="Tahoma"/>
        </w:rPr>
        <w:t>iż osoby, o których mowa w ust. 17, wykorzystują kwalifikowany podpis elektroniczny lub certyfikat niekwalifikowany generowany przez CST2021 (jako kod autoryzacyjny przesyłany na adres email danej osoby uprawnionej) do podpisywania wniosków o płatność w CST2021 zgodnie z ust. 10</w:t>
      </w:r>
      <w:r w:rsidRPr="0023742D">
        <w:rPr>
          <w:rFonts w:ascii="Tahoma" w:hAnsi="Tahoma" w:cs="Tahoma"/>
        </w:rPr>
        <w:t>.</w:t>
      </w:r>
    </w:p>
    <w:p w14:paraId="35589A25" w14:textId="36A1D66D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5D0795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9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6FE3A874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2</w:t>
      </w:r>
      <w:r w:rsidR="00796275" w:rsidRPr="0023742D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3941B948" w14:textId="510F0812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Przy przetwarzaniu danych osobowych beneficjent i/lub partner/</w:t>
      </w:r>
      <w:proofErr w:type="spellStart"/>
      <w:r w:rsidRPr="0082341B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82341B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lastRenderedPageBreak/>
        <w:t>IZ FESL i beneficjent są odrębnymi administratorami danych osobowych wskazanych w art. 87 ustawy, zgodnie z art. 88 ustawy wdrożeniowej.</w:t>
      </w:r>
    </w:p>
    <w:p w14:paraId="76F69720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82341B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Default="0082341B" w:rsidP="0082341B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b/>
        </w:rPr>
      </w:pPr>
      <w:r w:rsidRPr="0082341B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2D452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82341B">
        <w:rPr>
          <w:rFonts w:ascii="Tahoma" w:hAnsi="Tahoma" w:cs="Tahoma"/>
          <w:sz w:val="24"/>
          <w:szCs w:val="24"/>
          <w:lang w:eastAsia="pl-PL"/>
        </w:rPr>
        <w:t>.</w:t>
      </w:r>
      <w:r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19BAC19" w14:textId="77777777" w:rsidR="00C706B8" w:rsidRDefault="00C706B8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70233456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0BC25EBC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52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23742D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23742D">
        <w:rPr>
          <w:rFonts w:ascii="Tahoma" w:eastAsia="Calibri" w:hAnsi="Tahoma" w:cs="Tahoma"/>
          <w:sz w:val="24"/>
          <w:szCs w:val="24"/>
        </w:rPr>
        <w:t xml:space="preserve"> (w szczególności z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załącznikiem IX – Komunikacja i Widoczność) oraz zgodnie z wyciągiem z zapisów </w:t>
      </w:r>
      <w:r w:rsidRPr="0023742D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23742D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23742D">
        <w:rPr>
          <w:rFonts w:ascii="Tahoma" w:eastAsia="Calibri" w:hAnsi="Tahoma" w:cs="Tahoma"/>
          <w:sz w:val="24"/>
          <w:szCs w:val="24"/>
        </w:rPr>
        <w:t>r</w:t>
      </w:r>
      <w:r w:rsidR="00E15286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23742D">
        <w:rPr>
          <w:rFonts w:ascii="Tahoma" w:eastAsia="Calibri" w:hAnsi="Tahoma" w:cs="Tahoma"/>
          <w:sz w:val="24"/>
          <w:szCs w:val="24"/>
        </w:rPr>
        <w:t xml:space="preserve">5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bookmarkEnd w:id="52"/>
    <w:p w14:paraId="5C2695AF" w14:textId="626DFA23" w:rsidR="006250CA" w:rsidRPr="0023742D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23742D">
        <w:rPr>
          <w:rFonts w:ascii="Tahoma" w:eastAsia="Calibri" w:hAnsi="Tahoma" w:cs="Tahoma"/>
          <w:sz w:val="24"/>
          <w:szCs w:val="24"/>
        </w:rPr>
        <w:t xml:space="preserve">§ 6 ust. 1 </w:t>
      </w:r>
      <w:r w:rsidRPr="0023742D">
        <w:rPr>
          <w:rFonts w:ascii="Tahoma" w:eastAsia="Calibri" w:hAnsi="Tahoma" w:cs="Tahoma"/>
          <w:sz w:val="24"/>
          <w:szCs w:val="24"/>
        </w:rPr>
        <w:t>umowy</w:t>
      </w:r>
      <w:r w:rsidR="009C76BD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</w:t>
      </w:r>
      <w:r w:rsidR="006F0F88">
        <w:rPr>
          <w:rFonts w:ascii="Tahoma" w:eastAsia="Calibri" w:hAnsi="Tahoma" w:cs="Tahoma"/>
          <w:sz w:val="24"/>
          <w:szCs w:val="24"/>
        </w:rPr>
        <w:t xml:space="preserve">i </w:t>
      </w:r>
      <w:r w:rsidRPr="0023742D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40D9390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7646A2EE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A40915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3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53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76596890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3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6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</w:t>
      </w:r>
      <w:r w:rsidRPr="0023742D">
        <w:rPr>
          <w:rFonts w:ascii="Tahoma" w:hAnsi="Tahoma" w:cs="Tahoma"/>
        </w:rPr>
        <w:lastRenderedPageBreak/>
        <w:t xml:space="preserve">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6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3B617FE4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796275" w:rsidRPr="0023742D">
        <w:rPr>
          <w:rFonts w:ascii="Tahoma" w:hAnsi="Tahoma" w:cs="Tahoma"/>
          <w:b/>
          <w:iCs/>
        </w:rPr>
        <w:t>4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Default="2A11DF89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4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4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5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5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6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20"/>
      <w:bookmarkEnd w:id="56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7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32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58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8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11711DEE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</w:t>
      </w:r>
      <w:r w:rsidR="00D06803">
        <w:rPr>
          <w:rFonts w:ascii="Tahoma" w:hAnsi="Tahoma" w:cs="Tahoma"/>
        </w:rPr>
        <w:t>4</w:t>
      </w:r>
      <w:r w:rsidRPr="0023742D">
        <w:rPr>
          <w:rFonts w:ascii="Tahoma" w:hAnsi="Tahoma" w:cs="Tahoma"/>
        </w:rPr>
        <w:t xml:space="preserve"> i </w:t>
      </w:r>
      <w:r w:rsidR="00D06803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, </w:t>
      </w:r>
      <w:r w:rsidR="00D06803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2A0DF196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11</w:t>
      </w:r>
      <w:r w:rsidR="00796275" w:rsidRPr="0023742D">
        <w:rPr>
          <w:rFonts w:ascii="Tahoma" w:hAnsi="Tahoma" w:cs="Tahoma"/>
        </w:rPr>
        <w:t>.</w:t>
      </w:r>
    </w:p>
    <w:p w14:paraId="4E491382" w14:textId="6F69A33B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4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1E57B31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>4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9" w:name="_Ref477167878"/>
      <w:r w:rsidRPr="0023742D">
        <w:rPr>
          <w:rFonts w:ascii="Tahoma" w:hAnsi="Tahoma" w:cs="Tahoma"/>
        </w:rPr>
        <w:t>Niezależnie od podstawy prawnej r</w:t>
      </w:r>
      <w:r w:rsidR="00334478" w:rsidRPr="0023742D">
        <w:rPr>
          <w:rFonts w:ascii="Tahoma" w:hAnsi="Tahoma" w:cs="Tahoma"/>
        </w:rPr>
        <w:t xml:space="preserve">ozwiązanie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7, §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 ust. </w:t>
      </w:r>
      <w:r w:rsidR="006D29EB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1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13, § 14, </w:t>
      </w:r>
      <w:r w:rsidR="00334478" w:rsidRPr="0023742D">
        <w:rPr>
          <w:rFonts w:ascii="Tahoma" w:hAnsi="Tahoma" w:cs="Tahoma"/>
        </w:rPr>
        <w:t>§ 1</w:t>
      </w:r>
      <w:r w:rsidRPr="0023742D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D329FB">
        <w:rPr>
          <w:rFonts w:ascii="Tahoma" w:hAnsi="Tahoma" w:cs="Tahoma"/>
        </w:rPr>
        <w:t>§</w:t>
      </w:r>
      <w:r w:rsidR="00A85717">
        <w:rPr>
          <w:rFonts w:ascii="Tahoma" w:hAnsi="Tahoma" w:cs="Tahoma"/>
        </w:rPr>
        <w:t xml:space="preserve"> </w:t>
      </w:r>
      <w:r w:rsidR="00D329FB">
        <w:rPr>
          <w:rFonts w:ascii="Tahoma" w:hAnsi="Tahoma" w:cs="Tahoma"/>
        </w:rPr>
        <w:t xml:space="preserve">16,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18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21,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22</w:t>
      </w:r>
      <w:r w:rsidR="00334478" w:rsidRPr="0023742D">
        <w:rPr>
          <w:rFonts w:ascii="Tahoma" w:hAnsi="Tahoma" w:cs="Tahoma"/>
        </w:rPr>
        <w:t>, które zobowiązany jest on wykonywać w dalszym ciągu.</w:t>
      </w:r>
      <w:bookmarkEnd w:id="59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555611D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796275" w:rsidRPr="0023742D">
        <w:rPr>
          <w:rFonts w:ascii="Tahoma" w:hAnsi="Tahoma" w:cs="Tahoma"/>
          <w:b/>
        </w:rPr>
        <w:t>5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12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23742D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61689EBD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29</w:t>
      </w:r>
      <w:r w:rsidR="009F581B" w:rsidRPr="0023742D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E15286" w:rsidRPr="0023742D">
        <w:rPr>
          <w:rFonts w:ascii="Tahoma" w:hAnsi="Tahoma" w:cs="Tahoma"/>
        </w:rPr>
        <w:t>8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23742D">
        <w:rPr>
          <w:rFonts w:ascii="Tahoma" w:hAnsi="Tahoma" w:cs="Tahoma"/>
        </w:rPr>
        <w:t xml:space="preserve">załącznik nr </w:t>
      </w: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: Wyciąg </w:t>
      </w:r>
      <w:r w:rsidR="2C8AD3D4" w:rsidRPr="0023742D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5F9338A9" w14:textId="77777777" w:rsidR="0082341B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</w:p>
    <w:p w14:paraId="770870FD" w14:textId="5B122AE6" w:rsidR="00F67192" w:rsidRPr="0023742D" w:rsidRDefault="0082341B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>
        <w:rPr>
          <w:rFonts w:ascii="Tahoma" w:hAnsi="Tahoma" w:cs="Tahoma"/>
        </w:rPr>
        <w:lastRenderedPageBreak/>
        <w:t xml:space="preserve">8) </w:t>
      </w:r>
      <w:r w:rsidRPr="0082341B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60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60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headerReference w:type="default" r:id="rId29"/>
      <w:footerReference w:type="default" r:id="rId30"/>
      <w:headerReference w:type="first" r:id="rId31"/>
      <w:footerReference w:type="first" r:id="rId32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D098A" w14:textId="77777777" w:rsidR="0044614A" w:rsidRDefault="0044614A">
      <w:pPr>
        <w:spacing w:after="0" w:line="240" w:lineRule="auto"/>
      </w:pPr>
      <w:r>
        <w:separator/>
      </w:r>
    </w:p>
  </w:endnote>
  <w:endnote w:type="continuationSeparator" w:id="0">
    <w:p w14:paraId="3C195D2B" w14:textId="77777777" w:rsidR="0044614A" w:rsidRDefault="0044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9C78A" w14:textId="7E613DF3" w:rsidR="00E20476" w:rsidRDefault="00E2047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E70CC">
      <w:rPr>
        <w:noProof/>
      </w:rPr>
      <w:t>22</w:t>
    </w:r>
    <w:r>
      <w:fldChar w:fldCharType="end"/>
    </w:r>
  </w:p>
  <w:p w14:paraId="4208D0E0" w14:textId="77777777" w:rsidR="00E20476" w:rsidRDefault="00E2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258D68FD" w14:textId="77777777" w:rsidTr="00B80E0E">
      <w:tc>
        <w:tcPr>
          <w:tcW w:w="3061" w:type="dxa"/>
        </w:tcPr>
        <w:p w14:paraId="10732CA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E20476" w:rsidRDefault="00E20476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A4522" w14:textId="77777777" w:rsidR="0044614A" w:rsidRDefault="0044614A">
      <w:pPr>
        <w:spacing w:after="0" w:line="240" w:lineRule="auto"/>
      </w:pPr>
      <w:r>
        <w:separator/>
      </w:r>
    </w:p>
  </w:footnote>
  <w:footnote w:type="continuationSeparator" w:id="0">
    <w:p w14:paraId="53E0F8DC" w14:textId="77777777" w:rsidR="0044614A" w:rsidRDefault="0044614A">
      <w:pPr>
        <w:spacing w:after="0" w:line="240" w:lineRule="auto"/>
      </w:pPr>
      <w:r>
        <w:continuationSeparator/>
      </w:r>
    </w:p>
  </w:footnote>
  <w:footnote w:id="1">
    <w:p w14:paraId="709064EF" w14:textId="016CA1B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 w:rsidR="009B4B03"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="00D97A9D"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 w:rsidR="004F34A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E20476" w:rsidRPr="0046063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E20476" w:rsidRDefault="00E20476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E20476" w:rsidRDefault="00E20476">
      <w:pPr>
        <w:pStyle w:val="Tekstprzypisudolnego"/>
      </w:pPr>
    </w:p>
  </w:footnote>
  <w:footnote w:id="15">
    <w:p w14:paraId="425DCA3F" w14:textId="435B6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E20476" w:rsidRPr="001C214A" w:rsidRDefault="00E20476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6F181917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27EA08BD" w14:textId="23A21C10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 w:rsidR="00C01212"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 w:rsidR="00C01212"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B318DD" w:rsidRPr="00B318DD" w:rsidRDefault="00E20476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D3C1B"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="00B318DD"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B318DD" w:rsidRPr="00B318DD" w:rsidRDefault="00B318D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E20476" w:rsidRPr="00A51BA4" w:rsidRDefault="00B318D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 w:rsidR="004F2EDD"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E20476" w:rsidRPr="00CE6EE0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E20476" w:rsidRPr="009534D8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E20476" w:rsidRDefault="00E20476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E20476" w:rsidRDefault="00E20476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E20476" w:rsidRDefault="00E20476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E20476" w:rsidRDefault="00E20476">
      <w:pPr>
        <w:pStyle w:val="Tekstprzypisudolnego"/>
      </w:pPr>
    </w:p>
  </w:footnote>
  <w:footnote w:id="39">
    <w:p w14:paraId="02295DAE" w14:textId="24F13FCF" w:rsidR="00E20476" w:rsidRDefault="00E20476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E20476" w:rsidRPr="005217C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 w:rsidR="00692B3E"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2">
    <w:p w14:paraId="5435D36A" w14:textId="3FE960EC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E20476" w:rsidRPr="002E0221" w:rsidRDefault="00E20476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projektów, w których będzie udzielana pomoc publiczna i/lub pomoc de minimis przez IZ FESL i/lub beneficjenta / partnera, zgodnie z wnioskiem.</w:t>
      </w:r>
    </w:p>
  </w:footnote>
  <w:footnote w:id="45">
    <w:p w14:paraId="6B9B3388" w14:textId="5F18180B" w:rsidR="00E20476" w:rsidRPr="002E0221" w:rsidRDefault="00E20476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</w:t>
      </w:r>
      <w:r w:rsidR="002E0221" w:rsidRPr="002E0221">
        <w:rPr>
          <w:rFonts w:ascii="Tahoma" w:hAnsi="Tahoma" w:cs="Tahoma"/>
          <w:sz w:val="16"/>
          <w:szCs w:val="16"/>
        </w:rPr>
        <w:t>Dotyczy też pomocy udzielanej w ramach projektu przez beneficjenta/partnera, zgodnie z wnioskiem.</w:t>
      </w:r>
    </w:p>
  </w:footnote>
  <w:footnote w:id="46">
    <w:p w14:paraId="3DB6A57D" w14:textId="2F874675" w:rsidR="002E0221" w:rsidRPr="002E0221" w:rsidRDefault="002E0221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F416A1" w:rsidRPr="002B320A" w:rsidRDefault="00F416A1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>tym z wnioskiem o dofinansowanie przewidziana została dla nich pomoc de minimis,</w:t>
      </w:r>
    </w:p>
  </w:footnote>
  <w:footnote w:id="48">
    <w:p w14:paraId="3A5ADF26" w14:textId="06D0A0B1" w:rsidR="00E20476" w:rsidRPr="00032721" w:rsidRDefault="00E20476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E20476" w:rsidRPr="00032721" w:rsidRDefault="00E20476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E20476" w:rsidRPr="00032721" w:rsidRDefault="00E20476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E20476" w:rsidRDefault="00E20476">
      <w:pPr>
        <w:pStyle w:val="Tekstprzypisudolnego"/>
      </w:pPr>
    </w:p>
  </w:footnote>
  <w:footnote w:id="51">
    <w:p w14:paraId="2C6FDFF1" w14:textId="6E9D6E41" w:rsidR="00E20476" w:rsidRDefault="00E204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469"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 poz. 773).</w:t>
      </w:r>
    </w:p>
  </w:footnote>
  <w:footnote w:id="52">
    <w:p w14:paraId="6BA027E9" w14:textId="2ECAB9B5" w:rsidR="00E20476" w:rsidRPr="00853E94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53">
    <w:p w14:paraId="1F63A309" w14:textId="0FAB39D8" w:rsidR="00E20476" w:rsidRPr="00526FC6" w:rsidRDefault="00E2047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3F1584" w:rsidRPr="003F1584" w:rsidRDefault="00E20476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3F1584">
        <w:rPr>
          <w:rFonts w:ascii="Tahoma" w:hAnsi="Tahoma" w:cs="Tahoma"/>
          <w:sz w:val="16"/>
          <w:szCs w:val="16"/>
        </w:rPr>
        <w:t>W r</w:t>
      </w:r>
      <w:r w:rsidR="003F1584"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E20476" w:rsidRPr="006D29EB" w:rsidRDefault="003F1584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 w:rsidR="002E0221"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="00060F8D"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26834C9" w:rsidR="00E20476" w:rsidRDefault="00E20476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 w:rsidR="008615E1"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 w:rsidR="008615E1"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 w:rsidR="008615E1">
        <w:rPr>
          <w:rFonts w:ascii="Tahoma" w:hAnsi="Tahoma" w:cs="Tahoma"/>
          <w:sz w:val="16"/>
          <w:szCs w:val="16"/>
        </w:rPr>
        <w:t>t.j</w:t>
      </w:r>
      <w:proofErr w:type="spellEnd"/>
      <w:r w:rsidR="008615E1">
        <w:rPr>
          <w:rFonts w:ascii="Tahoma" w:hAnsi="Tahoma" w:cs="Tahoma"/>
          <w:sz w:val="16"/>
          <w:szCs w:val="16"/>
        </w:rPr>
        <w:t xml:space="preserve">. </w:t>
      </w:r>
      <w:r w:rsidRPr="006D29EB">
        <w:rPr>
          <w:rFonts w:ascii="Tahoma" w:hAnsi="Tahoma" w:cs="Tahoma"/>
          <w:sz w:val="16"/>
          <w:szCs w:val="16"/>
        </w:rPr>
        <w:t>Dz.U. z 2022 r. poz. 2509)</w:t>
      </w:r>
    </w:p>
  </w:footnote>
  <w:footnote w:id="59">
    <w:p w14:paraId="3000241C" w14:textId="3E8346DD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E20476" w:rsidRPr="006D29EB" w:rsidRDefault="00E20476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E20476" w:rsidRPr="00526FC6" w:rsidRDefault="00E20476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E20476" w:rsidRDefault="00E20476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E20476" w:rsidRPr="00526FC6" w:rsidRDefault="00E20476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E20476" w14:paraId="54545CB0" w14:textId="77777777" w:rsidTr="00B80E0E">
      <w:tc>
        <w:tcPr>
          <w:tcW w:w="3061" w:type="dxa"/>
        </w:tcPr>
        <w:p w14:paraId="638098C8" w14:textId="77777777" w:rsidR="00E20476" w:rsidRDefault="00E20476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E20476" w:rsidRDefault="00E20476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E20476" w:rsidRDefault="00E20476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E20476" w:rsidRDefault="00E20476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77270" w14:textId="248693B2" w:rsidR="00E20476" w:rsidRPr="00B6717D" w:rsidRDefault="00E20476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</w:t>
    </w:r>
    <w:r w:rsidR="00B97D79">
      <w:rPr>
        <w:noProof/>
        <w:sz w:val="18"/>
        <w:szCs w:val="18"/>
      </w:rPr>
      <w:t>2</w:t>
    </w:r>
    <w:r>
      <w:rPr>
        <w:noProof/>
        <w:sz w:val="18"/>
        <w:szCs w:val="18"/>
      </w:rPr>
      <w:t xml:space="preserve"> </w:t>
    </w:r>
    <w:r w:rsidRPr="00D64C93">
      <w:rPr>
        <w:noProof/>
        <w:sz w:val="18"/>
        <w:szCs w:val="18"/>
      </w:rPr>
      <w:t xml:space="preserve">do Uchwały nr </w:t>
    </w:r>
    <w:r w:rsidR="00B97D79">
      <w:rPr>
        <w:noProof/>
        <w:sz w:val="18"/>
        <w:szCs w:val="18"/>
      </w:rPr>
      <w:t>1528/94/VII/2025</w:t>
    </w:r>
    <w:r>
      <w:rPr>
        <w:noProof/>
        <w:sz w:val="18"/>
        <w:szCs w:val="18"/>
      </w:rPr>
      <w:t xml:space="preserve"> </w:t>
    </w:r>
    <w:r w:rsidRPr="00D64C93">
      <w:rPr>
        <w:noProof/>
        <w:sz w:val="18"/>
        <w:szCs w:val="18"/>
      </w:rPr>
      <w:t xml:space="preserve">Zarządu Województwa Śląskiego z dnia </w:t>
    </w:r>
    <w:r w:rsidR="00B97D79">
      <w:rPr>
        <w:noProof/>
        <w:sz w:val="18"/>
        <w:szCs w:val="18"/>
      </w:rPr>
      <w:t>09.07.2025 r.</w:t>
    </w:r>
    <w:r>
      <w:rPr>
        <w:noProof/>
        <w:sz w:val="18"/>
        <w:szCs w:val="18"/>
      </w:rPr>
      <w:t xml:space="preserve"> </w:t>
    </w:r>
    <w:r w:rsidRPr="00D64C93">
      <w:rPr>
        <w:noProof/>
        <w:sz w:val="18"/>
        <w:szCs w:val="18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1"/>
  </w:num>
  <w:num w:numId="2">
    <w:abstractNumId w:val="4"/>
  </w:num>
  <w:num w:numId="3">
    <w:abstractNumId w:val="23"/>
  </w:num>
  <w:num w:numId="4">
    <w:abstractNumId w:val="56"/>
  </w:num>
  <w:num w:numId="5">
    <w:abstractNumId w:val="6"/>
  </w:num>
  <w:num w:numId="6">
    <w:abstractNumId w:val="71"/>
  </w:num>
  <w:num w:numId="7">
    <w:abstractNumId w:val="39"/>
  </w:num>
  <w:num w:numId="8">
    <w:abstractNumId w:val="45"/>
  </w:num>
  <w:num w:numId="9">
    <w:abstractNumId w:val="70"/>
  </w:num>
  <w:num w:numId="10">
    <w:abstractNumId w:val="49"/>
  </w:num>
  <w:num w:numId="11">
    <w:abstractNumId w:val="63"/>
  </w:num>
  <w:num w:numId="12">
    <w:abstractNumId w:val="52"/>
  </w:num>
  <w:num w:numId="13">
    <w:abstractNumId w:val="54"/>
  </w:num>
  <w:num w:numId="14">
    <w:abstractNumId w:val="61"/>
  </w:num>
  <w:num w:numId="15">
    <w:abstractNumId w:val="44"/>
  </w:num>
  <w:num w:numId="16">
    <w:abstractNumId w:val="22"/>
  </w:num>
  <w:num w:numId="17">
    <w:abstractNumId w:val="10"/>
  </w:num>
  <w:num w:numId="18">
    <w:abstractNumId w:val="75"/>
  </w:num>
  <w:num w:numId="19">
    <w:abstractNumId w:val="12"/>
  </w:num>
  <w:num w:numId="20">
    <w:abstractNumId w:val="40"/>
  </w:num>
  <w:num w:numId="21">
    <w:abstractNumId w:val="65"/>
  </w:num>
  <w:num w:numId="22">
    <w:abstractNumId w:val="38"/>
  </w:num>
  <w:num w:numId="23">
    <w:abstractNumId w:val="53"/>
  </w:num>
  <w:num w:numId="24">
    <w:abstractNumId w:val="15"/>
  </w:num>
  <w:num w:numId="25">
    <w:abstractNumId w:val="82"/>
  </w:num>
  <w:num w:numId="26">
    <w:abstractNumId w:val="17"/>
  </w:num>
  <w:num w:numId="27">
    <w:abstractNumId w:val="24"/>
  </w:num>
  <w:num w:numId="28">
    <w:abstractNumId w:val="48"/>
  </w:num>
  <w:num w:numId="29">
    <w:abstractNumId w:val="66"/>
  </w:num>
  <w:num w:numId="30">
    <w:abstractNumId w:val="83"/>
  </w:num>
  <w:num w:numId="31">
    <w:abstractNumId w:val="73"/>
  </w:num>
  <w:num w:numId="32">
    <w:abstractNumId w:val="20"/>
  </w:num>
  <w:num w:numId="33">
    <w:abstractNumId w:val="26"/>
  </w:num>
  <w:num w:numId="34">
    <w:abstractNumId w:val="3"/>
  </w:num>
  <w:num w:numId="35">
    <w:abstractNumId w:val="7"/>
  </w:num>
  <w:num w:numId="36">
    <w:abstractNumId w:val="11"/>
  </w:num>
  <w:num w:numId="37">
    <w:abstractNumId w:val="19"/>
  </w:num>
  <w:num w:numId="38">
    <w:abstractNumId w:val="21"/>
  </w:num>
  <w:num w:numId="39">
    <w:abstractNumId w:val="27"/>
  </w:num>
  <w:num w:numId="40">
    <w:abstractNumId w:val="46"/>
  </w:num>
  <w:num w:numId="41">
    <w:abstractNumId w:val="51"/>
  </w:num>
  <w:num w:numId="42">
    <w:abstractNumId w:val="74"/>
  </w:num>
  <w:num w:numId="43">
    <w:abstractNumId w:val="76"/>
  </w:num>
  <w:num w:numId="44">
    <w:abstractNumId w:val="57"/>
  </w:num>
  <w:num w:numId="45">
    <w:abstractNumId w:val="14"/>
  </w:num>
  <w:num w:numId="46">
    <w:abstractNumId w:val="36"/>
  </w:num>
  <w:num w:numId="47">
    <w:abstractNumId w:val="47"/>
  </w:num>
  <w:num w:numId="48">
    <w:abstractNumId w:val="35"/>
  </w:num>
  <w:num w:numId="49">
    <w:abstractNumId w:val="80"/>
  </w:num>
  <w:num w:numId="50">
    <w:abstractNumId w:val="72"/>
  </w:num>
  <w:num w:numId="51">
    <w:abstractNumId w:val="58"/>
  </w:num>
  <w:num w:numId="52">
    <w:abstractNumId w:val="60"/>
  </w:num>
  <w:num w:numId="53">
    <w:abstractNumId w:val="30"/>
  </w:num>
  <w:num w:numId="54">
    <w:abstractNumId w:val="8"/>
  </w:num>
  <w:num w:numId="55">
    <w:abstractNumId w:val="13"/>
  </w:num>
  <w:num w:numId="56">
    <w:abstractNumId w:val="62"/>
  </w:num>
  <w:num w:numId="57">
    <w:abstractNumId w:val="43"/>
  </w:num>
  <w:num w:numId="58">
    <w:abstractNumId w:val="42"/>
  </w:num>
  <w:num w:numId="59">
    <w:abstractNumId w:val="67"/>
  </w:num>
  <w:num w:numId="60">
    <w:abstractNumId w:val="28"/>
  </w:num>
  <w:num w:numId="61">
    <w:abstractNumId w:val="33"/>
  </w:num>
  <w:num w:numId="62">
    <w:abstractNumId w:val="64"/>
  </w:num>
  <w:num w:numId="63">
    <w:abstractNumId w:val="9"/>
  </w:num>
  <w:num w:numId="64">
    <w:abstractNumId w:val="32"/>
  </w:num>
  <w:num w:numId="65">
    <w:abstractNumId w:val="0"/>
  </w:num>
  <w:num w:numId="66">
    <w:abstractNumId w:val="2"/>
  </w:num>
  <w:num w:numId="6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18"/>
  </w:num>
  <w:num w:numId="71">
    <w:abstractNumId w:val="50"/>
  </w:num>
  <w:num w:numId="72">
    <w:abstractNumId w:val="68"/>
  </w:num>
  <w:num w:numId="73">
    <w:abstractNumId w:val="81"/>
  </w:num>
  <w:num w:numId="74">
    <w:abstractNumId w:val="59"/>
  </w:num>
  <w:num w:numId="75">
    <w:abstractNumId w:val="37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7"/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9"/>
  </w:num>
  <w:num w:numId="81">
    <w:abstractNumId w:val="25"/>
  </w:num>
  <w:num w:numId="82">
    <w:abstractNumId w:val="78"/>
  </w:num>
  <w:num w:numId="83">
    <w:abstractNumId w:val="16"/>
  </w:num>
  <w:num w:numId="84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153E4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026F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4CD"/>
    <w:rsid w:val="000667CB"/>
    <w:rsid w:val="00067344"/>
    <w:rsid w:val="000679A6"/>
    <w:rsid w:val="00067A46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81D47"/>
    <w:rsid w:val="002823C7"/>
    <w:rsid w:val="00282F10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268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614A"/>
    <w:rsid w:val="00447FB4"/>
    <w:rsid w:val="004517B5"/>
    <w:rsid w:val="00453D80"/>
    <w:rsid w:val="00460634"/>
    <w:rsid w:val="00461302"/>
    <w:rsid w:val="00463FA6"/>
    <w:rsid w:val="0046430E"/>
    <w:rsid w:val="00467369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4762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6010C6"/>
    <w:rsid w:val="00602E69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36E"/>
    <w:rsid w:val="00627007"/>
    <w:rsid w:val="0062755B"/>
    <w:rsid w:val="0063007C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0347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48A6"/>
    <w:rsid w:val="008E6991"/>
    <w:rsid w:val="008E7851"/>
    <w:rsid w:val="008E7C49"/>
    <w:rsid w:val="008F1981"/>
    <w:rsid w:val="008F48B8"/>
    <w:rsid w:val="008F6499"/>
    <w:rsid w:val="008F7EF9"/>
    <w:rsid w:val="009024A5"/>
    <w:rsid w:val="00902772"/>
    <w:rsid w:val="009042C3"/>
    <w:rsid w:val="00904B86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8444C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B70B8"/>
    <w:rsid w:val="00AC0C39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5AF9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97D79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6C4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4F0D"/>
    <w:rsid w:val="00CE5B03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803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672"/>
    <w:rsid w:val="00DD679A"/>
    <w:rsid w:val="00DD717A"/>
    <w:rsid w:val="00DE10C4"/>
    <w:rsid w:val="00DE1277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0CC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9DB"/>
    <w:rsid w:val="00FA1DDE"/>
    <w:rsid w:val="00FA2EFD"/>
    <w:rsid w:val="00FA2F90"/>
    <w:rsid w:val="00FA4FAA"/>
    <w:rsid w:val="00FA52FB"/>
    <w:rsid w:val="00FA553B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B5-UNIT@ec.europa.eu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807E0D-9939-4496-BE01-AEBE8EFA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15064</Words>
  <Characters>90390</Characters>
  <Application>Microsoft Office Word</Application>
  <DocSecurity>0</DocSecurity>
  <Lines>753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dc:description/>
  <cp:lastModifiedBy>Milewicz Iwona</cp:lastModifiedBy>
  <cp:revision>3</cp:revision>
  <cp:lastPrinted>2023-04-13T12:23:00Z</cp:lastPrinted>
  <dcterms:created xsi:type="dcterms:W3CDTF">2025-07-10T08:47:00Z</dcterms:created>
  <dcterms:modified xsi:type="dcterms:W3CDTF">2025-07-10T08:49:00Z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