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19"/>
        <w:tblW w:w="9747" w:type="dxa"/>
        <w:tblLayout w:type="fixed"/>
        <w:tblLook w:val="04A0"/>
      </w:tblPr>
      <w:tblGrid>
        <w:gridCol w:w="3227"/>
        <w:gridCol w:w="6520"/>
      </w:tblGrid>
      <w:tr w:rsidR="007E5FBE" w:rsidRPr="003C219F" w:rsidTr="006C6970">
        <w:trPr>
          <w:trHeight w:hRule="exact" w:val="2438"/>
        </w:trPr>
        <w:tc>
          <w:tcPr>
            <w:tcW w:w="9747" w:type="dxa"/>
            <w:gridSpan w:val="2"/>
            <w:shd w:val="clear" w:color="auto" w:fill="auto"/>
          </w:tcPr>
          <w:p w:rsidR="007E5FBE" w:rsidRPr="003C219F" w:rsidRDefault="007E5FBE" w:rsidP="006C6970">
            <w:pPr>
              <w:pStyle w:val="Normalny1"/>
              <w:spacing w:line="268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  <w:p w:rsidR="007E5FBE" w:rsidRPr="003C219F" w:rsidRDefault="007E5FBE" w:rsidP="007E5FBE">
            <w:pPr>
              <w:pStyle w:val="Normalny1"/>
              <w:spacing w:line="26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3C219F" w:rsidTr="006C6970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ArialBold10i5"/>
              <w:rPr>
                <w:rFonts w:cs="Arial"/>
                <w:lang w:eastAsia="en-US"/>
              </w:rPr>
            </w:pPr>
            <w:r w:rsidRPr="003C219F">
              <w:rPr>
                <w:rFonts w:cs="Arial"/>
                <w:lang w:eastAsia="en-US"/>
              </w:rPr>
              <w:t>Umowa</w:t>
            </w:r>
          </w:p>
          <w:p w:rsidR="007E5FBE" w:rsidRPr="003C219F" w:rsidRDefault="007E5FBE" w:rsidP="006C6970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3C219F" w:rsidTr="006C6970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7E5FBE" w:rsidP="006C6970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</w:rPr>
            </w:pPr>
          </w:p>
        </w:tc>
      </w:tr>
      <w:tr w:rsidR="00667242" w:rsidRPr="003C219F" w:rsidTr="006C6970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zawarta w dniu</w:t>
            </w:r>
          </w:p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</w:rPr>
            </w:pPr>
            <w:r w:rsidRPr="003C219F">
              <w:rPr>
                <w:rFonts w:cs="Arial"/>
                <w:szCs w:val="21"/>
                <w:lang w:eastAsia="en-US"/>
              </w:rPr>
              <w:t>…………………………..….</w:t>
            </w:r>
          </w:p>
        </w:tc>
      </w:tr>
      <w:tr w:rsidR="00667242" w:rsidRPr="003C219F" w:rsidTr="006C6970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667242" w:rsidRPr="003C219F" w:rsidRDefault="00667242" w:rsidP="00667242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667242" w:rsidRPr="003C219F" w:rsidRDefault="00667242" w:rsidP="00667242">
            <w:pPr>
              <w:pStyle w:val="TimesRegular11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667242" w:rsidRPr="003C219F" w:rsidTr="006C6970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pomiędzy</w:t>
            </w:r>
          </w:p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</w:rPr>
            </w:pPr>
            <w:r w:rsidRPr="003C219F">
              <w:rPr>
                <w:rFonts w:cs="Arial"/>
                <w:szCs w:val="21"/>
              </w:rPr>
              <w:t>Województwem Śląskim, zwanym</w:t>
            </w:r>
            <w:r w:rsidR="00CE20A6">
              <w:rPr>
                <w:rFonts w:cs="Arial"/>
                <w:szCs w:val="21"/>
              </w:rPr>
              <w:t xml:space="preserve"> w dalszej części „Województwem”</w:t>
            </w:r>
          </w:p>
        </w:tc>
      </w:tr>
      <w:tr w:rsidR="00667242" w:rsidRPr="003C219F" w:rsidTr="006C6970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667242" w:rsidRPr="003C219F" w:rsidRDefault="00667242" w:rsidP="00667242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667242" w:rsidRPr="003C219F" w:rsidRDefault="00667242" w:rsidP="00667242">
            <w:pPr>
              <w:pStyle w:val="TimesRegular11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667242" w:rsidRPr="003C219F" w:rsidTr="006C6970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reprezentowanym przez Zarząd Województwa Śląskiego w osobach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1. ……………………………………………………………….………</w:t>
            </w:r>
            <w:r w:rsidR="00B4540D">
              <w:rPr>
                <w:rFonts w:cs="Arial"/>
                <w:szCs w:val="21"/>
                <w:lang w:eastAsia="en-US"/>
              </w:rPr>
              <w:t>.</w:t>
            </w:r>
            <w:r w:rsidRPr="003C219F">
              <w:rPr>
                <w:rFonts w:cs="Arial"/>
                <w:szCs w:val="21"/>
                <w:lang w:eastAsia="en-US"/>
              </w:rPr>
              <w:t>……</w:t>
            </w:r>
          </w:p>
          <w:p w:rsidR="00667242" w:rsidRPr="003C219F" w:rsidRDefault="00667242" w:rsidP="00667242">
            <w:pPr>
              <w:pStyle w:val="Arial105"/>
              <w:rPr>
                <w:rFonts w:cs="Arial"/>
                <w:szCs w:val="21"/>
              </w:rPr>
            </w:pPr>
            <w:r w:rsidRPr="003C219F">
              <w:rPr>
                <w:rFonts w:cs="Arial"/>
                <w:szCs w:val="21"/>
                <w:lang w:eastAsia="en-US"/>
              </w:rPr>
              <w:t>2. ……………………………………………………………………………..</w:t>
            </w:r>
          </w:p>
        </w:tc>
      </w:tr>
      <w:tr w:rsidR="007E5FBE" w:rsidRPr="003C219F" w:rsidTr="006C6970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3C219F" w:rsidTr="006C6970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z siedzibą</w:t>
            </w:r>
          </w:p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Ul. Ligonia 46, 40-037 Katowice</w:t>
            </w:r>
          </w:p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3C219F" w:rsidTr="006C6970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3C219F" w:rsidTr="006C6970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a</w:t>
            </w:r>
          </w:p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1D23F6" w:rsidRPr="00825704" w:rsidRDefault="001D23F6" w:rsidP="00667242">
            <w:pPr>
              <w:jc w:val="both"/>
              <w:rPr>
                <w:rFonts w:cs="Arial"/>
                <w:b/>
                <w:color w:val="000000"/>
              </w:rPr>
            </w:pPr>
            <w:r w:rsidRPr="00825704">
              <w:rPr>
                <w:rFonts w:cs="Arial"/>
                <w:b/>
                <w:color w:val="000000"/>
              </w:rPr>
              <w:t>Centrum Pulmonolo</w:t>
            </w:r>
            <w:r w:rsidR="00825704">
              <w:rPr>
                <w:rFonts w:cs="Arial"/>
                <w:b/>
                <w:color w:val="000000"/>
              </w:rPr>
              <w:t>gii i Torakochirurgii w Bystrej</w:t>
            </w:r>
          </w:p>
          <w:p w:rsidR="00667242" w:rsidRPr="003C219F" w:rsidRDefault="00667242" w:rsidP="00667242">
            <w:pPr>
              <w:jc w:val="both"/>
              <w:rPr>
                <w:rFonts w:cs="Arial"/>
              </w:rPr>
            </w:pPr>
            <w:r w:rsidRPr="003C219F">
              <w:rPr>
                <w:rFonts w:cs="Arial"/>
              </w:rPr>
              <w:t>wpisanym do rej</w:t>
            </w:r>
            <w:r w:rsidR="00FB6BD0">
              <w:rPr>
                <w:rFonts w:cs="Arial"/>
              </w:rPr>
              <w:t>estru sądo</w:t>
            </w:r>
            <w:r w:rsidR="00F23ACC">
              <w:rPr>
                <w:rFonts w:cs="Arial"/>
              </w:rPr>
              <w:t xml:space="preserve">wego pod numerem KRS: </w:t>
            </w:r>
            <w:r w:rsidR="001D23F6">
              <w:rPr>
                <w:rFonts w:cs="Arial"/>
              </w:rPr>
              <w:t>0000114709</w:t>
            </w:r>
          </w:p>
          <w:p w:rsidR="00667242" w:rsidRPr="003C219F" w:rsidRDefault="00667242" w:rsidP="00667242">
            <w:pPr>
              <w:jc w:val="both"/>
              <w:rPr>
                <w:rFonts w:cs="Arial"/>
              </w:rPr>
            </w:pPr>
            <w:r w:rsidRPr="003C219F">
              <w:rPr>
                <w:rFonts w:cs="Arial"/>
              </w:rPr>
              <w:t>reprezentowanym przez:</w:t>
            </w:r>
          </w:p>
          <w:p w:rsidR="00667242" w:rsidRPr="003C219F" w:rsidRDefault="00667242" w:rsidP="00667242">
            <w:pPr>
              <w:jc w:val="both"/>
              <w:rPr>
                <w:rFonts w:cs="Arial"/>
              </w:rPr>
            </w:pPr>
            <w:r w:rsidRPr="003C219F">
              <w:rPr>
                <w:rFonts w:cs="Arial"/>
              </w:rPr>
              <w:t xml:space="preserve">Dyrektora – </w:t>
            </w:r>
            <w:r w:rsidR="00622A80">
              <w:rPr>
                <w:rFonts w:cs="Arial"/>
              </w:rPr>
              <w:t>Urszul</w:t>
            </w:r>
            <w:r w:rsidR="00825704">
              <w:rPr>
                <w:rFonts w:cs="Arial"/>
              </w:rPr>
              <w:t>ę</w:t>
            </w:r>
            <w:r w:rsidR="00622A80">
              <w:rPr>
                <w:rFonts w:cs="Arial"/>
              </w:rPr>
              <w:t xml:space="preserve"> Kuc</w:t>
            </w:r>
          </w:p>
          <w:p w:rsidR="007E5FBE" w:rsidRPr="003C219F" w:rsidRDefault="00667242" w:rsidP="00667242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</w:rPr>
              <w:t xml:space="preserve">zwanym dalej </w:t>
            </w:r>
            <w:r w:rsidR="00886428" w:rsidRPr="003C219F">
              <w:rPr>
                <w:rFonts w:cs="Arial"/>
                <w:szCs w:val="21"/>
              </w:rPr>
              <w:t>„</w:t>
            </w:r>
            <w:r w:rsidR="007D53B6">
              <w:rPr>
                <w:rFonts w:cs="Arial"/>
                <w:szCs w:val="21"/>
              </w:rPr>
              <w:t>P</w:t>
            </w:r>
            <w:r w:rsidRPr="003C219F">
              <w:rPr>
                <w:rFonts w:cs="Arial"/>
                <w:szCs w:val="21"/>
              </w:rPr>
              <w:t>odmiotem leczniczym</w:t>
            </w:r>
            <w:r w:rsidR="00886428" w:rsidRPr="003C219F">
              <w:rPr>
                <w:rFonts w:cs="Arial"/>
                <w:szCs w:val="21"/>
              </w:rPr>
              <w:t>”</w:t>
            </w:r>
          </w:p>
        </w:tc>
      </w:tr>
      <w:tr w:rsidR="007E5FBE" w:rsidRPr="003C219F" w:rsidTr="006C6970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3C219F" w:rsidTr="006C6970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na podstawie</w:t>
            </w:r>
          </w:p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667242" w:rsidP="003C219F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</w:rPr>
              <w:t>Art. 41 ust. 1 ustawy z dnia 5 czerwca 1998 roku o samorządzie województwa (tekst jednolity: Dz. U. z 2016 r. poz. 486</w:t>
            </w:r>
            <w:r w:rsidR="003C219F">
              <w:rPr>
                <w:rFonts w:cs="Arial"/>
                <w:szCs w:val="21"/>
              </w:rPr>
              <w:t xml:space="preserve"> z późn. zm.</w:t>
            </w:r>
            <w:r w:rsidRPr="003C219F">
              <w:rPr>
                <w:rFonts w:cs="Arial"/>
                <w:szCs w:val="21"/>
              </w:rPr>
              <w:t>) oraz art. 114 ust. 1 pkt 3 ustawy</w:t>
            </w:r>
            <w:r w:rsidR="003C219F">
              <w:rPr>
                <w:rFonts w:cs="Arial"/>
                <w:szCs w:val="21"/>
              </w:rPr>
              <w:t xml:space="preserve"> z dnia 15 kwietnia 2011 roku o </w:t>
            </w:r>
            <w:r w:rsidRPr="003C219F">
              <w:rPr>
                <w:rFonts w:cs="Arial"/>
                <w:szCs w:val="21"/>
              </w:rPr>
              <w:t>działalności leczniczej (tekst jednolity: Dz. U. 201</w:t>
            </w:r>
            <w:r w:rsidR="0063227A" w:rsidRPr="003C219F">
              <w:rPr>
                <w:rFonts w:cs="Arial"/>
                <w:szCs w:val="21"/>
              </w:rPr>
              <w:t>6</w:t>
            </w:r>
            <w:r w:rsidRPr="003C219F">
              <w:rPr>
                <w:rFonts w:cs="Arial"/>
                <w:szCs w:val="21"/>
              </w:rPr>
              <w:t xml:space="preserve"> r. poz. </w:t>
            </w:r>
            <w:r w:rsidR="0063227A" w:rsidRPr="003C219F">
              <w:rPr>
                <w:rFonts w:cs="Arial"/>
                <w:szCs w:val="21"/>
              </w:rPr>
              <w:t>1638</w:t>
            </w:r>
            <w:r w:rsidR="00EA5F5E">
              <w:rPr>
                <w:rFonts w:cs="Arial"/>
                <w:szCs w:val="21"/>
              </w:rPr>
              <w:t xml:space="preserve"> z późn. zm.</w:t>
            </w:r>
            <w:r w:rsidRPr="003C219F">
              <w:rPr>
                <w:rFonts w:cs="Arial"/>
                <w:szCs w:val="21"/>
              </w:rPr>
              <w:t>).</w:t>
            </w:r>
          </w:p>
        </w:tc>
      </w:tr>
      <w:tr w:rsidR="007E5FBE" w:rsidRPr="003C219F" w:rsidTr="006C6970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3C219F" w:rsidTr="006C6970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dotycząca</w:t>
            </w:r>
          </w:p>
          <w:p w:rsidR="007E5FBE" w:rsidRPr="003C219F" w:rsidRDefault="007E5FBE" w:rsidP="006C6970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96A92" w:rsidRPr="00035351" w:rsidRDefault="00667242" w:rsidP="001C662B">
            <w:pPr>
              <w:tabs>
                <w:tab w:val="left" w:pos="360"/>
                <w:tab w:val="left" w:pos="709"/>
                <w:tab w:val="center" w:pos="5025"/>
                <w:tab w:val="right" w:pos="9561"/>
              </w:tabs>
              <w:overflowPunct w:val="0"/>
              <w:autoSpaceDE w:val="0"/>
              <w:spacing w:line="276" w:lineRule="auto"/>
              <w:ind w:right="141"/>
              <w:textAlignment w:val="baseline"/>
              <w:rPr>
                <w:rFonts w:cs="Arial"/>
              </w:rPr>
            </w:pPr>
            <w:r w:rsidRPr="003C219F">
              <w:rPr>
                <w:rFonts w:cs="Arial"/>
              </w:rPr>
              <w:t xml:space="preserve">Udzielenia dotacji na zadanie inwestycyjne pn. </w:t>
            </w:r>
            <w:r w:rsidR="00EA5F5E" w:rsidRPr="00EA5F5E">
              <w:rPr>
                <w:rFonts w:cs="Arial"/>
                <w:bCs/>
                <w:i/>
              </w:rPr>
              <w:t>„</w:t>
            </w:r>
            <w:r w:rsidR="001D23F6">
              <w:rPr>
                <w:rFonts w:cs="Arial"/>
                <w:i/>
                <w:color w:val="000000"/>
              </w:rPr>
              <w:t>Zakup koncentratorów tlenu przez Centrum Pulmonologii i Torakochirurgii w Bystrej</w:t>
            </w:r>
            <w:r w:rsidR="00514881">
              <w:rPr>
                <w:rFonts w:cs="Arial"/>
                <w:bCs/>
                <w:i/>
              </w:rPr>
              <w:t>”.</w:t>
            </w:r>
          </w:p>
          <w:p w:rsidR="007E5FBE" w:rsidRPr="00B97E7A" w:rsidRDefault="007E5FBE" w:rsidP="00496A92">
            <w:pPr>
              <w:rPr>
                <w:rFonts w:cs="Arial"/>
                <w:color w:val="000000"/>
              </w:rPr>
            </w:pPr>
          </w:p>
        </w:tc>
      </w:tr>
      <w:tr w:rsidR="007E5FBE" w:rsidRPr="003C219F" w:rsidTr="006C6970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3C219F" w:rsidRDefault="007E5FBE" w:rsidP="006C6970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FBE" w:rsidRPr="003C219F" w:rsidTr="006C6970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825704" w:rsidRDefault="00825704" w:rsidP="00667242">
            <w:pPr>
              <w:rPr>
                <w:rFonts w:cs="Arial"/>
              </w:rPr>
            </w:pP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§ 1</w:t>
            </w:r>
          </w:p>
          <w:p w:rsidR="00667242" w:rsidRPr="00CE536B" w:rsidRDefault="00CE536B" w:rsidP="001C662B">
            <w:pPr>
              <w:tabs>
                <w:tab w:val="left" w:pos="360"/>
                <w:tab w:val="left" w:pos="709"/>
                <w:tab w:val="center" w:pos="5025"/>
                <w:tab w:val="right" w:pos="9561"/>
              </w:tabs>
              <w:overflowPunct w:val="0"/>
              <w:autoSpaceDE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  <w:color w:val="000000"/>
                <w:lang w:eastAsia="pl-PL"/>
              </w:rPr>
              <w:t>1.</w:t>
            </w:r>
            <w:r w:rsidR="00667242" w:rsidRPr="003C219F">
              <w:rPr>
                <w:rFonts w:cs="Arial"/>
                <w:color w:val="000000"/>
                <w:lang w:eastAsia="pl-PL"/>
              </w:rPr>
              <w:t xml:space="preserve"> Województwo zobowiązuje się przekazać podmiotowi leczniczemu </w:t>
            </w:r>
            <w:r w:rsidR="00667242" w:rsidRPr="00DD2531">
              <w:rPr>
                <w:rFonts w:cs="Arial"/>
                <w:color w:val="000000"/>
                <w:lang w:eastAsia="pl-PL"/>
              </w:rPr>
              <w:t>dotację celową do kwoty</w:t>
            </w:r>
            <w:r w:rsidR="00337B66">
              <w:rPr>
                <w:rFonts w:cs="Arial"/>
                <w:color w:val="000000"/>
                <w:lang w:eastAsia="pl-PL"/>
              </w:rPr>
              <w:t xml:space="preserve">                 </w:t>
            </w:r>
            <w:r w:rsidR="00622A80">
              <w:rPr>
                <w:rFonts w:cs="Arial"/>
                <w:color w:val="000000"/>
                <w:lang w:eastAsia="pl-PL"/>
              </w:rPr>
              <w:t>200 000</w:t>
            </w:r>
            <w:r w:rsidR="00514881">
              <w:rPr>
                <w:rFonts w:cs="Arial"/>
                <w:color w:val="000000"/>
                <w:lang w:eastAsia="pl-PL"/>
              </w:rPr>
              <w:t>,00</w:t>
            </w:r>
            <w:r w:rsidR="000613FA">
              <w:rPr>
                <w:bCs/>
              </w:rPr>
              <w:t xml:space="preserve"> </w:t>
            </w:r>
            <w:r w:rsidR="00EA5F5E" w:rsidRPr="00EA5F5E">
              <w:rPr>
                <w:bCs/>
              </w:rPr>
              <w:t xml:space="preserve">zł </w:t>
            </w:r>
            <w:r w:rsidR="00886428" w:rsidRPr="00DD2531">
              <w:rPr>
                <w:rFonts w:cs="Arial"/>
                <w:bCs/>
              </w:rPr>
              <w:t xml:space="preserve">(słownie: </w:t>
            </w:r>
            <w:r w:rsidR="00622A80">
              <w:t>dwieście tysięcy złotych</w:t>
            </w:r>
            <w:r w:rsidR="00886428" w:rsidRPr="00DD2531">
              <w:rPr>
                <w:rFonts w:cs="Arial"/>
                <w:bCs/>
              </w:rPr>
              <w:t>)</w:t>
            </w:r>
            <w:r w:rsidR="00667242" w:rsidRPr="00DD2531">
              <w:rPr>
                <w:rFonts w:cs="Arial"/>
                <w:color w:val="000000"/>
                <w:lang w:eastAsia="pl-PL"/>
              </w:rPr>
              <w:t xml:space="preserve">, jednak nie więcej niż </w:t>
            </w:r>
            <w:r w:rsidR="00622A80">
              <w:rPr>
                <w:rFonts w:cs="Arial"/>
                <w:color w:val="000000"/>
                <w:lang w:eastAsia="pl-PL"/>
              </w:rPr>
              <w:t>99,11</w:t>
            </w:r>
            <w:r w:rsidR="00667242" w:rsidRPr="00DD2531">
              <w:rPr>
                <w:rFonts w:cs="Arial"/>
                <w:color w:val="000000"/>
                <w:lang w:eastAsia="pl-PL"/>
              </w:rPr>
              <w:t>% kosztów zadania inwestycyjnego, z przeznaczeniem na dofinansowanie zadania inwestycyjnego pn.:</w:t>
            </w:r>
            <w:r w:rsidRPr="00437D10">
              <w:rPr>
                <w:rFonts w:cs="Arial"/>
              </w:rPr>
              <w:t xml:space="preserve"> </w:t>
            </w:r>
            <w:r w:rsidR="00AF4DDB">
              <w:rPr>
                <w:rFonts w:cs="Arial"/>
              </w:rPr>
              <w:t>„</w:t>
            </w:r>
            <w:r w:rsidR="001D23F6">
              <w:rPr>
                <w:rFonts w:cs="Arial"/>
                <w:i/>
                <w:color w:val="000000"/>
              </w:rPr>
              <w:t>Zakup koncentratorów tlenu przez Centrum Pulmonologii i Torakochirurgii w Bystrej</w:t>
            </w:r>
            <w:r w:rsidR="009A77CF">
              <w:rPr>
                <w:rFonts w:cs="Arial"/>
                <w:bCs/>
                <w:i/>
              </w:rPr>
              <w:t>”</w:t>
            </w:r>
            <w:r w:rsidR="00B836F3">
              <w:rPr>
                <w:rFonts w:cs="Arial"/>
                <w:bCs/>
                <w:i/>
              </w:rPr>
              <w:t>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 xml:space="preserve">2. Harmonogram rzeczowo - finansowy zadania stanowi </w:t>
            </w:r>
            <w:r w:rsidRPr="003C219F">
              <w:rPr>
                <w:rFonts w:cs="Arial"/>
                <w:b/>
              </w:rPr>
              <w:t>załącznik nr 1</w:t>
            </w:r>
            <w:r w:rsidRPr="003C219F">
              <w:rPr>
                <w:rFonts w:cs="Arial"/>
              </w:rPr>
              <w:t xml:space="preserve"> do umowy.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3. Wszelkie zmiany w harmonogramie rzeczowo-finansowym w zakresie planowanych kwot dotyczących poszczególnych elementów realizowanych robót lub dostaw przekraczające 20% wartości ustalonej przy zawieraniu umowy wymagają zgody Województwa.</w:t>
            </w:r>
          </w:p>
          <w:p w:rsidR="0008445C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lastRenderedPageBreak/>
              <w:t>4. Dyrektor zobowiązany jest do uzasadnienia różnicy pomiędzy kwotą planowaną a uzyskaną ostatecznie po przeprowadzeniu postępowania zgodnie z ustawą – Prawo zamówień publicznych</w:t>
            </w:r>
            <w:r w:rsidR="00F956C1">
              <w:rPr>
                <w:rFonts w:cs="Arial"/>
              </w:rPr>
              <w:t>.</w:t>
            </w:r>
          </w:p>
          <w:p w:rsidR="00E60390" w:rsidRDefault="00E60390" w:rsidP="00667242">
            <w:pPr>
              <w:rPr>
                <w:rFonts w:cs="Arial"/>
              </w:rPr>
            </w:pP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§ 2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1. Podmiot leczniczy oświadcza, że realizacja zadania będącego przedmiotem umowy nastąpi w trybie postępowania przeprowadzonego zgodnie z ustawą – Prawo zamówień publicznych.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2. Podmiot leczniczy ponosi odpowiedzialność za przebieg procesu inwestycyjnego.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3. Zobowiązuje się Dyrektora podmiotu leczniczego do przeprowadzenia procesu inwestycyjnego w sposób celowy, rzetelny i legalny.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4. Podmiot leczniczy oświadcza, że nie podlega wykluczeniu z prawa otrzymania dotacji na mocy ustawy o finansach publicznych.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5. Ze środków otrzymanych od Województwa nie mogą być pokryte następujące wydatki: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a) odsetki,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b) koszt nadzoru inwestorskiego,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c) koszt procedur przetargowych,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d) koszt remontów nie będących ulepszeniem środka trwałego rozumianym jako: przebudowa, rozbudowa, rekonstrukcja, adaptacja i modernizacja,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e) koszt szkoleń pracowników,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f) koszty osobowe zakładu,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g) inne koszty poniesione przez podmiot leczniczy, które nie są w sposób ścisły związane z realizacją zadania określonego w § 1.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br w:type="column"/>
              <w:t>§ 3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 xml:space="preserve">1. Podmiot leczniczy niezwłocznie po rozstrzygnięciu postępowania na udzielenie zamówienia publicznego na przedmiot zamówienia finansowany ze środków dotacji celowej przekaże do Województwa harmonogram finansowania, w którym podana zostanie ostateczna wartość dotowanego zadania z elementami stanowiącymi podstawę do rozliczenia częściowego i ostatecznego w określonych terminach. Wartość finansowania poszczególnych elementów zadania inwestycyjnego ze środków Województwa Śląskiego podaje się w pełnych złotych. Wzór harmonogramu stanowi </w:t>
            </w:r>
            <w:r w:rsidRPr="003C219F">
              <w:rPr>
                <w:rFonts w:cs="Arial"/>
                <w:b/>
              </w:rPr>
              <w:t>załącznik nr 2</w:t>
            </w:r>
            <w:r w:rsidRPr="003C219F">
              <w:rPr>
                <w:rFonts w:cs="Arial"/>
              </w:rPr>
              <w:t xml:space="preserve"> do umowy. Wykazane w załączniku nr 2 elementy zadania muszą być tożsame z załącznikiem nr 1. Zakład zobowiązany jest do złożenia pisemnych wyjaśnień w przypadku zmiany wartości poszczególnych elementów rozliczenia zadania inwestycyjnego.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2. Środki finansowe określone w §1 przekazywane będą na rachunek bankowy podmiotu leczniczego na podstawie wniosków częściowych oraz końcowego składanych przez podmiot leczniczy, zgodnie z załącznikiem nr 2 stanowiącym harmonogram rzeczowo − finansowy.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3. Zobowiązuje się podmiot leczniczy do przedkładania wniosków o których mowa w ust. 2 w terminie umożliwiającym przekazanie środków z Województwa i dokonanie płatności za wykonany element rozliczeniowy, zgodnie z terminem ustalonym z wykonawcą zadania.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 xml:space="preserve">4. Do wniosku podmiot leczniczy  dołączy potwierdzone za zgodność z oryginałem kserokopie faktur opisanych i zatwierdzonych zgodnie z obowiązującymi przepisami wraz z protokołem odbioru (częściowym, końcowym), dokumentem przyjęcia środka trwałego (OT) lub oświadczeniem dyrektora w zakresie przedłożenia dokumentu przyjęcia środka trwałego po zakończeniu procesu inwestycyjnego, z zgodnie z Zasadami udzielania dotacji na podstawie których zawierana jest umowa, pozwoleniem na użytkowanie obiektu oraz wypełnioną tabelę stanowiącą </w:t>
            </w:r>
            <w:r w:rsidRPr="003C219F">
              <w:rPr>
                <w:rFonts w:cs="Arial"/>
                <w:b/>
              </w:rPr>
              <w:t>załącznik nr 3</w:t>
            </w:r>
            <w:r w:rsidRPr="003C219F">
              <w:rPr>
                <w:rFonts w:cs="Arial"/>
              </w:rPr>
              <w:t xml:space="preserve"> do niniejszej umowy. Na oryginale faktury należy określić wysokość kwot płatnych ze środków otrzymanych na podstawie niniejszej umowy oraz wskazać tryb zamówienia zgodnie z ustawą Prawo zamówień publicznych. 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5. Podmiot leczniczy składając wniosek o środki finansowe w ramach dotacji zobowiązany jest do przedłożenia do wglądu w Wydziale Zdrowia i Polityki Społecznej Urzędu Marszałkowskiego Województwa Śląskiego oryginału faktury wraz z protokołem odbioru i dokumentem przyjęcia środka trwałego lub oświadczeniem dyrektora w zakresie przedłożenia dokumentu po zakończonym procesie inwestycyjnym. Na oryginale faktury Województwo umieszcza zapis, że faktura przyjęta jest do rozliczenia do umowy nr …., z dnia….. z Województwem Śląskim. Brak oryginału faktury przy złożeniu wniosku o płatność powoduje pozostaw</w:t>
            </w:r>
            <w:r w:rsidR="0075347D" w:rsidRPr="003C219F">
              <w:rPr>
                <w:rFonts w:cs="Arial"/>
              </w:rPr>
              <w:t>ienie wniosku bez rozpatrzenia.</w:t>
            </w:r>
          </w:p>
          <w:p w:rsidR="00667242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6. Rozliczeniu nie podlegają dokumenty potwierdzające wykonanie zadania inwestycyjnego wystawione przed datą zawarcia umowy.</w:t>
            </w:r>
          </w:p>
          <w:p w:rsidR="00F74EFD" w:rsidRPr="003C219F" w:rsidRDefault="00F74EFD" w:rsidP="00667242">
            <w:pPr>
              <w:rPr>
                <w:rFonts w:cs="Arial"/>
              </w:rPr>
            </w:pPr>
          </w:p>
          <w:p w:rsidR="0023267C" w:rsidRPr="005564F0" w:rsidRDefault="00667242" w:rsidP="00667242">
            <w:pPr>
              <w:spacing w:line="268" w:lineRule="exact"/>
              <w:rPr>
                <w:rFonts w:cs="Arial"/>
                <w:b/>
                <w:bCs/>
              </w:rPr>
            </w:pPr>
            <w:r w:rsidRPr="003C219F">
              <w:rPr>
                <w:rFonts w:cs="Arial"/>
                <w:bCs/>
                <w:color w:val="000000"/>
              </w:rPr>
              <w:lastRenderedPageBreak/>
              <w:t>7. Wniosek końcowy podmiot leczniczy zobowiązany jest przedstawić Województwu w terminie do</w:t>
            </w:r>
            <w:r w:rsidRPr="003C219F">
              <w:rPr>
                <w:rFonts w:cs="Arial"/>
                <w:b/>
                <w:bCs/>
                <w:color w:val="000000"/>
              </w:rPr>
              <w:t> </w:t>
            </w:r>
            <w:r w:rsidR="00B3153C">
              <w:rPr>
                <w:rFonts w:cs="Arial"/>
                <w:b/>
                <w:bCs/>
              </w:rPr>
              <w:t>15</w:t>
            </w:r>
            <w:r w:rsidRPr="003C219F">
              <w:rPr>
                <w:rFonts w:cs="Arial"/>
                <w:b/>
                <w:bCs/>
              </w:rPr>
              <w:t> </w:t>
            </w:r>
            <w:r w:rsidR="00970CA2">
              <w:rPr>
                <w:rFonts w:cs="Arial"/>
                <w:b/>
                <w:bCs/>
              </w:rPr>
              <w:t>grudnia</w:t>
            </w:r>
            <w:r w:rsidRPr="003C219F">
              <w:rPr>
                <w:rFonts w:cs="Arial"/>
                <w:b/>
                <w:bCs/>
              </w:rPr>
              <w:t xml:space="preserve"> 201</w:t>
            </w:r>
            <w:r w:rsidR="000352E7">
              <w:rPr>
                <w:rFonts w:cs="Arial"/>
                <w:b/>
                <w:bCs/>
              </w:rPr>
              <w:t>7</w:t>
            </w:r>
            <w:r w:rsidRPr="003C219F">
              <w:rPr>
                <w:rFonts w:cs="Arial"/>
                <w:b/>
                <w:bCs/>
              </w:rPr>
              <w:t xml:space="preserve"> roku</w:t>
            </w:r>
            <w:r w:rsidRPr="003B0FAA">
              <w:rPr>
                <w:rFonts w:cs="Arial"/>
                <w:b/>
                <w:bCs/>
              </w:rPr>
              <w:t>.</w:t>
            </w:r>
          </w:p>
          <w:p w:rsidR="00BF1F26" w:rsidRDefault="00667242" w:rsidP="00667242">
            <w:r w:rsidRPr="003C219F">
              <w:rPr>
                <w:rFonts w:cs="Arial"/>
              </w:rPr>
              <w:t xml:space="preserve">8. </w:t>
            </w:r>
            <w:r w:rsidR="00BF1F26">
              <w:t xml:space="preserve">Województwo przekaże środki finansowe na rachunek bankowy podmiotu leczniczego po zaakceptowaniu wniosku, o którym mowa w ust. 2, nie później niż </w:t>
            </w:r>
            <w:r w:rsidR="00970CA2">
              <w:t>31 grudnia 2017 roku.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9. Jeśli treść wniosku nie pozwala ustalić, czy jest on zgodny z postanowieniami umowy, Województwo zwróci się do podmiotu leczniczego o udzielenie niezbędnych wyjaśnień. Bieg terminu, o którym mowa w ust. 8 rozpoczyna się z dniem złożenia kompletnych wyjaśnień.</w:t>
            </w:r>
          </w:p>
          <w:p w:rsidR="00A004EE" w:rsidRPr="00A004EE" w:rsidRDefault="00667242" w:rsidP="00667242">
            <w:pPr>
              <w:rPr>
                <w:rFonts w:cs="Arial"/>
                <w:b/>
              </w:rPr>
            </w:pPr>
            <w:r w:rsidRPr="003C219F">
              <w:rPr>
                <w:rFonts w:cs="Arial"/>
              </w:rPr>
              <w:t>10. W terminie 7 dni od daty otrzymania środków finansowych podmiot leczniczy przekaże Województwu bankowe potwierdzenie przekazania środków finansowych na konto dostawcy (wykonawcy). Przekazanie środków finansowych na konto dostawcy musi nastąpić nie później niż</w:t>
            </w:r>
            <w:r w:rsidR="0075347D" w:rsidRPr="003C219F">
              <w:rPr>
                <w:rFonts w:cs="Arial"/>
              </w:rPr>
              <w:t xml:space="preserve"> do </w:t>
            </w:r>
            <w:r w:rsidRPr="003C219F">
              <w:rPr>
                <w:rFonts w:cs="Arial"/>
                <w:b/>
              </w:rPr>
              <w:t>31 grudnia 201</w:t>
            </w:r>
            <w:r w:rsidR="000352E7">
              <w:rPr>
                <w:rFonts w:cs="Arial"/>
                <w:b/>
                <w:bCs/>
              </w:rPr>
              <w:t>7</w:t>
            </w:r>
            <w:r w:rsidRPr="003C219F">
              <w:rPr>
                <w:rFonts w:cs="Arial"/>
                <w:b/>
              </w:rPr>
              <w:t xml:space="preserve"> roku.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 xml:space="preserve">11. Podmiot leczniczy zobowiązany jest do przekazania Województwu comiesięcznego raportu z wykorzystania dotacji, którego wzór stanowi </w:t>
            </w:r>
            <w:r w:rsidRPr="003C219F">
              <w:rPr>
                <w:rFonts w:cs="Arial"/>
                <w:b/>
              </w:rPr>
              <w:t>załącznik nr 4</w:t>
            </w:r>
            <w:r w:rsidRPr="003C219F">
              <w:rPr>
                <w:rFonts w:cs="Arial"/>
              </w:rPr>
              <w:t xml:space="preserve"> do umowy oraz do przekazania informacji opisowej o wszelkich zdarzeniach mających wpływ na przebieg procesu inwestycyjnego. Opisowe sprawozdanie końcowe należy złożyć do </w:t>
            </w:r>
            <w:r w:rsidRPr="003C219F">
              <w:rPr>
                <w:rFonts w:cs="Arial"/>
                <w:b/>
              </w:rPr>
              <w:t>31 grudnia 201</w:t>
            </w:r>
            <w:r w:rsidR="000352E7">
              <w:rPr>
                <w:rFonts w:cs="Arial"/>
                <w:b/>
                <w:bCs/>
              </w:rPr>
              <w:t>7</w:t>
            </w:r>
            <w:r w:rsidRPr="003C219F">
              <w:rPr>
                <w:rFonts w:cs="Arial"/>
                <w:b/>
              </w:rPr>
              <w:t xml:space="preserve"> roku.</w:t>
            </w:r>
          </w:p>
          <w:p w:rsidR="00667242" w:rsidRPr="003C219F" w:rsidRDefault="00667242" w:rsidP="00667242">
            <w:pPr>
              <w:spacing w:line="268" w:lineRule="exact"/>
              <w:rPr>
                <w:rFonts w:cs="Arial"/>
                <w:color w:val="000000"/>
              </w:rPr>
            </w:pPr>
            <w:r w:rsidRPr="003C219F">
              <w:rPr>
                <w:rFonts w:cs="Arial"/>
                <w:color w:val="000000"/>
              </w:rPr>
              <w:t>W sprawozdaniu końcowym należy wskazać przewidywany termin oddania do użytku przeprowadzonej inwestycji, uruchomienia zakupionej aparatury medycznej, ze wskazaniem efektu rzeczowego i finansowego uzyskanego dzięki przekazanej dotacji. Oddanie do użytku przeprowadzonej inwestycji lub uruchomienie zakupionej aparatury powinno nastąpić nie później niż w ciągu 6 miesięcy od zakończenia zadania. Kserokopię protokołu odbioru końcowego i protokołu przyjęcia środka trwałego potwierdzoną za zgodność z oryginałem Dyrektor jednostki przekazuje do Wydziału Zdrowia i Polityki Społecznej niezwłocznie po odbiorze końcowym zadania oraz uzyskaniu pozwolenia na użytkowanie.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12. Rozliczenie udzielonej podmiotowi leczniczemu Zakładowi dotacji następuje w oparciu o art. 116 ust. 3 ustawy o działalności leczniczej w terminie do 31 marca roku następującego po roku, w którym udzielona jest dotacja. Dyrektor podmiotu leczniczego w terminie wskazanym powyżej składa stosowne oświadczenie o wysokości współczynnika Pn uwzględniającego przychody podmiotu leczniczego uzyskane w roku obrotowym, w którym udzielona jest dotacja.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13. Zwrot przez podmiot leczniczy środków finansowych otrzymanych w ramach dotacji zgodnie z art. 116 ust. 3 ustawy o działalności leczniczej „podmiot wykonujący działalność leczniczą, który uzyskał środki publiczne na realizację zadania, w odniesieniu do wydatków inwestycyjnych (…) jest obowiązany dokonać zwrotu otrzymanych środków w kwocie przewyższającej wartość iloczynu kosztów rzeczywistych realizacji zadania i współczynnika Pn, a w przypadku wyższych kosztów rzeczywistych od kosztów planowanych − kosztów planowanych i współczynnika Pn”.</w:t>
            </w:r>
          </w:p>
          <w:p w:rsidR="00667242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14. W przypadku braku zwrotu środków o których mowa ust. 13 w terminie do 31 marca roku następującego po roku, w którym udzielona jest dotacja nalicza się odsetki zgodnie z ustawą o finansach publicznych.</w:t>
            </w:r>
          </w:p>
          <w:p w:rsidR="00A004EE" w:rsidRPr="003C219F" w:rsidRDefault="00A004EE" w:rsidP="00667242">
            <w:pPr>
              <w:rPr>
                <w:rFonts w:cs="Arial"/>
              </w:rPr>
            </w:pPr>
            <w:r>
              <w:rPr>
                <w:rFonts w:cs="Arial"/>
              </w:rPr>
              <w:t>15. Po</w:t>
            </w:r>
            <w:r w:rsidR="003D4FC4">
              <w:rPr>
                <w:rFonts w:cs="Arial"/>
              </w:rPr>
              <w:t>dmiot leczniczy zobowiązuje się</w:t>
            </w:r>
            <w:r>
              <w:rPr>
                <w:rFonts w:cs="Arial"/>
              </w:rPr>
              <w:t>, w przypadku osiągnięcia dochodu z tytułu kar umownych, do jego zwrotu na rachunek ban</w:t>
            </w:r>
            <w:r w:rsidR="003D4FC4">
              <w:rPr>
                <w:rFonts w:cs="Arial"/>
              </w:rPr>
              <w:t>kowy wskazany przez Województwo</w:t>
            </w:r>
            <w:r>
              <w:rPr>
                <w:rFonts w:cs="Arial"/>
              </w:rPr>
              <w:t>, propo</w:t>
            </w:r>
            <w:r w:rsidR="00825704">
              <w:rPr>
                <w:rFonts w:cs="Arial"/>
              </w:rPr>
              <w:t>rcjonalnie do udziału dotacji w </w:t>
            </w:r>
            <w:r>
              <w:rPr>
                <w:rFonts w:cs="Arial"/>
              </w:rPr>
              <w:t xml:space="preserve">kosztach inwestycji, w terminie </w:t>
            </w:r>
            <w:r w:rsidR="003D4FC4">
              <w:rPr>
                <w:rFonts w:cs="Arial"/>
              </w:rPr>
              <w:t>7 dni od daty wpływu dochodu na rachunek podmiotu leczniczego.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§ 4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1. Województwo zastrzega sobie prawo do nadzorowania i kontroli sposobu wykonania umowy.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2. W przypadku zaistnienia okoliczności wskazujących na wykorzystanie dotacji niezgodnie z przeznaczeniem, pobrania jej nienależnie lub w nadmiernej wysokości wszczyna się postępowanie w/s prawidłowości wykorzystania dotacji.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3. W przypadku stwierdzania, że dotacja wykorzystana została niezgodnie z przeznaczeniem, pobrania jej nienależnie lub w nadmiernej wysokości, podmiot leczniczy zobowiązany jest do jej zwrotu wraz z odsetkami naliczonymi zgodnie z zapisami ustawy o finansach publicznych.</w:t>
            </w:r>
          </w:p>
          <w:p w:rsidR="008D6DF1" w:rsidRPr="003C219F" w:rsidRDefault="008D6DF1" w:rsidP="00667242">
            <w:pPr>
              <w:rPr>
                <w:rFonts w:cs="Arial"/>
              </w:rPr>
            </w:pP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§ 5</w:t>
            </w:r>
          </w:p>
          <w:p w:rsidR="00667242" w:rsidRPr="003C219F" w:rsidRDefault="00667242" w:rsidP="00667242">
            <w:pPr>
              <w:spacing w:line="268" w:lineRule="exact"/>
              <w:rPr>
                <w:rFonts w:cs="Arial"/>
                <w:bCs/>
                <w:color w:val="000000"/>
              </w:rPr>
            </w:pPr>
            <w:r w:rsidRPr="003C219F">
              <w:rPr>
                <w:rFonts w:cs="Arial"/>
                <w:bCs/>
                <w:color w:val="000000"/>
              </w:rPr>
              <w:t xml:space="preserve">1. Podmiot leczniczy traci prawo do dotacji (w całości lub w części) w przypadku nie złożenia wniosku końcowego w terminie do </w:t>
            </w:r>
            <w:r w:rsidR="00B3153C">
              <w:rPr>
                <w:rFonts w:cs="Arial"/>
                <w:b/>
                <w:bCs/>
              </w:rPr>
              <w:t>15</w:t>
            </w:r>
            <w:r w:rsidRPr="003C219F">
              <w:rPr>
                <w:rFonts w:cs="Arial"/>
                <w:b/>
                <w:bCs/>
              </w:rPr>
              <w:t xml:space="preserve"> </w:t>
            </w:r>
            <w:r w:rsidR="00970CA2">
              <w:rPr>
                <w:rFonts w:cs="Arial"/>
                <w:b/>
                <w:bCs/>
              </w:rPr>
              <w:t>grudnia</w:t>
            </w:r>
            <w:r w:rsidRPr="003C219F">
              <w:rPr>
                <w:rFonts w:cs="Arial"/>
                <w:b/>
                <w:bCs/>
              </w:rPr>
              <w:t xml:space="preserve"> 201</w:t>
            </w:r>
            <w:r w:rsidR="000352E7">
              <w:rPr>
                <w:rFonts w:cs="Arial"/>
                <w:b/>
                <w:bCs/>
              </w:rPr>
              <w:t>7</w:t>
            </w:r>
            <w:r w:rsidRPr="003C219F">
              <w:rPr>
                <w:rFonts w:cs="Arial"/>
                <w:b/>
                <w:bCs/>
              </w:rPr>
              <w:t xml:space="preserve"> roku</w:t>
            </w:r>
            <w:r w:rsidRPr="003C219F">
              <w:rPr>
                <w:rFonts w:cs="Arial"/>
                <w:bCs/>
                <w:color w:val="000000"/>
              </w:rPr>
              <w:t>, stanowiącym termin realizacji zadania.</w:t>
            </w:r>
          </w:p>
          <w:p w:rsidR="00BD3B51" w:rsidRPr="00504515" w:rsidRDefault="00667242" w:rsidP="00504515">
            <w:pPr>
              <w:rPr>
                <w:rFonts w:cs="Arial"/>
              </w:rPr>
            </w:pPr>
            <w:r w:rsidRPr="003C219F">
              <w:rPr>
                <w:rFonts w:cs="Arial"/>
              </w:rPr>
              <w:t xml:space="preserve">2. Umowa zostaje zawarta na okres do dnia </w:t>
            </w:r>
            <w:r w:rsidRPr="003C219F">
              <w:rPr>
                <w:rFonts w:cs="Arial"/>
                <w:b/>
              </w:rPr>
              <w:t>31 grudnia 201</w:t>
            </w:r>
            <w:r w:rsidR="000352E7">
              <w:rPr>
                <w:rFonts w:cs="Arial"/>
                <w:b/>
                <w:bCs/>
              </w:rPr>
              <w:t>7</w:t>
            </w:r>
            <w:r w:rsidRPr="003C219F">
              <w:rPr>
                <w:rFonts w:cs="Arial"/>
                <w:b/>
              </w:rPr>
              <w:t xml:space="preserve"> roku</w:t>
            </w:r>
            <w:r w:rsidRPr="003C219F">
              <w:rPr>
                <w:rFonts w:cs="Arial"/>
              </w:rPr>
              <w:t>, z zastrzeżeniem § 3 ust. 12 − 14.</w:t>
            </w:r>
          </w:p>
          <w:p w:rsidR="00667242" w:rsidRDefault="00667242" w:rsidP="00162A3C">
            <w:pPr>
              <w:spacing w:line="268" w:lineRule="exact"/>
              <w:rPr>
                <w:rFonts w:cs="Arial"/>
                <w:color w:val="000000"/>
              </w:rPr>
            </w:pPr>
            <w:r w:rsidRPr="003C219F">
              <w:rPr>
                <w:rFonts w:cs="Arial"/>
                <w:color w:val="000000"/>
              </w:rPr>
              <w:t xml:space="preserve">3. Województwo zastrzega sobie prawo do rozwiązania umowy bez wypowiedzenia w przypadku wystąpienia okoliczności uniemożliwiających wykonanie umowy. W tym przypadku podmiotowi </w:t>
            </w:r>
            <w:r w:rsidRPr="003C219F">
              <w:rPr>
                <w:rFonts w:cs="Arial"/>
                <w:color w:val="000000"/>
              </w:rPr>
              <w:lastRenderedPageBreak/>
              <w:t>leczniczemu nie przysługują jakiekolwiek roszcze</w:t>
            </w:r>
            <w:r w:rsidR="00162A3C">
              <w:rPr>
                <w:rFonts w:cs="Arial"/>
                <w:color w:val="000000"/>
              </w:rPr>
              <w:t>nia wobec Województwa</w:t>
            </w:r>
            <w:r w:rsidR="00F956C1">
              <w:rPr>
                <w:rFonts w:cs="Arial"/>
                <w:color w:val="000000"/>
              </w:rPr>
              <w:t>.</w:t>
            </w:r>
          </w:p>
          <w:p w:rsidR="00F956C1" w:rsidRDefault="00F956C1" w:rsidP="00162A3C">
            <w:pPr>
              <w:spacing w:line="268" w:lineRule="exact"/>
              <w:rPr>
                <w:rFonts w:cs="Arial"/>
                <w:color w:val="000000"/>
              </w:rPr>
            </w:pPr>
          </w:p>
          <w:p w:rsidR="00F956C1" w:rsidRPr="00162A3C" w:rsidRDefault="00F956C1" w:rsidP="00162A3C">
            <w:pPr>
              <w:spacing w:line="268" w:lineRule="exact"/>
              <w:rPr>
                <w:rFonts w:cs="Arial"/>
                <w:color w:val="000000"/>
              </w:rPr>
            </w:pPr>
          </w:p>
          <w:p w:rsidR="00667242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§ 6</w:t>
            </w:r>
          </w:p>
          <w:p w:rsidR="00405E60" w:rsidRPr="00EF54B4" w:rsidRDefault="00405E60" w:rsidP="00825704">
            <w:pPr>
              <w:pStyle w:val="Akapitzlist"/>
              <w:suppressAutoHyphens w:val="0"/>
              <w:autoSpaceDE w:val="0"/>
              <w:autoSpaceDN w:val="0"/>
              <w:spacing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F54B4">
              <w:rPr>
                <w:rFonts w:ascii="Arial" w:hAnsi="Arial" w:cs="Arial"/>
                <w:sz w:val="21"/>
                <w:szCs w:val="21"/>
              </w:rPr>
              <w:t>1. Podmiot leczniczy zobowiązuje się do informowania, że zadanie publiczne jest współfinansowane ze środków otrzymanych od Zleceniodawcy. Informacja o treści: „</w:t>
            </w:r>
            <w:r w:rsidRPr="00EF54B4">
              <w:rPr>
                <w:rFonts w:ascii="Arial" w:hAnsi="Arial" w:cs="Arial"/>
                <w:b/>
                <w:bCs/>
                <w:sz w:val="21"/>
                <w:szCs w:val="21"/>
              </w:rPr>
              <w:t>Dofinansowano z budżetu Samorządu Województwa Śląskiego</w:t>
            </w:r>
            <w:r w:rsidRPr="00EF54B4">
              <w:rPr>
                <w:rFonts w:ascii="Arial" w:hAnsi="Arial" w:cs="Arial"/>
                <w:sz w:val="21"/>
                <w:szCs w:val="21"/>
              </w:rPr>
              <w:t xml:space="preserve">” powinna się znaleźć we wszystkich materiałach, publikacjach, informacjach dla mediów, ogłoszeniach oraz wystąpieniach publicznych dotyczących realizowanego zadania publicznego. </w:t>
            </w:r>
          </w:p>
          <w:p w:rsidR="00405E60" w:rsidRPr="00EF54B4" w:rsidRDefault="00405E60" w:rsidP="00825704">
            <w:pPr>
              <w:pStyle w:val="Akapitzlist"/>
              <w:suppressAutoHyphens w:val="0"/>
              <w:autoSpaceDE w:val="0"/>
              <w:autoSpaceDN w:val="0"/>
              <w:spacing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F54B4">
              <w:rPr>
                <w:rFonts w:ascii="Arial" w:hAnsi="Arial" w:cs="Arial"/>
                <w:sz w:val="21"/>
                <w:szCs w:val="21"/>
              </w:rPr>
              <w:t xml:space="preserve">2. Podmiot leczniczy zobowiązuje się do umieszczania logo Województwa zgodnie z manualem zamieszczonym na stronie </w:t>
            </w:r>
            <w:hyperlink r:id="rId8" w:history="1">
              <w:r w:rsidRPr="00EF54B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www.slaskie.pl/logo</w:t>
              </w:r>
            </w:hyperlink>
            <w:r w:rsidRPr="00EF54B4">
              <w:rPr>
                <w:rFonts w:ascii="Arial" w:hAnsi="Arial" w:cs="Arial"/>
                <w:sz w:val="21"/>
                <w:szCs w:val="21"/>
              </w:rPr>
              <w:t xml:space="preserve"> na wszystkich materiałach, w szczególności promocyjnych, informacyjnych, szkoleniowych i edukacyjnych, dotyczących realizowanego zadania publicznego oraz zakupionych rzeczach, o ile ich wielkości i przeznaczenie tego nie uniemożliwia, proporcjonalnie do wielkości innych oznaczeń, w sposób zapewniający jego dobrą widoczność.</w:t>
            </w:r>
          </w:p>
          <w:p w:rsidR="00405E60" w:rsidRPr="00825704" w:rsidRDefault="00405E60" w:rsidP="00825704">
            <w:pPr>
              <w:pStyle w:val="Akapitzlist"/>
              <w:suppressAutoHyphens w:val="0"/>
              <w:autoSpaceDE w:val="0"/>
              <w:autoSpaceDN w:val="0"/>
              <w:spacing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405E60" w:rsidRDefault="00405E60" w:rsidP="00405E60">
            <w:pPr>
              <w:rPr>
                <w:rFonts w:cs="Arial"/>
              </w:rPr>
            </w:pPr>
            <w:r>
              <w:rPr>
                <w:rFonts w:cs="Arial"/>
              </w:rPr>
              <w:t>§ 7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Wszelkie zmiany umowy wymagać będą dla swej ważności formy pisemnej.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</w:p>
          <w:p w:rsidR="00667242" w:rsidRPr="003C219F" w:rsidRDefault="00405E60" w:rsidP="00667242">
            <w:pPr>
              <w:rPr>
                <w:rFonts w:cs="Arial"/>
              </w:rPr>
            </w:pPr>
            <w:r>
              <w:rPr>
                <w:rFonts w:cs="Arial"/>
              </w:rPr>
              <w:t>§ 8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Ewentualne spory mogące wyniknąć między Stronami w związku z realizacją umowy będą rozpatrywane przez sąd właściwy dla siedziby Województwa.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</w:p>
          <w:p w:rsidR="00667242" w:rsidRPr="003C219F" w:rsidRDefault="00405E60" w:rsidP="00667242">
            <w:pPr>
              <w:rPr>
                <w:rFonts w:cs="Arial"/>
              </w:rPr>
            </w:pPr>
            <w:r>
              <w:rPr>
                <w:rFonts w:cs="Arial"/>
              </w:rPr>
              <w:t>§ 9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  <w:r w:rsidRPr="003C219F">
              <w:rPr>
                <w:rFonts w:cs="Arial"/>
              </w:rPr>
              <w:t>W sprawach nieuregulowanych w umowie zastosowanie mieć będą przepisy kodeksu cywilnego, ustawy o działalności leczniczej i ustawy o finansach publicznych oraz aktualne Zasady udzielania dotacji przyjęte przez Zarząd Województwa Śląskiego.</w:t>
            </w:r>
          </w:p>
          <w:p w:rsidR="00667242" w:rsidRPr="003C219F" w:rsidRDefault="00667242" w:rsidP="00667242">
            <w:pPr>
              <w:rPr>
                <w:rFonts w:cs="Arial"/>
              </w:rPr>
            </w:pPr>
          </w:p>
          <w:p w:rsidR="00667242" w:rsidRPr="003C219F" w:rsidRDefault="00667242" w:rsidP="00667242">
            <w:pPr>
              <w:rPr>
                <w:rFonts w:cs="Arial"/>
              </w:rPr>
            </w:pPr>
          </w:p>
          <w:p w:rsidR="00667242" w:rsidRPr="003C219F" w:rsidRDefault="00405E60" w:rsidP="00667242">
            <w:pPr>
              <w:rPr>
                <w:rFonts w:cs="Arial"/>
              </w:rPr>
            </w:pPr>
            <w:r>
              <w:rPr>
                <w:rFonts w:cs="Arial"/>
              </w:rPr>
              <w:t>§ 10</w:t>
            </w:r>
          </w:p>
          <w:p w:rsidR="007E5FBE" w:rsidRPr="003C219F" w:rsidRDefault="00667242" w:rsidP="00667242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  <w:r w:rsidRPr="003C219F">
              <w:rPr>
                <w:rFonts w:ascii="Arial" w:hAnsi="Arial" w:cs="Arial"/>
                <w:color w:val="auto"/>
                <w:sz w:val="21"/>
                <w:szCs w:val="21"/>
              </w:rPr>
              <w:t>Umowę sporządzono w trzech jednobrzmiących egzemplarzach jeden dla Podmiotu leczniczego a dwa dla Województwa</w:t>
            </w:r>
            <w:r w:rsidRPr="003C219F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67242" w:rsidRPr="003C219F" w:rsidRDefault="00667242" w:rsidP="00667242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  <w:p w:rsidR="00667242" w:rsidRPr="003C219F" w:rsidRDefault="00667242" w:rsidP="00667242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  <w:p w:rsidR="007E5FBE" w:rsidRPr="003C219F" w:rsidRDefault="00667242" w:rsidP="00667242">
            <w:pPr>
              <w:pStyle w:val="Arial105"/>
              <w:tabs>
                <w:tab w:val="left" w:pos="6521"/>
              </w:tabs>
              <w:rPr>
                <w:rFonts w:cs="Arial"/>
                <w:szCs w:val="21"/>
                <w:lang w:eastAsia="en-US"/>
              </w:rPr>
            </w:pPr>
            <w:r w:rsidRPr="003C219F">
              <w:rPr>
                <w:rFonts w:cs="Arial"/>
                <w:szCs w:val="21"/>
                <w:lang w:eastAsia="en-US"/>
              </w:rPr>
              <w:t>Województwo Śląskie:</w:t>
            </w:r>
            <w:r w:rsidR="007E5FBE" w:rsidRPr="003C219F">
              <w:rPr>
                <w:rFonts w:cs="Arial"/>
                <w:szCs w:val="21"/>
                <w:lang w:eastAsia="en-US"/>
              </w:rPr>
              <w:tab/>
            </w:r>
            <w:r w:rsidRPr="003C219F">
              <w:rPr>
                <w:rFonts w:cs="Arial"/>
                <w:szCs w:val="21"/>
                <w:lang w:eastAsia="en-US"/>
              </w:rPr>
              <w:t>Podmiot leczniczy:</w:t>
            </w:r>
          </w:p>
          <w:p w:rsidR="007E5FBE" w:rsidRPr="003C219F" w:rsidRDefault="007E5FBE" w:rsidP="006C697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</w:tbl>
    <w:p w:rsidR="00B1116E" w:rsidRDefault="00B1116E" w:rsidP="001D4317"/>
    <w:sectPr w:rsidR="00B1116E" w:rsidSect="0058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2F8" w:rsidRDefault="002202F8" w:rsidP="00A004EE">
      <w:r>
        <w:separator/>
      </w:r>
    </w:p>
  </w:endnote>
  <w:endnote w:type="continuationSeparator" w:id="0">
    <w:p w:rsidR="002202F8" w:rsidRDefault="002202F8" w:rsidP="00A00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2F8" w:rsidRDefault="002202F8" w:rsidP="00A004EE">
      <w:r>
        <w:separator/>
      </w:r>
    </w:p>
  </w:footnote>
  <w:footnote w:type="continuationSeparator" w:id="0">
    <w:p w:rsidR="002202F8" w:rsidRDefault="002202F8" w:rsidP="00A00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515E"/>
    <w:multiLevelType w:val="hybridMultilevel"/>
    <w:tmpl w:val="868AF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D5E10"/>
    <w:multiLevelType w:val="hybridMultilevel"/>
    <w:tmpl w:val="1372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737038"/>
    <w:multiLevelType w:val="hybridMultilevel"/>
    <w:tmpl w:val="999C5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FBE"/>
    <w:rsid w:val="00005AE1"/>
    <w:rsid w:val="000352E7"/>
    <w:rsid w:val="0006112A"/>
    <w:rsid w:val="000613FA"/>
    <w:rsid w:val="00063075"/>
    <w:rsid w:val="0008445C"/>
    <w:rsid w:val="000C3691"/>
    <w:rsid w:val="000D74A1"/>
    <w:rsid w:val="00101A9E"/>
    <w:rsid w:val="0014391B"/>
    <w:rsid w:val="00145703"/>
    <w:rsid w:val="00162A3C"/>
    <w:rsid w:val="0017054E"/>
    <w:rsid w:val="00180178"/>
    <w:rsid w:val="00195D7A"/>
    <w:rsid w:val="001C47B2"/>
    <w:rsid w:val="001C662B"/>
    <w:rsid w:val="001C6F98"/>
    <w:rsid w:val="001D23F6"/>
    <w:rsid w:val="001D2F71"/>
    <w:rsid w:val="001D4317"/>
    <w:rsid w:val="001E46F5"/>
    <w:rsid w:val="001F1188"/>
    <w:rsid w:val="002202F8"/>
    <w:rsid w:val="0023267C"/>
    <w:rsid w:val="002441BC"/>
    <w:rsid w:val="00260CCD"/>
    <w:rsid w:val="002857BE"/>
    <w:rsid w:val="00294AB2"/>
    <w:rsid w:val="002A0881"/>
    <w:rsid w:val="002B0755"/>
    <w:rsid w:val="002F1BC3"/>
    <w:rsid w:val="002F3CDD"/>
    <w:rsid w:val="00311824"/>
    <w:rsid w:val="00323FDF"/>
    <w:rsid w:val="0033178D"/>
    <w:rsid w:val="00337B66"/>
    <w:rsid w:val="00344227"/>
    <w:rsid w:val="003479CA"/>
    <w:rsid w:val="003B0FAA"/>
    <w:rsid w:val="003C219F"/>
    <w:rsid w:val="003D36D7"/>
    <w:rsid w:val="003D4FC4"/>
    <w:rsid w:val="003E3D3D"/>
    <w:rsid w:val="003E51E1"/>
    <w:rsid w:val="00404659"/>
    <w:rsid w:val="00405E60"/>
    <w:rsid w:val="00443E64"/>
    <w:rsid w:val="0046717E"/>
    <w:rsid w:val="00481EA6"/>
    <w:rsid w:val="004963D8"/>
    <w:rsid w:val="00496A92"/>
    <w:rsid w:val="004A3E8A"/>
    <w:rsid w:val="004D5BFC"/>
    <w:rsid w:val="004E315A"/>
    <w:rsid w:val="004F7C49"/>
    <w:rsid w:val="00504515"/>
    <w:rsid w:val="00514881"/>
    <w:rsid w:val="00515323"/>
    <w:rsid w:val="00536F60"/>
    <w:rsid w:val="00547628"/>
    <w:rsid w:val="005564F0"/>
    <w:rsid w:val="00584652"/>
    <w:rsid w:val="005A2A31"/>
    <w:rsid w:val="005A38A6"/>
    <w:rsid w:val="005C09E4"/>
    <w:rsid w:val="005E5EA7"/>
    <w:rsid w:val="005F1500"/>
    <w:rsid w:val="005F54B8"/>
    <w:rsid w:val="0060608A"/>
    <w:rsid w:val="00621122"/>
    <w:rsid w:val="00622A80"/>
    <w:rsid w:val="00626BCF"/>
    <w:rsid w:val="006312CF"/>
    <w:rsid w:val="0063227A"/>
    <w:rsid w:val="006409A0"/>
    <w:rsid w:val="00667242"/>
    <w:rsid w:val="0068277D"/>
    <w:rsid w:val="006B3B81"/>
    <w:rsid w:val="006C6970"/>
    <w:rsid w:val="006E02E0"/>
    <w:rsid w:val="006F5C1B"/>
    <w:rsid w:val="007172CB"/>
    <w:rsid w:val="00750DCE"/>
    <w:rsid w:val="0075347D"/>
    <w:rsid w:val="0076285A"/>
    <w:rsid w:val="00770ECB"/>
    <w:rsid w:val="00773AC0"/>
    <w:rsid w:val="007A23F0"/>
    <w:rsid w:val="007B4604"/>
    <w:rsid w:val="007D53B6"/>
    <w:rsid w:val="007E2270"/>
    <w:rsid w:val="007E5FBE"/>
    <w:rsid w:val="00807D44"/>
    <w:rsid w:val="00812462"/>
    <w:rsid w:val="00825704"/>
    <w:rsid w:val="008614BF"/>
    <w:rsid w:val="00880054"/>
    <w:rsid w:val="008836F7"/>
    <w:rsid w:val="00884D44"/>
    <w:rsid w:val="00886428"/>
    <w:rsid w:val="008B625D"/>
    <w:rsid w:val="008D6DF1"/>
    <w:rsid w:val="008E3464"/>
    <w:rsid w:val="008F70BE"/>
    <w:rsid w:val="00906586"/>
    <w:rsid w:val="00910246"/>
    <w:rsid w:val="00910A32"/>
    <w:rsid w:val="00913224"/>
    <w:rsid w:val="00922DF1"/>
    <w:rsid w:val="009269B5"/>
    <w:rsid w:val="0093029B"/>
    <w:rsid w:val="00932481"/>
    <w:rsid w:val="00970CA2"/>
    <w:rsid w:val="00975D5B"/>
    <w:rsid w:val="009A4F78"/>
    <w:rsid w:val="009A77CF"/>
    <w:rsid w:val="009F4813"/>
    <w:rsid w:val="00A004EE"/>
    <w:rsid w:val="00A06A65"/>
    <w:rsid w:val="00A3781F"/>
    <w:rsid w:val="00A47C96"/>
    <w:rsid w:val="00A55B5F"/>
    <w:rsid w:val="00A83F2E"/>
    <w:rsid w:val="00AB3550"/>
    <w:rsid w:val="00AE0A0D"/>
    <w:rsid w:val="00AE6336"/>
    <w:rsid w:val="00AF4DDB"/>
    <w:rsid w:val="00B1116E"/>
    <w:rsid w:val="00B3153C"/>
    <w:rsid w:val="00B3568A"/>
    <w:rsid w:val="00B36337"/>
    <w:rsid w:val="00B40473"/>
    <w:rsid w:val="00B4372F"/>
    <w:rsid w:val="00B4540D"/>
    <w:rsid w:val="00B603AC"/>
    <w:rsid w:val="00B6114F"/>
    <w:rsid w:val="00B71BA1"/>
    <w:rsid w:val="00B836F3"/>
    <w:rsid w:val="00B94CA5"/>
    <w:rsid w:val="00B955BB"/>
    <w:rsid w:val="00B9715C"/>
    <w:rsid w:val="00B97E7A"/>
    <w:rsid w:val="00BA3737"/>
    <w:rsid w:val="00BB228B"/>
    <w:rsid w:val="00BB40C9"/>
    <w:rsid w:val="00BC27AB"/>
    <w:rsid w:val="00BD3B51"/>
    <w:rsid w:val="00BD6EBF"/>
    <w:rsid w:val="00BF1F26"/>
    <w:rsid w:val="00BF2DDB"/>
    <w:rsid w:val="00C46065"/>
    <w:rsid w:val="00C60013"/>
    <w:rsid w:val="00C924DF"/>
    <w:rsid w:val="00CC4212"/>
    <w:rsid w:val="00CC66CF"/>
    <w:rsid w:val="00CD2E16"/>
    <w:rsid w:val="00CD4B68"/>
    <w:rsid w:val="00CE20A6"/>
    <w:rsid w:val="00CE4712"/>
    <w:rsid w:val="00CE536B"/>
    <w:rsid w:val="00D11D8D"/>
    <w:rsid w:val="00D16386"/>
    <w:rsid w:val="00D205EB"/>
    <w:rsid w:val="00D32420"/>
    <w:rsid w:val="00D3728F"/>
    <w:rsid w:val="00D64107"/>
    <w:rsid w:val="00D72F69"/>
    <w:rsid w:val="00D829A9"/>
    <w:rsid w:val="00DB423C"/>
    <w:rsid w:val="00DC06F1"/>
    <w:rsid w:val="00DC6116"/>
    <w:rsid w:val="00DD2531"/>
    <w:rsid w:val="00DE4C9E"/>
    <w:rsid w:val="00DE6D47"/>
    <w:rsid w:val="00DF7871"/>
    <w:rsid w:val="00E01A58"/>
    <w:rsid w:val="00E60390"/>
    <w:rsid w:val="00E665DE"/>
    <w:rsid w:val="00E9686D"/>
    <w:rsid w:val="00EA5F5E"/>
    <w:rsid w:val="00ED5727"/>
    <w:rsid w:val="00ED7F7C"/>
    <w:rsid w:val="00EF3B16"/>
    <w:rsid w:val="00EF54B4"/>
    <w:rsid w:val="00F00744"/>
    <w:rsid w:val="00F104BC"/>
    <w:rsid w:val="00F15162"/>
    <w:rsid w:val="00F23ACC"/>
    <w:rsid w:val="00F31847"/>
    <w:rsid w:val="00F321D5"/>
    <w:rsid w:val="00F32BF5"/>
    <w:rsid w:val="00F55C28"/>
    <w:rsid w:val="00F74EFD"/>
    <w:rsid w:val="00F80633"/>
    <w:rsid w:val="00F956C1"/>
    <w:rsid w:val="00FB4DB9"/>
    <w:rsid w:val="00FB6BD0"/>
    <w:rsid w:val="00FD7D4E"/>
    <w:rsid w:val="00FE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character" w:customStyle="1" w:styleId="WW-Absatz-Standardschriftart1">
    <w:name w:val="WW-Absatz-Standardschriftart1"/>
    <w:rsid w:val="00667242"/>
  </w:style>
  <w:style w:type="paragraph" w:styleId="Akapitzlist">
    <w:name w:val="List Paragraph"/>
    <w:basedOn w:val="Normalny"/>
    <w:uiPriority w:val="34"/>
    <w:qFormat/>
    <w:rsid w:val="00B6114F"/>
    <w:pPr>
      <w:suppressAutoHyphens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05E6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4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4EE"/>
    <w:rPr>
      <w:rFonts w:ascii="Arial" w:hAnsi="Arial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4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/lo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B0D88-9F8B-4D5B-B0BE-E7293830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Links>
    <vt:vector size="6" baseType="variant">
      <vt:variant>
        <vt:i4>6815855</vt:i4>
      </vt:variant>
      <vt:variant>
        <vt:i4>0</vt:i4>
      </vt:variant>
      <vt:variant>
        <vt:i4>0</vt:i4>
      </vt:variant>
      <vt:variant>
        <vt:i4>5</vt:i4>
      </vt:variant>
      <vt:variant>
        <vt:lpwstr>http://www.slaskie.pl/logo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pomykalam</cp:lastModifiedBy>
  <cp:revision>2</cp:revision>
  <cp:lastPrinted>2017-09-14T11:54:00Z</cp:lastPrinted>
  <dcterms:created xsi:type="dcterms:W3CDTF">2017-09-28T09:01:00Z</dcterms:created>
  <dcterms:modified xsi:type="dcterms:W3CDTF">2017-09-28T09:01:00Z</dcterms:modified>
</cp:coreProperties>
</file>