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7A" w:rsidRDefault="00660662">
      <w:pPr>
        <w:spacing w:after="5" w:line="255" w:lineRule="auto"/>
        <w:ind w:left="5098" w:right="8"/>
        <w:jc w:val="left"/>
      </w:pPr>
      <w:r>
        <w:rPr>
          <w:b/>
          <w:sz w:val="16"/>
        </w:rPr>
        <w:t xml:space="preserve">Załącznik do Programu współpracy </w:t>
      </w:r>
    </w:p>
    <w:p w:rsidR="0000727A" w:rsidRDefault="00660662">
      <w:pPr>
        <w:spacing w:after="215" w:line="255" w:lineRule="auto"/>
        <w:ind w:left="5098" w:right="8"/>
        <w:jc w:val="left"/>
      </w:pPr>
      <w:r>
        <w:rPr>
          <w:b/>
          <w:sz w:val="16"/>
        </w:rPr>
        <w:t xml:space="preserve">samorządu województwa śląskiego z organizacjami pozarządowymi oraz podmiotami wymienionymi w art. 3 ust. 3 ustawy o działalności pożytku publicznego i o wolontariacie na 2018 rok  </w:t>
      </w:r>
    </w:p>
    <w:p w:rsidR="0000727A" w:rsidRDefault="00660662">
      <w:pPr>
        <w:spacing w:after="0" w:line="259" w:lineRule="auto"/>
        <w:ind w:left="117" w:right="0" w:firstLine="0"/>
        <w:jc w:val="center"/>
      </w:pPr>
      <w:r>
        <w:rPr>
          <w:sz w:val="40"/>
        </w:rPr>
        <w:t xml:space="preserve"> </w:t>
      </w:r>
    </w:p>
    <w:p w:rsidR="0000727A" w:rsidRDefault="00660662" w:rsidP="00660662">
      <w:pPr>
        <w:spacing w:after="0"/>
        <w:ind w:left="847" w:right="615" w:hanging="230"/>
        <w:jc w:val="center"/>
        <w:rPr>
          <w:b/>
          <w:sz w:val="26"/>
        </w:rPr>
      </w:pPr>
      <w:r>
        <w:rPr>
          <w:b/>
          <w:sz w:val="26"/>
        </w:rPr>
        <w:t>Zasady powoływania i tryb pracy komisji konkursowych otwartych konkursów ofert na zadania publiczne Województwa Śląskiego</w:t>
      </w:r>
    </w:p>
    <w:p w:rsidR="00660662" w:rsidRDefault="00660662" w:rsidP="00660662">
      <w:pPr>
        <w:spacing w:after="0"/>
        <w:ind w:left="847" w:right="615" w:hanging="230"/>
        <w:jc w:val="center"/>
        <w:rPr>
          <w:b/>
          <w:sz w:val="26"/>
        </w:rPr>
      </w:pPr>
    </w:p>
    <w:p w:rsidR="00660662" w:rsidRDefault="00660662" w:rsidP="00660662">
      <w:pPr>
        <w:spacing w:after="0"/>
        <w:ind w:left="847" w:right="615" w:hanging="230"/>
        <w:jc w:val="center"/>
      </w:pPr>
    </w:p>
    <w:p w:rsidR="0000727A" w:rsidRDefault="00660662">
      <w:pPr>
        <w:pStyle w:val="Nagwek1"/>
        <w:ind w:left="20" w:right="1"/>
      </w:pPr>
      <w:r>
        <w:t xml:space="preserve">§ 1 </w:t>
      </w:r>
    </w:p>
    <w:p w:rsidR="0000727A" w:rsidRDefault="00660662">
      <w:pPr>
        <w:spacing w:after="83" w:line="259" w:lineRule="auto"/>
        <w:ind w:left="51" w:right="0" w:firstLine="0"/>
        <w:jc w:val="center"/>
      </w:pPr>
      <w:r>
        <w:rPr>
          <w:sz w:val="16"/>
        </w:rPr>
        <w:t xml:space="preserve"> </w:t>
      </w:r>
    </w:p>
    <w:p w:rsidR="0000727A" w:rsidRDefault="00660662">
      <w:pPr>
        <w:ind w:left="5" w:right="0"/>
      </w:pPr>
      <w:r>
        <w:t xml:space="preserve">Komisje konkursowe otwartych konkursów ofert na zadania publiczne województwa śląskiego, zwane dalej „Komisjami”, powoływane są przez Zarząd Województwa Śląskiego, zwany dalej „Zarządem”, dla każdego zadania, na które ogłoszony zostanie otwarty konkurs ofert na zadania publiczne Województwa Śląskiego zwany dalej „Konkursem”.  </w:t>
      </w:r>
    </w:p>
    <w:p w:rsidR="0000727A" w:rsidRDefault="00660662">
      <w:pPr>
        <w:spacing w:after="0" w:line="259" w:lineRule="auto"/>
        <w:ind w:left="117" w:right="0" w:firstLine="0"/>
        <w:jc w:val="center"/>
      </w:pPr>
      <w:r>
        <w:rPr>
          <w:sz w:val="40"/>
        </w:rPr>
        <w:t xml:space="preserve"> </w:t>
      </w:r>
    </w:p>
    <w:p w:rsidR="0000727A" w:rsidRDefault="00660662">
      <w:pPr>
        <w:pStyle w:val="Nagwek1"/>
        <w:ind w:left="20" w:right="1"/>
      </w:pPr>
      <w:r>
        <w:t xml:space="preserve">§ 2 </w:t>
      </w:r>
    </w:p>
    <w:p w:rsidR="0000727A" w:rsidRDefault="00660662">
      <w:pPr>
        <w:spacing w:after="98" w:line="259" w:lineRule="auto"/>
        <w:ind w:left="51" w:right="0" w:firstLine="0"/>
        <w:jc w:val="center"/>
      </w:pPr>
      <w:r>
        <w:rPr>
          <w:sz w:val="16"/>
        </w:rPr>
        <w:t xml:space="preserve"> </w:t>
      </w:r>
    </w:p>
    <w:p w:rsidR="0000727A" w:rsidRDefault="00660662">
      <w:pPr>
        <w:numPr>
          <w:ilvl w:val="0"/>
          <w:numId w:val="1"/>
        </w:numPr>
        <w:ind w:right="0" w:hanging="283"/>
      </w:pPr>
      <w:r>
        <w:t xml:space="preserve">Komisja podejmuje decyzje w obecności co najmniej 1/2 liczby jej członków, w tym przewodniczącego lub wiceprzewodniczącego. </w:t>
      </w:r>
    </w:p>
    <w:p w:rsidR="00660662" w:rsidRDefault="00660662">
      <w:pPr>
        <w:numPr>
          <w:ilvl w:val="0"/>
          <w:numId w:val="1"/>
        </w:numPr>
        <w:spacing w:after="42"/>
        <w:ind w:right="0" w:hanging="283"/>
      </w:pPr>
      <w:r>
        <w:t xml:space="preserve">W sprawach proceduralnych Komisja podejmuje decyzje przez aklamację (brak sprzeciwu) lub w głosowaniu jawnym zwykłą większością głosów. W przypadku równej liczby głosów, decyduje głos przewodniczącego lub wiceprzewodniczącego (pod nieobecność przewodniczącego). </w:t>
      </w:r>
    </w:p>
    <w:p w:rsidR="0000727A" w:rsidRDefault="00660662">
      <w:pPr>
        <w:numPr>
          <w:ilvl w:val="0"/>
          <w:numId w:val="1"/>
        </w:numPr>
        <w:spacing w:after="42"/>
        <w:ind w:right="0" w:hanging="283"/>
      </w:pPr>
      <w:r>
        <w:t xml:space="preserve">Komisja obraduje na posiedzeniach zamkniętych, bez udziału oferentów. </w:t>
      </w:r>
    </w:p>
    <w:p w:rsidR="0000727A" w:rsidRDefault="00660662">
      <w:pPr>
        <w:ind w:left="303" w:right="0"/>
      </w:pPr>
      <w:r>
        <w:t xml:space="preserve">W uzasadnionych przypadkach przewodniczący może zarządzić inny tryb pracy Komisji. </w:t>
      </w:r>
    </w:p>
    <w:p w:rsidR="00660662" w:rsidRDefault="00660662" w:rsidP="00660662">
      <w:pPr>
        <w:pStyle w:val="Akapitzlist"/>
        <w:numPr>
          <w:ilvl w:val="0"/>
          <w:numId w:val="1"/>
        </w:numPr>
        <w:ind w:left="284" w:right="0" w:hanging="294"/>
      </w:pPr>
      <w:r>
        <w:t xml:space="preserve">Komisja konkursowa może korzystać z pomocy osób posiadających specjalistyczną wiedzę z dziedziny obejmującej zakres zadań publicznych, których konkurs dotyczy. </w:t>
      </w:r>
    </w:p>
    <w:p w:rsidR="00660662" w:rsidRDefault="00660662" w:rsidP="00660662">
      <w:pPr>
        <w:pStyle w:val="Akapitzlist"/>
        <w:spacing w:after="17"/>
        <w:ind w:left="283" w:right="0" w:firstLine="0"/>
      </w:pPr>
    </w:p>
    <w:p w:rsidR="0000727A" w:rsidRDefault="00660662">
      <w:pPr>
        <w:spacing w:after="17"/>
        <w:ind w:left="5" w:right="0"/>
        <w:rPr>
          <w:sz w:val="40"/>
        </w:rPr>
      </w:pPr>
      <w:r>
        <w:t xml:space="preserve">5. Kierownik komórki organizacyjnej sprawującej nadzór nad przebiegiem konkursu każdorazowo zgłasza i informuje Dyrektora Wydziału Dialogu o posiedzeniach komisji. Dyrektor Wydziału Dialogu może podjąć decyzję o uczestnictwie w posiedzeniach komisji pracownika Wydziału Dialogu Urzędu Marszałkowskiego Województwa Śląskiego w charakterze obserwatora. </w:t>
      </w:r>
      <w:r>
        <w:rPr>
          <w:sz w:val="40"/>
        </w:rPr>
        <w:t xml:space="preserve"> </w:t>
      </w:r>
    </w:p>
    <w:p w:rsidR="00660662" w:rsidRDefault="00660662">
      <w:pPr>
        <w:spacing w:after="17"/>
        <w:ind w:left="5" w:right="0"/>
      </w:pPr>
    </w:p>
    <w:p w:rsidR="0000727A" w:rsidRDefault="00660662">
      <w:pPr>
        <w:pStyle w:val="Nagwek1"/>
        <w:ind w:left="20" w:right="1"/>
      </w:pPr>
      <w:r>
        <w:t xml:space="preserve">§ 3 </w:t>
      </w:r>
    </w:p>
    <w:p w:rsidR="0000727A" w:rsidRDefault="00660662">
      <w:pPr>
        <w:spacing w:after="80" w:line="259" w:lineRule="auto"/>
        <w:ind w:left="51" w:right="0" w:firstLine="0"/>
        <w:jc w:val="center"/>
      </w:pPr>
      <w:r>
        <w:rPr>
          <w:sz w:val="16"/>
        </w:rPr>
        <w:t xml:space="preserve"> </w:t>
      </w:r>
    </w:p>
    <w:p w:rsidR="0000727A" w:rsidRDefault="00660662">
      <w:pPr>
        <w:numPr>
          <w:ilvl w:val="0"/>
          <w:numId w:val="2"/>
        </w:numPr>
        <w:ind w:right="0" w:hanging="283"/>
      </w:pPr>
      <w:r>
        <w:t xml:space="preserve">Komisja ocenia jedynie oferty spełniające wszystkie wymogi formalne. </w:t>
      </w:r>
    </w:p>
    <w:p w:rsidR="0000727A" w:rsidRDefault="00660662">
      <w:pPr>
        <w:numPr>
          <w:ilvl w:val="0"/>
          <w:numId w:val="2"/>
        </w:numPr>
        <w:ind w:right="0" w:hanging="283"/>
      </w:pPr>
      <w:r>
        <w:t>Oceny zgodności z wszystkimi wymogami formalnymi dokonuje komórka organizacyjna urzędu lub jednostka organizacyjna wojew</w:t>
      </w:r>
      <w:bookmarkStart w:id="0" w:name="_GoBack"/>
      <w:bookmarkEnd w:id="0"/>
      <w:r>
        <w:t xml:space="preserve">ództwa organizująca otwarty konkurs. </w:t>
      </w:r>
    </w:p>
    <w:p w:rsidR="0000727A" w:rsidRDefault="00660662">
      <w:pPr>
        <w:spacing w:after="0" w:line="259" w:lineRule="auto"/>
        <w:ind w:left="108" w:right="0" w:firstLine="0"/>
        <w:jc w:val="center"/>
      </w:pPr>
      <w:r>
        <w:rPr>
          <w:sz w:val="40"/>
        </w:rPr>
        <w:t xml:space="preserve"> </w:t>
      </w:r>
    </w:p>
    <w:p w:rsidR="00C15557" w:rsidRDefault="00C15557">
      <w:pPr>
        <w:pStyle w:val="Nagwek1"/>
        <w:ind w:left="20" w:right="10"/>
      </w:pPr>
    </w:p>
    <w:p w:rsidR="0000727A" w:rsidRDefault="00660662">
      <w:pPr>
        <w:pStyle w:val="Nagwek1"/>
        <w:ind w:left="20" w:right="10"/>
      </w:pPr>
      <w:r>
        <w:t xml:space="preserve">§ 4 </w:t>
      </w:r>
    </w:p>
    <w:p w:rsidR="0000727A" w:rsidRDefault="00660662">
      <w:pPr>
        <w:spacing w:after="99" w:line="259" w:lineRule="auto"/>
        <w:ind w:left="41" w:right="0" w:firstLine="0"/>
        <w:jc w:val="center"/>
      </w:pPr>
      <w:r>
        <w:rPr>
          <w:sz w:val="16"/>
        </w:rPr>
        <w:t xml:space="preserve"> </w:t>
      </w:r>
    </w:p>
    <w:p w:rsidR="0000727A" w:rsidRDefault="00660662" w:rsidP="00C15557">
      <w:pPr>
        <w:numPr>
          <w:ilvl w:val="0"/>
          <w:numId w:val="3"/>
        </w:numPr>
        <w:spacing w:after="108" w:line="240" w:lineRule="auto"/>
        <w:ind w:right="0" w:hanging="283"/>
      </w:pPr>
      <w:r>
        <w:t xml:space="preserve">Do zadań Komisji należy w szczególności: </w:t>
      </w:r>
    </w:p>
    <w:p w:rsidR="0000727A" w:rsidRDefault="00660662" w:rsidP="00C15557">
      <w:pPr>
        <w:numPr>
          <w:ilvl w:val="1"/>
          <w:numId w:val="3"/>
        </w:numPr>
        <w:spacing w:line="240" w:lineRule="auto"/>
        <w:ind w:left="579" w:right="0" w:hanging="286"/>
      </w:pPr>
      <w:r>
        <w:t xml:space="preserve">ocena ofert wg zapisu art. 15 ust.1 ustawy, </w:t>
      </w:r>
    </w:p>
    <w:p w:rsidR="0000727A" w:rsidRDefault="00660662" w:rsidP="00C15557">
      <w:pPr>
        <w:numPr>
          <w:ilvl w:val="1"/>
          <w:numId w:val="3"/>
        </w:numPr>
        <w:spacing w:after="0" w:line="240" w:lineRule="auto"/>
        <w:ind w:left="579" w:right="0" w:hanging="284"/>
      </w:pPr>
      <w:r>
        <w:t>ocena ofert zgodnie z kryteriami przyjętymi dla poszczególnych konkursów,</w:t>
      </w:r>
      <w:r w:rsidRPr="00660662">
        <w:rPr>
          <w:sz w:val="20"/>
        </w:rPr>
        <w:t xml:space="preserve"> </w:t>
      </w:r>
    </w:p>
    <w:p w:rsidR="0000727A" w:rsidRDefault="00660662" w:rsidP="00C15557">
      <w:pPr>
        <w:numPr>
          <w:ilvl w:val="1"/>
          <w:numId w:val="3"/>
        </w:numPr>
        <w:spacing w:after="0" w:line="240" w:lineRule="auto"/>
        <w:ind w:left="579" w:right="0" w:hanging="284"/>
      </w:pPr>
      <w:r>
        <w:t xml:space="preserve">sporządzenie listy rankingowej ofert zgłoszonych na konkurs. </w:t>
      </w:r>
    </w:p>
    <w:p w:rsidR="0000727A" w:rsidRDefault="00660662" w:rsidP="00C15557">
      <w:pPr>
        <w:numPr>
          <w:ilvl w:val="0"/>
          <w:numId w:val="3"/>
        </w:numPr>
        <w:spacing w:line="240" w:lineRule="auto"/>
        <w:ind w:right="0" w:hanging="283"/>
      </w:pPr>
      <w:r>
        <w:t xml:space="preserve">Ocena poszczególnej oferty stanowi średnią punktów przyznawanych przez poszczególnych członków Komisji. </w:t>
      </w:r>
    </w:p>
    <w:p w:rsidR="0000727A" w:rsidRDefault="00660662" w:rsidP="00C15557">
      <w:pPr>
        <w:numPr>
          <w:ilvl w:val="0"/>
          <w:numId w:val="3"/>
        </w:numPr>
        <w:spacing w:line="240" w:lineRule="auto"/>
        <w:ind w:right="0" w:hanging="283"/>
      </w:pPr>
      <w:r>
        <w:t xml:space="preserve">Komisja może zaproponować przyznanie dotacji w kwocie niższej od określonej </w:t>
      </w:r>
      <w:r w:rsidR="00C15557">
        <w:t xml:space="preserve">        </w:t>
      </w:r>
      <w:r>
        <w:t xml:space="preserve">w ofercie. </w:t>
      </w:r>
    </w:p>
    <w:p w:rsidR="0000727A" w:rsidRDefault="00660662" w:rsidP="00C15557">
      <w:pPr>
        <w:numPr>
          <w:ilvl w:val="0"/>
          <w:numId w:val="3"/>
        </w:numPr>
        <w:spacing w:line="240" w:lineRule="auto"/>
        <w:ind w:right="0" w:hanging="283"/>
      </w:pPr>
      <w:r>
        <w:t xml:space="preserve">Wszyscy członkowie Komisji mają wgląd w złożone oferty na każdym etapie prac Komisji. </w:t>
      </w:r>
    </w:p>
    <w:p w:rsidR="0000727A" w:rsidRDefault="00660662">
      <w:pPr>
        <w:spacing w:after="0" w:line="259" w:lineRule="auto"/>
        <w:ind w:left="117" w:right="0" w:firstLine="0"/>
        <w:jc w:val="center"/>
      </w:pPr>
      <w:r>
        <w:rPr>
          <w:sz w:val="40"/>
        </w:rPr>
        <w:t xml:space="preserve"> </w:t>
      </w:r>
    </w:p>
    <w:p w:rsidR="0000727A" w:rsidRDefault="00660662">
      <w:pPr>
        <w:pStyle w:val="Nagwek1"/>
        <w:ind w:left="20" w:right="10"/>
      </w:pPr>
      <w:r>
        <w:t xml:space="preserve">§ 5 </w:t>
      </w:r>
    </w:p>
    <w:p w:rsidR="0000727A" w:rsidRDefault="00660662">
      <w:pPr>
        <w:spacing w:after="82" w:line="259" w:lineRule="auto"/>
        <w:ind w:left="51" w:right="0" w:firstLine="0"/>
        <w:jc w:val="center"/>
      </w:pPr>
      <w:r>
        <w:rPr>
          <w:sz w:val="16"/>
        </w:rPr>
        <w:t xml:space="preserve"> </w:t>
      </w:r>
    </w:p>
    <w:p w:rsidR="0000727A" w:rsidRDefault="00660662">
      <w:pPr>
        <w:spacing w:after="0"/>
        <w:ind w:left="5" w:right="0"/>
      </w:pPr>
      <w:r>
        <w:t xml:space="preserve">Komisja ulega rozwiązaniu po wyczerpaniu środków przeznaczonych na zadanie, </w:t>
      </w:r>
      <w:r w:rsidR="00C15557">
        <w:t xml:space="preserve">         </w:t>
      </w:r>
      <w:r>
        <w:t xml:space="preserve">na które ogłoszony został otwarty konkurs ofert w danym roku budżetowym.  </w:t>
      </w:r>
      <w:r>
        <w:rPr>
          <w:sz w:val="40"/>
        </w:rPr>
        <w:t xml:space="preserve"> </w:t>
      </w:r>
    </w:p>
    <w:p w:rsidR="00C15557" w:rsidRDefault="00C15557">
      <w:pPr>
        <w:pStyle w:val="Nagwek1"/>
        <w:ind w:left="20"/>
      </w:pPr>
    </w:p>
    <w:p w:rsidR="0000727A" w:rsidRDefault="00660662">
      <w:pPr>
        <w:pStyle w:val="Nagwek1"/>
        <w:ind w:left="20"/>
      </w:pPr>
      <w:r>
        <w:t xml:space="preserve">§ 6 </w:t>
      </w:r>
    </w:p>
    <w:p w:rsidR="0000727A" w:rsidRDefault="00660662">
      <w:pPr>
        <w:spacing w:after="93" w:line="259" w:lineRule="auto"/>
        <w:ind w:left="51" w:right="0" w:firstLine="0"/>
        <w:jc w:val="center"/>
      </w:pPr>
      <w:r>
        <w:rPr>
          <w:sz w:val="16"/>
        </w:rPr>
        <w:t xml:space="preserve"> </w:t>
      </w:r>
    </w:p>
    <w:p w:rsidR="00660662" w:rsidRDefault="00660662" w:rsidP="00660662">
      <w:pPr>
        <w:spacing w:after="0" w:line="240" w:lineRule="auto"/>
        <w:ind w:left="278" w:right="0" w:hanging="283"/>
      </w:pPr>
      <w:r>
        <w:t xml:space="preserve">1. Z prac Komisji, na podstawie kart oceny merytorycznej, które są podstawą do stworzenia rankingu ofert, sporządza się protokół, który podpisuje przewodniczący lub wiceprzewodniczący Komisji w niej uczestniczący. Zawiera on w szczególności: </w:t>
      </w:r>
    </w:p>
    <w:p w:rsidR="0000727A" w:rsidRDefault="00660662" w:rsidP="00660662">
      <w:pPr>
        <w:spacing w:after="0" w:line="240" w:lineRule="auto"/>
        <w:ind w:left="278" w:right="0" w:firstLine="6"/>
      </w:pPr>
      <w:r>
        <w:t xml:space="preserve">a) informację o trybie i terminie posiedzenia Komisji; </w:t>
      </w:r>
    </w:p>
    <w:p w:rsidR="0000727A" w:rsidRDefault="00660662" w:rsidP="00660662">
      <w:pPr>
        <w:numPr>
          <w:ilvl w:val="0"/>
          <w:numId w:val="4"/>
        </w:numPr>
        <w:spacing w:after="0" w:line="240" w:lineRule="auto"/>
        <w:ind w:right="0" w:hanging="283"/>
      </w:pPr>
      <w:r>
        <w:t xml:space="preserve">listę obecności członków Komisji (załącznik do protokołu); </w:t>
      </w:r>
    </w:p>
    <w:p w:rsidR="0000727A" w:rsidRDefault="00660662" w:rsidP="00660662">
      <w:pPr>
        <w:numPr>
          <w:ilvl w:val="0"/>
          <w:numId w:val="4"/>
        </w:numPr>
        <w:spacing w:after="0" w:line="240" w:lineRule="auto"/>
        <w:ind w:right="0" w:hanging="283"/>
      </w:pPr>
      <w:r>
        <w:t xml:space="preserve">informację o wyłączeniu członków Komisji z oceny ofert wraz z uzasadnieniem tego faktu; </w:t>
      </w:r>
    </w:p>
    <w:p w:rsidR="0000727A" w:rsidRDefault="00660662" w:rsidP="00660662">
      <w:pPr>
        <w:numPr>
          <w:ilvl w:val="0"/>
          <w:numId w:val="4"/>
        </w:numPr>
        <w:spacing w:after="0" w:line="240" w:lineRule="auto"/>
        <w:ind w:right="0" w:hanging="283"/>
      </w:pPr>
      <w:r>
        <w:t xml:space="preserve">wskazanie liczby ofert, które wpłynęły na otwarty konkurs ofert w terminie; </w:t>
      </w:r>
    </w:p>
    <w:p w:rsidR="0000727A" w:rsidRDefault="00660662" w:rsidP="00660662">
      <w:pPr>
        <w:numPr>
          <w:ilvl w:val="0"/>
          <w:numId w:val="4"/>
        </w:numPr>
        <w:spacing w:after="0" w:line="240" w:lineRule="auto"/>
        <w:ind w:right="0" w:hanging="283"/>
      </w:pPr>
      <w:r>
        <w:t xml:space="preserve">wskazanie ofert odrzuconych na etapie oceny formalnej wraz z podaniem przyczyn odrzucenia (załącznik do protokołu); </w:t>
      </w:r>
    </w:p>
    <w:p w:rsidR="0000727A" w:rsidRDefault="00660662" w:rsidP="00660662">
      <w:pPr>
        <w:numPr>
          <w:ilvl w:val="0"/>
          <w:numId w:val="4"/>
        </w:numPr>
        <w:spacing w:after="0" w:line="240" w:lineRule="auto"/>
        <w:ind w:right="0" w:hanging="283"/>
      </w:pPr>
      <w:r>
        <w:t xml:space="preserve">zestawienie ofert ocenianych merytorycznie ze wskazaniem liczby przyznanych punktów i propozycją kwot dotacji (załącznik do protokołu); </w:t>
      </w:r>
    </w:p>
    <w:p w:rsidR="00D07B4D" w:rsidRDefault="00660662" w:rsidP="00660662">
      <w:pPr>
        <w:numPr>
          <w:ilvl w:val="0"/>
          <w:numId w:val="4"/>
        </w:numPr>
        <w:spacing w:after="0" w:line="240" w:lineRule="auto"/>
        <w:ind w:right="0" w:hanging="283"/>
      </w:pPr>
      <w:r>
        <w:t xml:space="preserve">karty oceny merytorycznej ofert (do wglądu w wydziale merytorycznym). </w:t>
      </w:r>
      <w:r w:rsidR="00D07B4D">
        <w:t xml:space="preserve">           </w:t>
      </w:r>
    </w:p>
    <w:p w:rsidR="0000727A" w:rsidRPr="00660662" w:rsidRDefault="00660662" w:rsidP="00D07B4D">
      <w:pPr>
        <w:spacing w:after="0" w:line="240" w:lineRule="auto"/>
        <w:ind w:left="576" w:right="0" w:hanging="576"/>
      </w:pPr>
      <w:r>
        <w:t xml:space="preserve">2. Protokół, listę zaopiniowanych ofert oraz projekt uchwały przekazuje się Zarządowi. </w:t>
      </w:r>
      <w:r>
        <w:rPr>
          <w:sz w:val="40"/>
        </w:rPr>
        <w:t xml:space="preserve"> </w:t>
      </w:r>
    </w:p>
    <w:p w:rsidR="00660662" w:rsidRDefault="00660662" w:rsidP="00660662">
      <w:pPr>
        <w:spacing w:after="0" w:line="360" w:lineRule="auto"/>
        <w:ind w:left="576" w:right="0" w:firstLine="0"/>
      </w:pPr>
    </w:p>
    <w:p w:rsidR="0000727A" w:rsidRDefault="00660662">
      <w:pPr>
        <w:pStyle w:val="Nagwek1"/>
        <w:ind w:left="20"/>
      </w:pPr>
      <w:r>
        <w:t>§ 7</w:t>
      </w:r>
      <w:r>
        <w:rPr>
          <w:b w:val="0"/>
        </w:rPr>
        <w:t xml:space="preserve"> </w:t>
      </w:r>
    </w:p>
    <w:p w:rsidR="0000727A" w:rsidRDefault="00660662">
      <w:pPr>
        <w:spacing w:after="101" w:line="259" w:lineRule="auto"/>
        <w:ind w:left="51" w:right="0" w:firstLine="0"/>
        <w:jc w:val="center"/>
      </w:pPr>
      <w:r>
        <w:rPr>
          <w:sz w:val="16"/>
        </w:rPr>
        <w:t xml:space="preserve"> </w:t>
      </w:r>
    </w:p>
    <w:p w:rsidR="0000727A" w:rsidRDefault="00660662">
      <w:pPr>
        <w:spacing w:after="0"/>
        <w:ind w:left="4722" w:right="3936" w:hanging="4727"/>
        <w:rPr>
          <w:sz w:val="40"/>
        </w:rPr>
      </w:pPr>
      <w:r>
        <w:t xml:space="preserve">Za pracę w Komisji nie przysługuje wynagrodzenie. </w:t>
      </w:r>
      <w:r>
        <w:rPr>
          <w:sz w:val="40"/>
        </w:rPr>
        <w:t xml:space="preserve"> </w:t>
      </w:r>
    </w:p>
    <w:p w:rsidR="00660662" w:rsidRDefault="00660662">
      <w:pPr>
        <w:spacing w:after="0"/>
        <w:ind w:left="4722" w:right="3936" w:hanging="4727"/>
      </w:pPr>
    </w:p>
    <w:p w:rsidR="0000727A" w:rsidRDefault="00660662">
      <w:pPr>
        <w:pStyle w:val="Nagwek1"/>
        <w:ind w:left="20"/>
      </w:pPr>
      <w:r>
        <w:t xml:space="preserve">§ 8 </w:t>
      </w:r>
    </w:p>
    <w:p w:rsidR="0000727A" w:rsidRDefault="00660662">
      <w:pPr>
        <w:spacing w:after="88" w:line="259" w:lineRule="auto"/>
        <w:ind w:left="51" w:right="0" w:firstLine="0"/>
        <w:jc w:val="center"/>
      </w:pPr>
      <w:r>
        <w:rPr>
          <w:sz w:val="16"/>
        </w:rPr>
        <w:t xml:space="preserve"> </w:t>
      </w:r>
    </w:p>
    <w:p w:rsidR="0000727A" w:rsidRDefault="00660662">
      <w:pPr>
        <w:spacing w:after="26"/>
        <w:ind w:left="5" w:right="0"/>
      </w:pPr>
      <w:r>
        <w:t xml:space="preserve">Obsługę Komisji zapewnia komórka organizacyjna urzędu lub jednostka organizacyjna samorządu województwa właściwa dla tematyki konkursu. </w:t>
      </w:r>
    </w:p>
    <w:p w:rsidR="0000727A" w:rsidRDefault="00660662" w:rsidP="00660662">
      <w:pPr>
        <w:spacing w:after="2302" w:line="259" w:lineRule="auto"/>
        <w:ind w:left="10" w:right="0" w:firstLine="0"/>
        <w:jc w:val="left"/>
      </w:pPr>
      <w:r>
        <w:t xml:space="preserve"> </w:t>
      </w:r>
      <w:r>
        <w:rPr>
          <w:sz w:val="20"/>
        </w:rPr>
        <w:t xml:space="preserve"> </w:t>
      </w:r>
    </w:p>
    <w:sectPr w:rsidR="0000727A" w:rsidSect="00874D0E">
      <w:pgSz w:w="11906" w:h="16838"/>
      <w:pgMar w:top="1020" w:right="1052" w:bottom="709" w:left="1407"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C03C0"/>
    <w:multiLevelType w:val="hybridMultilevel"/>
    <w:tmpl w:val="0270CBC2"/>
    <w:lvl w:ilvl="0" w:tplc="7F5C4EC2">
      <w:start w:val="2"/>
      <w:numFmt w:val="lowerLetter"/>
      <w:lvlText w:val="%1)"/>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CE7CBC">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3EA6A2">
      <w:start w:val="1"/>
      <w:numFmt w:val="lowerRoman"/>
      <w:lvlText w:val="%3"/>
      <w:lvlJc w:val="left"/>
      <w:pPr>
        <w:ind w:left="2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D24C54">
      <w:start w:val="1"/>
      <w:numFmt w:val="decimal"/>
      <w:lvlText w:val="%4"/>
      <w:lvlJc w:val="left"/>
      <w:pPr>
        <w:ind w:left="2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E04602">
      <w:start w:val="1"/>
      <w:numFmt w:val="lowerLetter"/>
      <w:lvlText w:val="%5"/>
      <w:lvlJc w:val="left"/>
      <w:pPr>
        <w:ind w:left="3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38DAB6">
      <w:start w:val="1"/>
      <w:numFmt w:val="lowerRoman"/>
      <w:lvlText w:val="%6"/>
      <w:lvlJc w:val="left"/>
      <w:pPr>
        <w:ind w:left="4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C422DE">
      <w:start w:val="1"/>
      <w:numFmt w:val="decimal"/>
      <w:lvlText w:val="%7"/>
      <w:lvlJc w:val="left"/>
      <w:pPr>
        <w:ind w:left="4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82E21E">
      <w:start w:val="1"/>
      <w:numFmt w:val="lowerLetter"/>
      <w:lvlText w:val="%8"/>
      <w:lvlJc w:val="left"/>
      <w:pPr>
        <w:ind w:left="5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863D1E">
      <w:start w:val="1"/>
      <w:numFmt w:val="lowerRoman"/>
      <w:lvlText w:val="%9"/>
      <w:lvlJc w:val="left"/>
      <w:pPr>
        <w:ind w:left="6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389E55F9"/>
    <w:multiLevelType w:val="hybridMultilevel"/>
    <w:tmpl w:val="F27872F8"/>
    <w:lvl w:ilvl="0" w:tplc="2A566D18">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5E369E">
      <w:start w:val="1"/>
      <w:numFmt w:val="lowerLetter"/>
      <w:lvlText w:val="%2)"/>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3084E2">
      <w:start w:val="1"/>
      <w:numFmt w:val="lowerRoman"/>
      <w:lvlText w:val="%3"/>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44F1F8">
      <w:start w:val="1"/>
      <w:numFmt w:val="decimal"/>
      <w:lvlText w:val="%4"/>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9677D0">
      <w:start w:val="1"/>
      <w:numFmt w:val="lowerLetter"/>
      <w:lvlText w:val="%5"/>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C696A8">
      <w:start w:val="1"/>
      <w:numFmt w:val="lowerRoman"/>
      <w:lvlText w:val="%6"/>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3212D8">
      <w:start w:val="1"/>
      <w:numFmt w:val="decimal"/>
      <w:lvlText w:val="%7"/>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7CCAB0">
      <w:start w:val="1"/>
      <w:numFmt w:val="lowerLetter"/>
      <w:lvlText w:val="%8"/>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365326">
      <w:start w:val="1"/>
      <w:numFmt w:val="lowerRoman"/>
      <w:lvlText w:val="%9"/>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4552166E"/>
    <w:multiLevelType w:val="hybridMultilevel"/>
    <w:tmpl w:val="3A08999A"/>
    <w:lvl w:ilvl="0" w:tplc="0DDC088E">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F8A4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3897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1E80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1C06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94D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A61C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495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7255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5D69464A"/>
    <w:multiLevelType w:val="hybridMultilevel"/>
    <w:tmpl w:val="939A0CF0"/>
    <w:lvl w:ilvl="0" w:tplc="C8CCC89A">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98E6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5251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C8A9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F4B0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12E4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E812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141CB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700F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0727A"/>
    <w:rsid w:val="0000727A"/>
    <w:rsid w:val="001D3BBE"/>
    <w:rsid w:val="002E1366"/>
    <w:rsid w:val="00660662"/>
    <w:rsid w:val="00831DA2"/>
    <w:rsid w:val="00874D0E"/>
    <w:rsid w:val="00953FD0"/>
    <w:rsid w:val="00C15557"/>
    <w:rsid w:val="00D07B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4D0E"/>
    <w:pPr>
      <w:spacing w:after="142" w:line="250" w:lineRule="auto"/>
      <w:ind w:left="20" w:right="3" w:hanging="10"/>
      <w:jc w:val="both"/>
    </w:pPr>
    <w:rPr>
      <w:rFonts w:ascii="Arial" w:eastAsia="Arial" w:hAnsi="Arial" w:cs="Arial"/>
      <w:color w:val="000000"/>
      <w:sz w:val="24"/>
    </w:rPr>
  </w:style>
  <w:style w:type="paragraph" w:styleId="Nagwek1">
    <w:name w:val="heading 1"/>
    <w:next w:val="Normalny"/>
    <w:link w:val="Nagwek1Znak"/>
    <w:uiPriority w:val="9"/>
    <w:unhideWhenUsed/>
    <w:qFormat/>
    <w:rsid w:val="00874D0E"/>
    <w:pPr>
      <w:keepNext/>
      <w:keepLines/>
      <w:spacing w:after="0"/>
      <w:ind w:left="19" w:hanging="10"/>
      <w:jc w:val="center"/>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74D0E"/>
    <w:rPr>
      <w:rFonts w:ascii="Arial" w:eastAsia="Arial" w:hAnsi="Arial" w:cs="Arial"/>
      <w:b/>
      <w:color w:val="000000"/>
      <w:sz w:val="24"/>
    </w:rPr>
  </w:style>
  <w:style w:type="paragraph" w:styleId="Akapitzlist">
    <w:name w:val="List Paragraph"/>
    <w:basedOn w:val="Normalny"/>
    <w:uiPriority w:val="34"/>
    <w:qFormat/>
    <w:rsid w:val="0066066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3290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Załącznik nr 1 do Programu współpracy</vt:lpstr>
    </vt:vector>
  </TitlesOfParts>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Programu współpracy</dc:title>
  <dc:creator>Faktor3Designer</dc:creator>
  <cp:lastModifiedBy>Kolodziejskaw</cp:lastModifiedBy>
  <cp:revision>2</cp:revision>
  <cp:lastPrinted>2017-08-30T10:16:00Z</cp:lastPrinted>
  <dcterms:created xsi:type="dcterms:W3CDTF">2017-09-20T10:19:00Z</dcterms:created>
  <dcterms:modified xsi:type="dcterms:W3CDTF">2017-09-20T10:19:00Z</dcterms:modified>
</cp:coreProperties>
</file>